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4320"/>
        <w:spacing w:after="0"/>
        <w:rPr>
          <w:sz w:val="20"/>
          <w:szCs w:val="20"/>
          <w:color w:val="auto"/>
        </w:rPr>
      </w:pPr>
      <w:r>
        <w:rPr>
          <w:rFonts w:ascii="Arial" w:cs="Arial" w:eastAsia="Arial" w:hAnsi="Arial"/>
          <w:sz w:val="11"/>
          <w:szCs w:val="11"/>
          <w:color w:val="auto"/>
        </w:rPr>
        <w:t>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5"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20" w:hanging="290"/>
        <w:spacing w:after="0" w:line="181" w:lineRule="auto"/>
        <w:tabs>
          <w:tab w:leader="none" w:pos="420" w:val="left"/>
        </w:tabs>
        <w:numPr>
          <w:ilvl w:val="0"/>
          <w:numId w:val="1"/>
        </w:numPr>
        <w:rPr>
          <w:rFonts w:ascii="MS PGothic" w:cs="MS PGothic" w:eastAsia="MS PGothic" w:hAnsi="MS PGothic"/>
          <w:sz w:val="31"/>
          <w:szCs w:val="31"/>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54" w:lineRule="exact"/>
        <w:rPr>
          <w:sz w:val="24"/>
          <w:szCs w:val="24"/>
          <w:color w:val="auto"/>
        </w:rPr>
      </w:pPr>
    </w:p>
    <w:p>
      <w:pPr>
        <w:jc w:val="right"/>
        <w:ind w:left="4240" w:right="3700" w:hanging="4132"/>
        <w:spacing w:after="0" w:line="241" w:lineRule="auto"/>
        <w:tabs>
          <w:tab w:leader="none" w:pos="386" w:val="left"/>
        </w:tabs>
        <w:numPr>
          <w:ilvl w:val="0"/>
          <w:numId w:val="2"/>
        </w:numPr>
        <w:rPr>
          <w:rFonts w:ascii="MS PGothic" w:cs="MS PGothic" w:eastAsia="MS PGothic" w:hAnsi="MS PGothic"/>
          <w:sz w:val="34"/>
          <w:szCs w:val="34"/>
          <w:color w:val="auto"/>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_______ to: _______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001-37817</w:t>
      </w:r>
    </w:p>
    <w:p>
      <w:pPr>
        <w:spacing w:after="0" w:line="47"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CONDUENT INCORPORATED</w:t>
      </w:r>
    </w:p>
    <w:p>
      <w:pPr>
        <w:spacing w:after="0" w:line="18" w:lineRule="exact"/>
        <w:rPr>
          <w:sz w:val="24"/>
          <w:szCs w:val="24"/>
          <w:color w:val="auto"/>
        </w:rPr>
      </w:pPr>
    </w:p>
    <w:p>
      <w:pPr>
        <w:ind w:left="4400"/>
        <w:spacing w:after="0"/>
        <w:rPr>
          <w:sz w:val="20"/>
          <w:szCs w:val="20"/>
          <w:color w:val="auto"/>
        </w:rPr>
      </w:pPr>
      <w:r>
        <w:rPr>
          <w:rFonts w:ascii="Arial" w:cs="Arial" w:eastAsia="Arial" w:hAnsi="Arial"/>
          <w:sz w:val="11"/>
          <w:szCs w:val="11"/>
          <w:color w:val="auto"/>
        </w:rPr>
        <w:t>(Exact Name of Registrant as specified in its charter)</w:t>
      </w:r>
    </w:p>
    <w:p>
      <w:pPr>
        <w:spacing w:after="0" w:line="16"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w:t>
      </w:r>
    </w:p>
    <w:p>
      <w:pPr>
        <w:sectPr>
          <w:pgSz w:w="11900" w:h="16838" w:orient="portrait"/>
          <w:cols w:equalWidth="0" w:num="1">
            <w:col w:w="11460"/>
          </w:cols>
          <w:pgMar w:left="220" w:top="239" w:right="219" w:bottom="1440" w:gutter="0" w:footer="0" w:header="0"/>
        </w:sectPr>
      </w:pPr>
    </w:p>
    <w:p>
      <w:pPr>
        <w:spacing w:after="0" w:line="18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New York</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81-2983623</w:t>
      </w:r>
    </w:p>
    <w:p>
      <w:pPr>
        <w:spacing w:after="0" w:line="66" w:lineRule="exact"/>
        <w:rPr>
          <w:sz w:val="24"/>
          <w:szCs w:val="24"/>
          <w:color w:val="auto"/>
        </w:rPr>
      </w:pPr>
    </w:p>
    <w:p>
      <w:pPr>
        <w:sectPr>
          <w:pgSz w:w="11900" w:h="16838" w:orient="portrait"/>
          <w:cols w:equalWidth="0" w:num="2">
            <w:col w:w="8200" w:space="720"/>
            <w:col w:w="2540"/>
          </w:cols>
          <w:pgMar w:left="220" w:top="239" w:right="219" w:bottom="1440" w:gutter="0" w:footer="0" w:header="0"/>
          <w:type w:val="continuous"/>
        </w:sectPr>
      </w:pPr>
    </w:p>
    <w:p>
      <w:pPr>
        <w:ind w:left="23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23" w:lineRule="exact"/>
        <w:rPr>
          <w:sz w:val="24"/>
          <w:szCs w:val="24"/>
          <w:color w:val="auto"/>
        </w:rPr>
      </w:pPr>
    </w:p>
    <w:p>
      <w:pPr>
        <w:sectPr>
          <w:pgSz w:w="11900" w:h="16838" w:orient="portrait"/>
          <w:cols w:equalWidth="0" w:num="2">
            <w:col w:w="7760" w:space="720"/>
            <w:col w:w="2980"/>
          </w:cols>
          <w:pgMar w:left="220" w:top="239" w:right="219" w:bottom="1440" w:gutter="0" w:footer="0" w:header="0"/>
          <w:type w:val="continuous"/>
        </w:sectPr>
      </w:pPr>
    </w:p>
    <w:p>
      <w:pPr>
        <w:ind w:left="1640"/>
        <w:spacing w:after="0"/>
        <w:rPr>
          <w:sz w:val="20"/>
          <w:szCs w:val="20"/>
          <w:color w:val="auto"/>
        </w:rPr>
      </w:pPr>
      <w:r>
        <w:rPr>
          <w:rFonts w:ascii="Arial" w:cs="Arial" w:eastAsia="Arial" w:hAnsi="Arial"/>
          <w:sz w:val="14"/>
          <w:szCs w:val="14"/>
          <w:b w:val="1"/>
          <w:bCs w:val="1"/>
          <w:color w:val="auto"/>
        </w:rPr>
        <w:t>100 Campus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Florham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New Jersey</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07932</w:t>
      </w:r>
    </w:p>
    <w:p>
      <w:pPr>
        <w:spacing w:after="0" w:line="66" w:lineRule="exact"/>
        <w:rPr>
          <w:sz w:val="24"/>
          <w:szCs w:val="24"/>
          <w:color w:val="auto"/>
        </w:rPr>
      </w:pPr>
    </w:p>
    <w:p>
      <w:pPr>
        <w:sectPr>
          <w:pgSz w:w="11900" w:h="16838" w:orient="portrait"/>
          <w:cols w:equalWidth="0" w:num="5">
            <w:col w:w="2920" w:space="500"/>
            <w:col w:w="920" w:space="720"/>
            <w:col w:w="960" w:space="420"/>
            <w:col w:w="1940" w:space="720"/>
            <w:col w:w="2360"/>
          </w:cols>
          <w:pgMar w:left="220" w:top="239" w:right="2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200" w:lineRule="exact"/>
        <w:rPr>
          <w:sz w:val="24"/>
          <w:szCs w:val="24"/>
          <w:color w:val="auto"/>
        </w:rPr>
      </w:pPr>
    </w:p>
    <w:p>
      <w:pPr>
        <w:sectPr>
          <w:pgSz w:w="11900" w:h="16838" w:orient="portrait"/>
          <w:cols w:equalWidth="0" w:num="2">
            <w:col w:w="8320" w:space="720"/>
            <w:col w:w="2420"/>
          </w:cols>
          <w:pgMar w:left="220" w:top="239" w:right="219" w:bottom="144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(844) 663-2638</w:t>
      </w:r>
    </w:p>
    <w:p>
      <w:pPr>
        <w:sectPr>
          <w:pgSz w:w="11900" w:h="16838" w:orient="portrait"/>
          <w:cols w:equalWidth="0" w:num="1">
            <w:col w:w="11460"/>
          </w:cols>
          <w:pgMar w:left="220" w:top="239" w:right="219" w:bottom="1440" w:gutter="0" w:footer="0" w:header="0"/>
          <w:type w:val="continuous"/>
        </w:sectPr>
      </w:pPr>
    </w:p>
    <w:p>
      <w:pPr>
        <w:spacing w:after="0" w:line="27" w:lineRule="exact"/>
        <w:rPr>
          <w:sz w:val="24"/>
          <w:szCs w:val="24"/>
          <w:color w:val="auto"/>
        </w:rPr>
      </w:pPr>
    </w:p>
    <w:p>
      <w:pPr>
        <w:ind w:left="4280"/>
        <w:spacing w:after="0"/>
        <w:rPr>
          <w:sz w:val="20"/>
          <w:szCs w:val="20"/>
          <w:color w:val="auto"/>
        </w:rPr>
      </w:pPr>
      <w:r>
        <w:rPr>
          <w:rFonts w:ascii="Arial" w:cs="Arial" w:eastAsia="Arial" w:hAnsi="Arial"/>
          <w:sz w:val="11"/>
          <w:szCs w:val="11"/>
          <w:b w:val="1"/>
          <w:bCs w:val="1"/>
          <w:color w:val="auto"/>
        </w:rPr>
        <w:t>(Registrant’s telephone number, including area code)</w:t>
      </w:r>
    </w:p>
    <w:p>
      <w:pPr>
        <w:ind w:left="4300"/>
        <w:spacing w:after="0"/>
        <w:rPr>
          <w:sz w:val="20"/>
          <w:szCs w:val="20"/>
          <w:color w:val="auto"/>
        </w:rPr>
      </w:pPr>
      <w:r>
        <w:rPr>
          <w:rFonts w:ascii="Arial" w:cs="Arial" w:eastAsia="Arial" w:hAnsi="Arial"/>
          <w:sz w:val="11"/>
          <w:szCs w:val="11"/>
          <w:color w:val="auto"/>
        </w:rPr>
        <w:t>_________________________________________________</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60"/>
          </w:cols>
          <w:pgMar w:left="220" w:top="239" w:right="219" w:bottom="1440" w:gutter="0" w:footer="0" w:header="0"/>
          <w:type w:val="continuous"/>
        </w:sectPr>
      </w:pPr>
    </w:p>
    <w:p>
      <w:pPr>
        <w:spacing w:after="0" w:line="268" w:lineRule="exact"/>
        <w:rPr>
          <w:sz w:val="24"/>
          <w:szCs w:val="24"/>
          <w:color w:val="auto"/>
        </w:rPr>
      </w:pPr>
    </w:p>
    <w:p>
      <w:pPr>
        <w:ind w:left="1400"/>
        <w:spacing w:after="0"/>
        <w:rPr>
          <w:sz w:val="20"/>
          <w:szCs w:val="20"/>
          <w:color w:val="auto"/>
        </w:rPr>
      </w:pPr>
      <w:r>
        <w:rPr>
          <w:rFonts w:ascii="Arial" w:cs="Arial" w:eastAsia="Arial" w:hAnsi="Arial"/>
          <w:sz w:val="11"/>
          <w:szCs w:val="11"/>
          <w:color w:val="auto"/>
        </w:rPr>
        <w:t>Title of each class</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11"/>
          <w:szCs w:val="11"/>
          <w:color w:val="auto"/>
        </w:rPr>
        <w:t>Name of each exchange on which registered</w:t>
      </w:r>
    </w:p>
    <w:p>
      <w:pPr>
        <w:spacing w:after="0" w:line="23" w:lineRule="exact"/>
        <w:rPr>
          <w:sz w:val="24"/>
          <w:szCs w:val="24"/>
          <w:color w:val="auto"/>
        </w:rPr>
      </w:pPr>
    </w:p>
    <w:p>
      <w:pPr>
        <w:sectPr>
          <w:pgSz w:w="11900" w:h="16838" w:orient="portrait"/>
          <w:cols w:equalWidth="0" w:num="3">
            <w:col w:w="3600" w:space="720"/>
            <w:col w:w="2500" w:space="720"/>
            <w:col w:w="3920"/>
          </w:cols>
          <w:pgMar w:left="220" w:top="239" w:right="219" w:bottom="1440" w:gutter="0" w:footer="0" w:header="0"/>
          <w:type w:val="continuous"/>
        </w:sectPr>
      </w:pPr>
    </w:p>
    <w:p>
      <w:pPr>
        <w:ind w:left="78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NASDAQ Global Select Market</w:t>
      </w:r>
    </w:p>
    <w:p>
      <w:pPr>
        <w:spacing w:after="0" w:line="112" w:lineRule="exact"/>
        <w:rPr>
          <w:sz w:val="24"/>
          <w:szCs w:val="24"/>
          <w:color w:val="auto"/>
        </w:rPr>
      </w:pPr>
    </w:p>
    <w:p>
      <w:pPr>
        <w:sectPr>
          <w:pgSz w:w="11900" w:h="16838" w:orient="portrait"/>
          <w:cols w:equalWidth="0" w:num="3">
            <w:col w:w="3880" w:space="720"/>
            <w:col w:w="2320" w:space="720"/>
            <w:col w:w="3820"/>
          </w:cols>
          <w:pgMar w:left="220" w:top="239" w:right="21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33"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w:t>
      </w:r>
    </w:p>
    <w:p>
      <w:pPr>
        <w:spacing w:after="0" w:line="104" w:lineRule="exact"/>
        <w:rPr>
          <w:sz w:val="24"/>
          <w:szCs w:val="24"/>
          <w:color w:val="auto"/>
        </w:rPr>
      </w:pPr>
    </w:p>
    <w:p>
      <w:pPr>
        <w:ind w:left="140" w:right="3100"/>
        <w:spacing w:after="0" w:line="361"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firstLine="129"/>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4" w:lineRule="exact"/>
        <w:rPr>
          <w:sz w:val="24"/>
          <w:szCs w:val="24"/>
          <w:color w:val="auto"/>
        </w:rPr>
      </w:pPr>
    </w:p>
    <w:p>
      <w:pPr>
        <w:ind w:firstLine="129"/>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64" w:lineRule="exact"/>
        <w:rPr>
          <w:sz w:val="24"/>
          <w:szCs w:val="24"/>
          <w:color w:val="auto"/>
        </w:rPr>
      </w:pPr>
    </w:p>
    <w:p>
      <w:pPr>
        <w:ind w:firstLine="129"/>
        <w:spacing w:after="0" w:line="261" w:lineRule="auto"/>
        <w:rPr>
          <w:sz w:val="20"/>
          <w:szCs w:val="20"/>
          <w:color w:val="auto"/>
        </w:rPr>
      </w:pPr>
      <w:r>
        <w:rPr>
          <w:rFonts w:ascii="Arial" w:cs="Arial" w:eastAsia="Arial" w:hAnsi="Arial"/>
          <w:sz w:val="14"/>
          <w:szCs w:val="14"/>
          <w:color w:val="auto"/>
        </w:rPr>
        <w:t>Indicate by a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ind w:left="400"/>
        <w:spacing w:after="0" w:line="141" w:lineRule="exact"/>
        <w:tabs>
          <w:tab w:leader="none" w:pos="2040" w:val="left"/>
          <w:tab w:leader="none" w:pos="2580" w:val="left"/>
          <w:tab w:leader="none" w:pos="3820" w:val="left"/>
          <w:tab w:leader="none" w:pos="4440" w:val="left"/>
          <w:tab w:leader="none" w:pos="6000" w:val="left"/>
          <w:tab w:leader="none" w:pos="6680" w:val="left"/>
          <w:tab w:leader="none" w:pos="8500" w:val="left"/>
          <w:tab w:leader="none" w:pos="9220" w:val="left"/>
          <w:tab w:leader="none" w:pos="1118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Small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97" w:lineRule="exact"/>
        <w:rPr>
          <w:sz w:val="24"/>
          <w:szCs w:val="24"/>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29996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239" w:right="219"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1" w:lineRule="exact"/>
        <w:rPr>
          <w:sz w:val="20"/>
          <w:szCs w:val="20"/>
          <w:color w:val="auto"/>
        </w:rPr>
      </w:pPr>
    </w:p>
    <w:p>
      <w:pPr>
        <w:ind w:right="420" w:firstLine="129"/>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140"/>
        <w:spacing w:after="0" w:line="161" w:lineRule="exact"/>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stock of the registrant held by non-affiliates as of June 30, 2019 was $2,012,432,097.</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Class</w:t>
            </w:r>
          </w:p>
        </w:tc>
        <w:tc>
          <w:tcPr>
            <w:tcW w:w="500" w:type="dxa"/>
            <w:vAlign w:val="bottom"/>
          </w:tcPr>
          <w:p>
            <w:pPr>
              <w:spacing w:after="0"/>
              <w:rPr>
                <w:sz w:val="14"/>
                <w:szCs w:val="14"/>
                <w:color w:val="auto"/>
              </w:rPr>
            </w:pPr>
          </w:p>
        </w:tc>
        <w:tc>
          <w:tcPr>
            <w:tcW w:w="5300" w:type="dxa"/>
            <w:vAlign w:val="bottom"/>
            <w:tcBorders>
              <w:bottom w:val="single" w:sz="8" w:color="auto"/>
            </w:tcBorders>
          </w:tcPr>
          <w:p>
            <w:pPr>
              <w:jc w:val="right"/>
              <w:ind w:right="1759"/>
              <w:spacing w:after="0"/>
              <w:rPr>
                <w:sz w:val="20"/>
                <w:szCs w:val="20"/>
                <w:color w:val="auto"/>
              </w:rPr>
            </w:pPr>
            <w:r>
              <w:rPr>
                <w:rFonts w:ascii="Arial" w:cs="Arial" w:eastAsia="Arial" w:hAnsi="Arial"/>
                <w:sz w:val="11"/>
                <w:szCs w:val="11"/>
                <w:color w:val="auto"/>
              </w:rPr>
              <w:t>Outstanding at January 31, 2020</w:t>
            </w:r>
          </w:p>
        </w:tc>
      </w:tr>
      <w:tr>
        <w:trPr>
          <w:trHeight w:val="193"/>
        </w:trPr>
        <w:tc>
          <w:tcPr>
            <w:tcW w:w="1720" w:type="dxa"/>
            <w:vAlign w:val="bottom"/>
          </w:tcPr>
          <w:p>
            <w:pPr>
              <w:ind w:left="420"/>
              <w:spacing w:after="0"/>
              <w:rPr>
                <w:sz w:val="20"/>
                <w:szCs w:val="20"/>
                <w:color w:val="auto"/>
              </w:rPr>
            </w:pPr>
            <w:r>
              <w:rPr>
                <w:rFonts w:ascii="Arial" w:cs="Arial" w:eastAsia="Arial" w:hAnsi="Arial"/>
                <w:sz w:val="14"/>
                <w:szCs w:val="14"/>
                <w:color w:val="auto"/>
              </w:rPr>
              <w:t>Common Stock,</w:t>
            </w:r>
          </w:p>
        </w:tc>
        <w:tc>
          <w:tcPr>
            <w:tcW w:w="4360" w:type="dxa"/>
            <w:vAlign w:val="bottom"/>
            <w:gridSpan w:val="2"/>
          </w:tcPr>
          <w:p>
            <w:pPr>
              <w:ind w:left="280"/>
              <w:spacing w:after="0"/>
              <w:rPr>
                <w:sz w:val="20"/>
                <w:szCs w:val="20"/>
                <w:color w:val="auto"/>
              </w:rPr>
            </w:pPr>
            <w:r>
              <w:rPr>
                <w:rFonts w:ascii="Arial" w:cs="Arial" w:eastAsia="Arial" w:hAnsi="Arial"/>
                <w:sz w:val="14"/>
                <w:szCs w:val="14"/>
                <w:color w:val="auto"/>
              </w:rPr>
              <w:t>$0.01 par value</w:t>
            </w:r>
          </w:p>
        </w:tc>
        <w:tc>
          <w:tcPr>
            <w:tcW w:w="5300" w:type="dxa"/>
            <w:vAlign w:val="bottom"/>
          </w:tcPr>
          <w:p>
            <w:pPr>
              <w:jc w:val="right"/>
              <w:ind w:right="2299"/>
              <w:spacing w:after="0"/>
              <w:rPr>
                <w:sz w:val="20"/>
                <w:szCs w:val="20"/>
                <w:color w:val="auto"/>
              </w:rPr>
            </w:pPr>
            <w:r>
              <w:rPr>
                <w:rFonts w:ascii="Arial" w:cs="Arial" w:eastAsia="Arial" w:hAnsi="Arial"/>
                <w:sz w:val="13"/>
                <w:szCs w:val="13"/>
                <w:color w:val="auto"/>
              </w:rPr>
              <w:t>211,886,566</w:t>
            </w:r>
          </w:p>
        </w:tc>
      </w:tr>
    </w:tbl>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5" w:lineRule="exact"/>
        <w:rPr>
          <w:sz w:val="20"/>
          <w:szCs w:val="20"/>
          <w:color w:val="auto"/>
        </w:rPr>
      </w:pPr>
    </w:p>
    <w:p>
      <w:pPr>
        <w:ind w:firstLine="129"/>
        <w:spacing w:after="0" w:line="273" w:lineRule="auto"/>
        <w:rPr>
          <w:sz w:val="20"/>
          <w:szCs w:val="20"/>
          <w:color w:val="auto"/>
        </w:rPr>
      </w:pPr>
      <w:r>
        <w:rPr>
          <w:rFonts w:ascii="Arial" w:cs="Arial" w:eastAsia="Arial" w:hAnsi="Arial"/>
          <w:sz w:val="14"/>
          <w:szCs w:val="14"/>
          <w:color w:val="auto"/>
        </w:rPr>
        <w:t>Part III of this Form 10-K incorporates by reference certain portions of the Registrant's Notice of 2020 Annual Meeting of Shareholders and Proxy Statement (to be filed with the Securities and Exchange Commission pursuant to Regulation 14A no later than 120 days after the close of the fiscal year covered by this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29996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FORWARD-LOOKING STATEMENTS</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From time to time, we and our representatives may provide information, whether orally or in writing, including certain statements in this Annual Report on Form 10-K (Form 10-K), which are deemed to be "forward-looking" within the meaning of the Private Securities Litigation Reform Act of 1995 (the "Litigation Reform Act"). These forward-looking statements and other information are based on our beliefs as well as assumptions made by us using information currently available.</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words “anticipate,” “believe,” “estimate,” “expect,” “intend,” “will,” "aim," “should,” "continue to," and similar expressions, as they relate to us, are intended to identify forward-looking statements.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10-K, any exhibits to this Form 10-K and other public statements we make.</w:t>
      </w:r>
    </w:p>
    <w:p>
      <w:pPr>
        <w:spacing w:after="0" w:line="179"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Important factors and uncertainties that could cause actual results to differ materially from those in our forward-looking statements include, but are not limited to: government appropriations and termination rights contained in our government contracts; risk and impact of potential goodwill and other asset impairments; our ability to renew commercial and government contracts, including contracts awarded through competitive bidding processes; our ability to recover capital and other investments in connection with our contracts; our ability to attract and retain necessary technical personnel and qualified subcontractors; our ability to deliver on our contractual obligations properly and on time; competitive pressures; our significant indebtedness; changes in interest in outsourced business process services; our ability to obtain adequate pricing for our services and to improve our cost structure; risk and impact of geopolitical events, natural disasters and other factors (such as pandemics, including coronavirus) in a particular country or region on our workforce, customers and vendors; claims of infringement of third-party intellectual property rights; the failure to comply with laws relating to individually identifiable information, and personal health information and laws relating to processing certain financial transactions, including payment card transactions and debit or credit card transactions; breaches of our information systems or security systems or any service interruptions; our ability to estimate the scope of work or the costs of performance in our contracts; our continuing emphasis on and shift toward technology-led digital transactions; customer decision-making cycles and lead time for customer commitments;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attract and retain key employees; increases in the cost of telephone and data services or significant interruptions in such services; our failure to develop new service offerings; our ability to modernize our information technology infrastructure and consolidate data centers; our ability to comply with data security standards; our ability to receive dividends or other payments from our subsidiaries; changes in tax and other laws and regulations; changes in government regulation and economic, strategic, political and social conditions; and other factors that are set forth in the “Risk Factors” section, the “Legal Proceedings” section, the “Management's Discussion and Analysis of Financial Condition and Results of Operations” section and other sections of this Form 10-K, as well as in our Quarterly Reports on Form 10-Q and Current Reports on Form 8-K. We do not intend to update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FORM 10-K</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TABLE OF CONTENTS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60" w:type="dxa"/>
            <w:vAlign w:val="bottom"/>
            <w:shd w:val="clear" w:color="auto" w:fill="CCEEFF"/>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Page</w:t>
            </w:r>
          </w:p>
        </w:tc>
      </w:tr>
      <w:tr>
        <w:trPr>
          <w:trHeight w:val="199"/>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87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89"/>
        </w:trPr>
        <w:tc>
          <w:tcPr>
            <w:tcW w:w="1160" w:type="dxa"/>
            <w:vAlign w:val="bottom"/>
            <w:shd w:val="clear" w:color="auto" w:fill="CCEEFF"/>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Item 1.</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5">
              <w:r>
                <w:rPr>
                  <w:rFonts w:ascii="Arial" w:cs="Arial" w:eastAsia="Arial" w:hAnsi="Arial"/>
                  <w:sz w:val="14"/>
                  <w:szCs w:val="14"/>
                  <w:color w:val="0000FF"/>
                </w:rPr>
                <w:t>Business</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5">
              <w:r>
                <w:rPr>
                  <w:rFonts w:ascii="Arial" w:cs="Arial" w:eastAsia="Arial" w:hAnsi="Arial"/>
                  <w:sz w:val="14"/>
                  <w:szCs w:val="14"/>
                  <w:b w:val="1"/>
                  <w:bCs w:val="1"/>
                  <w:color w:val="0000FF"/>
                </w:rPr>
                <w:t>3</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15">
              <w:r>
                <w:rPr>
                  <w:rFonts w:ascii="Arial" w:cs="Arial" w:eastAsia="Arial" w:hAnsi="Arial"/>
                  <w:sz w:val="14"/>
                  <w:szCs w:val="14"/>
                  <w:color w:val="0000FF"/>
                </w:rPr>
                <w:t>Item 1A.</w:t>
              </w:r>
            </w:hyperlink>
          </w:p>
        </w:tc>
        <w:tc>
          <w:tcPr>
            <w:tcW w:w="8740" w:type="dxa"/>
            <w:vAlign w:val="bottom"/>
          </w:tcPr>
          <w:p>
            <w:pPr>
              <w:ind w:left="220"/>
              <w:spacing w:after="0"/>
              <w:rPr>
                <w:rFonts w:ascii="Arial" w:cs="Arial" w:eastAsia="Arial" w:hAnsi="Arial"/>
                <w:sz w:val="14"/>
                <w:szCs w:val="14"/>
                <w:color w:val="0000FF"/>
              </w:rPr>
            </w:pPr>
            <w:hyperlink w:anchor="page15">
              <w:r>
                <w:rPr>
                  <w:rFonts w:ascii="Arial" w:cs="Arial" w:eastAsia="Arial" w:hAnsi="Arial"/>
                  <w:sz w:val="14"/>
                  <w:szCs w:val="14"/>
                  <w:color w:val="0000FF"/>
                </w:rPr>
                <w:t>Risk Factors</w:t>
              </w:r>
            </w:hyperlink>
          </w:p>
        </w:tc>
        <w:tc>
          <w:tcPr>
            <w:tcW w:w="1540" w:type="dxa"/>
            <w:vAlign w:val="bottom"/>
          </w:tcPr>
          <w:p>
            <w:pPr>
              <w:jc w:val="right"/>
              <w:spacing w:after="0"/>
              <w:rPr>
                <w:rFonts w:ascii="Arial" w:cs="Arial" w:eastAsia="Arial" w:hAnsi="Arial"/>
                <w:sz w:val="14"/>
                <w:szCs w:val="14"/>
                <w:b w:val="1"/>
                <w:bCs w:val="1"/>
                <w:color w:val="0000FF"/>
              </w:rPr>
            </w:pPr>
            <w:hyperlink w:anchor="page15">
              <w:r>
                <w:rPr>
                  <w:rFonts w:ascii="Arial" w:cs="Arial" w:eastAsia="Arial" w:hAnsi="Arial"/>
                  <w:sz w:val="14"/>
                  <w:szCs w:val="14"/>
                  <w:b w:val="1"/>
                  <w:bCs w:val="1"/>
                  <w:color w:val="0000FF"/>
                </w:rPr>
                <w:t>14</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27">
              <w:r>
                <w:rPr>
                  <w:rFonts w:ascii="Arial" w:cs="Arial" w:eastAsia="Arial" w:hAnsi="Arial"/>
                  <w:sz w:val="14"/>
                  <w:szCs w:val="14"/>
                  <w:color w:val="0000FF"/>
                </w:rPr>
                <w:t>Item 1B.</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27">
              <w:r>
                <w:rPr>
                  <w:rFonts w:ascii="Arial" w:cs="Arial" w:eastAsia="Arial" w:hAnsi="Arial"/>
                  <w:sz w:val="14"/>
                  <w:szCs w:val="14"/>
                  <w:color w:val="0000FF"/>
                </w:rPr>
                <w:t>Unresolved Staff Comments</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27">
              <w:r>
                <w:rPr>
                  <w:rFonts w:ascii="Arial" w:cs="Arial" w:eastAsia="Arial" w:hAnsi="Arial"/>
                  <w:sz w:val="14"/>
                  <w:szCs w:val="14"/>
                  <w:b w:val="1"/>
                  <w:bCs w:val="1"/>
                  <w:color w:val="0000FF"/>
                </w:rPr>
                <w:t>26</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28">
              <w:r>
                <w:rPr>
                  <w:rFonts w:ascii="Arial" w:cs="Arial" w:eastAsia="Arial" w:hAnsi="Arial"/>
                  <w:sz w:val="14"/>
                  <w:szCs w:val="14"/>
                  <w:color w:val="0000FF"/>
                </w:rPr>
                <w:t>Item 2.</w:t>
              </w:r>
            </w:hyperlink>
          </w:p>
        </w:tc>
        <w:tc>
          <w:tcPr>
            <w:tcW w:w="8740" w:type="dxa"/>
            <w:vAlign w:val="bottom"/>
          </w:tcPr>
          <w:p>
            <w:pPr>
              <w:ind w:left="220"/>
              <w:spacing w:after="0"/>
              <w:rPr>
                <w:rFonts w:ascii="Arial" w:cs="Arial" w:eastAsia="Arial" w:hAnsi="Arial"/>
                <w:sz w:val="14"/>
                <w:szCs w:val="14"/>
                <w:color w:val="0000FF"/>
              </w:rPr>
            </w:pPr>
            <w:hyperlink w:anchor="page28">
              <w:r>
                <w:rPr>
                  <w:rFonts w:ascii="Arial" w:cs="Arial" w:eastAsia="Arial" w:hAnsi="Arial"/>
                  <w:sz w:val="14"/>
                  <w:szCs w:val="14"/>
                  <w:color w:val="0000FF"/>
                </w:rPr>
                <w:t>Properties</w:t>
              </w:r>
            </w:hyperlink>
          </w:p>
        </w:tc>
        <w:tc>
          <w:tcPr>
            <w:tcW w:w="1540" w:type="dxa"/>
            <w:vAlign w:val="bottom"/>
          </w:tcPr>
          <w:p>
            <w:pPr>
              <w:jc w:val="right"/>
              <w:spacing w:after="0"/>
              <w:rPr>
                <w:rFonts w:ascii="Arial" w:cs="Arial" w:eastAsia="Arial" w:hAnsi="Arial"/>
                <w:sz w:val="14"/>
                <w:szCs w:val="14"/>
                <w:b w:val="1"/>
                <w:bCs w:val="1"/>
                <w:color w:val="0000FF"/>
              </w:rPr>
            </w:pPr>
            <w:hyperlink w:anchor="page28">
              <w:r>
                <w:rPr>
                  <w:rFonts w:ascii="Arial" w:cs="Arial" w:eastAsia="Arial" w:hAnsi="Arial"/>
                  <w:sz w:val="14"/>
                  <w:szCs w:val="14"/>
                  <w:b w:val="1"/>
                  <w:bCs w:val="1"/>
                  <w:color w:val="0000FF"/>
                </w:rPr>
                <w:t>26</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28">
              <w:r>
                <w:rPr>
                  <w:rFonts w:ascii="Arial" w:cs="Arial" w:eastAsia="Arial" w:hAnsi="Arial"/>
                  <w:sz w:val="14"/>
                  <w:szCs w:val="14"/>
                  <w:color w:val="0000FF"/>
                </w:rPr>
                <w:t>Item 3.</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28">
              <w:r>
                <w:rPr>
                  <w:rFonts w:ascii="Arial" w:cs="Arial" w:eastAsia="Arial" w:hAnsi="Arial"/>
                  <w:sz w:val="14"/>
                  <w:szCs w:val="14"/>
                  <w:color w:val="0000FF"/>
                </w:rPr>
                <w:t>Legal Proceedings</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28">
              <w:r>
                <w:rPr>
                  <w:rFonts w:ascii="Arial" w:cs="Arial" w:eastAsia="Arial" w:hAnsi="Arial"/>
                  <w:sz w:val="14"/>
                  <w:szCs w:val="14"/>
                  <w:b w:val="1"/>
                  <w:bCs w:val="1"/>
                  <w:color w:val="0000FF"/>
                </w:rPr>
                <w:t>26</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28">
              <w:r>
                <w:rPr>
                  <w:rFonts w:ascii="Arial" w:cs="Arial" w:eastAsia="Arial" w:hAnsi="Arial"/>
                  <w:sz w:val="14"/>
                  <w:szCs w:val="14"/>
                  <w:color w:val="0000FF"/>
                </w:rPr>
                <w:t>Item 4.</w:t>
              </w:r>
            </w:hyperlink>
          </w:p>
        </w:tc>
        <w:tc>
          <w:tcPr>
            <w:tcW w:w="8740" w:type="dxa"/>
            <w:vAlign w:val="bottom"/>
          </w:tcPr>
          <w:p>
            <w:pPr>
              <w:ind w:left="220"/>
              <w:spacing w:after="0"/>
              <w:rPr>
                <w:rFonts w:ascii="Arial" w:cs="Arial" w:eastAsia="Arial" w:hAnsi="Arial"/>
                <w:sz w:val="14"/>
                <w:szCs w:val="14"/>
                <w:color w:val="0000FF"/>
              </w:rPr>
            </w:pPr>
            <w:hyperlink w:anchor="page28">
              <w:r>
                <w:rPr>
                  <w:rFonts w:ascii="Arial" w:cs="Arial" w:eastAsia="Arial" w:hAnsi="Arial"/>
                  <w:sz w:val="14"/>
                  <w:szCs w:val="14"/>
                  <w:color w:val="0000FF"/>
                </w:rPr>
                <w:t>Mine Safety Disclosures</w:t>
              </w:r>
            </w:hyperlink>
          </w:p>
        </w:tc>
        <w:tc>
          <w:tcPr>
            <w:tcW w:w="1540" w:type="dxa"/>
            <w:vAlign w:val="bottom"/>
          </w:tcPr>
          <w:p>
            <w:pPr>
              <w:jc w:val="right"/>
              <w:spacing w:after="0"/>
              <w:rPr>
                <w:rFonts w:ascii="Arial" w:cs="Arial" w:eastAsia="Arial" w:hAnsi="Arial"/>
                <w:sz w:val="14"/>
                <w:szCs w:val="14"/>
                <w:b w:val="1"/>
                <w:bCs w:val="1"/>
                <w:color w:val="0000FF"/>
              </w:rPr>
            </w:pPr>
            <w:hyperlink w:anchor="page28">
              <w:r>
                <w:rPr>
                  <w:rFonts w:ascii="Arial" w:cs="Arial" w:eastAsia="Arial" w:hAnsi="Arial"/>
                  <w:sz w:val="14"/>
                  <w:szCs w:val="14"/>
                  <w:b w:val="1"/>
                  <w:bCs w:val="1"/>
                  <w:color w:val="0000FF"/>
                </w:rPr>
                <w:t>26</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b w:val="1"/>
                <w:bCs w:val="1"/>
                <w:color w:val="0000FF"/>
              </w:rPr>
            </w:pPr>
            <w:hyperlink w:anchor="page28">
              <w:r>
                <w:rPr>
                  <w:rFonts w:ascii="Arial" w:cs="Arial" w:eastAsia="Arial" w:hAnsi="Arial"/>
                  <w:sz w:val="14"/>
                  <w:szCs w:val="14"/>
                  <w:b w:val="1"/>
                  <w:bCs w:val="1"/>
                  <w:color w:val="0000FF"/>
                </w:rPr>
                <w:t>Part II</w:t>
              </w:r>
            </w:hyperlink>
          </w:p>
        </w:tc>
        <w:tc>
          <w:tcPr>
            <w:tcW w:w="87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3"/>
        </w:trPr>
        <w:tc>
          <w:tcPr>
            <w:tcW w:w="1160" w:type="dxa"/>
            <w:vAlign w:val="bottom"/>
          </w:tcPr>
          <w:p>
            <w:pPr>
              <w:ind w:left="20"/>
              <w:spacing w:after="0"/>
              <w:rPr>
                <w:rFonts w:ascii="Arial" w:cs="Arial" w:eastAsia="Arial" w:hAnsi="Arial"/>
                <w:sz w:val="14"/>
                <w:szCs w:val="14"/>
                <w:color w:val="0000FF"/>
              </w:rPr>
            </w:pPr>
            <w:hyperlink w:anchor="page29">
              <w:r>
                <w:rPr>
                  <w:rFonts w:ascii="Arial" w:cs="Arial" w:eastAsia="Arial" w:hAnsi="Arial"/>
                  <w:sz w:val="14"/>
                  <w:szCs w:val="14"/>
                  <w:color w:val="0000FF"/>
                </w:rPr>
                <w:t>Item 5.</w:t>
              </w:r>
            </w:hyperlink>
          </w:p>
        </w:tc>
        <w:tc>
          <w:tcPr>
            <w:tcW w:w="8740" w:type="dxa"/>
            <w:vAlign w:val="bottom"/>
          </w:tcPr>
          <w:p>
            <w:pPr>
              <w:ind w:left="220"/>
              <w:spacing w:after="0"/>
              <w:rPr>
                <w:rFonts w:ascii="Arial" w:cs="Arial" w:eastAsia="Arial" w:hAnsi="Arial"/>
                <w:sz w:val="14"/>
                <w:szCs w:val="14"/>
                <w:color w:val="0000FF"/>
              </w:rPr>
            </w:pPr>
            <w:hyperlink w:anchor="page29">
              <w:r>
                <w:rPr>
                  <w:rFonts w:ascii="Arial" w:cs="Arial" w:eastAsia="Arial" w:hAnsi="Arial"/>
                  <w:sz w:val="14"/>
                  <w:szCs w:val="14"/>
                  <w:color w:val="0000FF"/>
                </w:rPr>
                <w:t>Market for the Registrant's Common Equity, Related Stockholder Matters and Issuer Purchases of Equity Securities</w:t>
              </w:r>
            </w:hyperlink>
          </w:p>
        </w:tc>
        <w:tc>
          <w:tcPr>
            <w:tcW w:w="1540" w:type="dxa"/>
            <w:vAlign w:val="bottom"/>
          </w:tcPr>
          <w:p>
            <w:pPr>
              <w:jc w:val="right"/>
              <w:spacing w:after="0"/>
              <w:rPr>
                <w:rFonts w:ascii="Arial" w:cs="Arial" w:eastAsia="Arial" w:hAnsi="Arial"/>
                <w:sz w:val="14"/>
                <w:szCs w:val="14"/>
                <w:b w:val="1"/>
                <w:bCs w:val="1"/>
                <w:color w:val="0000FF"/>
              </w:rPr>
            </w:pPr>
            <w:hyperlink w:anchor="page29">
              <w:r>
                <w:rPr>
                  <w:rFonts w:ascii="Arial" w:cs="Arial" w:eastAsia="Arial" w:hAnsi="Arial"/>
                  <w:sz w:val="14"/>
                  <w:szCs w:val="14"/>
                  <w:b w:val="1"/>
                  <w:bCs w:val="1"/>
                  <w:color w:val="0000FF"/>
                </w:rPr>
                <w:t>27</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29">
              <w:r>
                <w:rPr>
                  <w:rFonts w:ascii="Arial" w:cs="Arial" w:eastAsia="Arial" w:hAnsi="Arial"/>
                  <w:sz w:val="14"/>
                  <w:szCs w:val="14"/>
                  <w:color w:val="0000FF"/>
                </w:rPr>
                <w:t>Item 6.</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29">
              <w:r>
                <w:rPr>
                  <w:rFonts w:ascii="Arial" w:cs="Arial" w:eastAsia="Arial" w:hAnsi="Arial"/>
                  <w:sz w:val="14"/>
                  <w:szCs w:val="14"/>
                  <w:color w:val="0000FF"/>
                </w:rPr>
                <w:t>Selected Financial Data</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29">
              <w:r>
                <w:rPr>
                  <w:rFonts w:ascii="Arial" w:cs="Arial" w:eastAsia="Arial" w:hAnsi="Arial"/>
                  <w:sz w:val="14"/>
                  <w:szCs w:val="14"/>
                  <w:b w:val="1"/>
                  <w:bCs w:val="1"/>
                  <w:color w:val="0000FF"/>
                </w:rPr>
                <w:t>28</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31">
              <w:r>
                <w:rPr>
                  <w:rFonts w:ascii="Arial" w:cs="Arial" w:eastAsia="Arial" w:hAnsi="Arial"/>
                  <w:sz w:val="14"/>
                  <w:szCs w:val="14"/>
                  <w:color w:val="0000FF"/>
                </w:rPr>
                <w:t>Item 7.</w:t>
              </w:r>
            </w:hyperlink>
          </w:p>
        </w:tc>
        <w:tc>
          <w:tcPr>
            <w:tcW w:w="8740" w:type="dxa"/>
            <w:vAlign w:val="bottom"/>
          </w:tcPr>
          <w:p>
            <w:pPr>
              <w:ind w:left="220"/>
              <w:spacing w:after="0"/>
              <w:rPr>
                <w:rFonts w:ascii="Arial" w:cs="Arial" w:eastAsia="Arial" w:hAnsi="Arial"/>
                <w:sz w:val="14"/>
                <w:szCs w:val="14"/>
                <w:color w:val="0000FF"/>
              </w:rPr>
            </w:pPr>
            <w:hyperlink w:anchor="page31">
              <w:r>
                <w:rPr>
                  <w:rFonts w:ascii="Arial" w:cs="Arial" w:eastAsia="Arial" w:hAnsi="Arial"/>
                  <w:sz w:val="14"/>
                  <w:szCs w:val="14"/>
                  <w:color w:val="0000FF"/>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4"/>
                <w:szCs w:val="14"/>
                <w:b w:val="1"/>
                <w:bCs w:val="1"/>
                <w:color w:val="0000FF"/>
              </w:rPr>
            </w:pPr>
            <w:hyperlink w:anchor="page31">
              <w:r>
                <w:rPr>
                  <w:rFonts w:ascii="Arial" w:cs="Arial" w:eastAsia="Arial" w:hAnsi="Arial"/>
                  <w:sz w:val="14"/>
                  <w:szCs w:val="14"/>
                  <w:b w:val="1"/>
                  <w:bCs w:val="1"/>
                  <w:color w:val="0000FF"/>
                </w:rPr>
                <w:t>30</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46">
              <w:r>
                <w:rPr>
                  <w:rFonts w:ascii="Arial" w:cs="Arial" w:eastAsia="Arial" w:hAnsi="Arial"/>
                  <w:sz w:val="14"/>
                  <w:szCs w:val="14"/>
                  <w:color w:val="0000FF"/>
                </w:rPr>
                <w:t>Item 7A.</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46">
              <w:r>
                <w:rPr>
                  <w:rFonts w:ascii="Arial" w:cs="Arial" w:eastAsia="Arial" w:hAnsi="Arial"/>
                  <w:sz w:val="14"/>
                  <w:szCs w:val="14"/>
                  <w:color w:val="0000FF"/>
                </w:rPr>
                <w:t>Quantitative and Qualitative Disclosures About Market Risk</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46">
              <w:r>
                <w:rPr>
                  <w:rFonts w:ascii="Arial" w:cs="Arial" w:eastAsia="Arial" w:hAnsi="Arial"/>
                  <w:sz w:val="14"/>
                  <w:szCs w:val="14"/>
                  <w:b w:val="1"/>
                  <w:bCs w:val="1"/>
                  <w:color w:val="0000FF"/>
                </w:rPr>
                <w:t>45</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47">
              <w:r>
                <w:rPr>
                  <w:rFonts w:ascii="Arial" w:cs="Arial" w:eastAsia="Arial" w:hAnsi="Arial"/>
                  <w:sz w:val="14"/>
                  <w:szCs w:val="14"/>
                  <w:color w:val="0000FF"/>
                </w:rPr>
                <w:t>Item 8.</w:t>
              </w:r>
            </w:hyperlink>
          </w:p>
        </w:tc>
        <w:tc>
          <w:tcPr>
            <w:tcW w:w="8740" w:type="dxa"/>
            <w:vAlign w:val="bottom"/>
          </w:tcPr>
          <w:p>
            <w:pPr>
              <w:ind w:left="220"/>
              <w:spacing w:after="0"/>
              <w:rPr>
                <w:rFonts w:ascii="Arial" w:cs="Arial" w:eastAsia="Arial" w:hAnsi="Arial"/>
                <w:sz w:val="14"/>
                <w:szCs w:val="14"/>
                <w:color w:val="0000FF"/>
              </w:rPr>
            </w:pPr>
            <w:hyperlink w:anchor="page47">
              <w:r>
                <w:rPr>
                  <w:rFonts w:ascii="Arial" w:cs="Arial" w:eastAsia="Arial" w:hAnsi="Arial"/>
                  <w:sz w:val="14"/>
                  <w:szCs w:val="14"/>
                  <w:color w:val="0000FF"/>
                </w:rPr>
                <w:t>Financial Statements and Supplementary Data</w:t>
              </w:r>
            </w:hyperlink>
          </w:p>
        </w:tc>
        <w:tc>
          <w:tcPr>
            <w:tcW w:w="1540" w:type="dxa"/>
            <w:vAlign w:val="bottom"/>
          </w:tcPr>
          <w:p>
            <w:pPr>
              <w:jc w:val="right"/>
              <w:spacing w:after="0"/>
              <w:rPr>
                <w:rFonts w:ascii="Arial" w:cs="Arial" w:eastAsia="Arial" w:hAnsi="Arial"/>
                <w:sz w:val="14"/>
                <w:szCs w:val="14"/>
                <w:b w:val="1"/>
                <w:bCs w:val="1"/>
                <w:color w:val="0000FF"/>
              </w:rPr>
            </w:pPr>
            <w:hyperlink w:anchor="page47">
              <w:r>
                <w:rPr>
                  <w:rFonts w:ascii="Arial" w:cs="Arial" w:eastAsia="Arial" w:hAnsi="Arial"/>
                  <w:sz w:val="14"/>
                  <w:szCs w:val="14"/>
                  <w:b w:val="1"/>
                  <w:bCs w:val="1"/>
                  <w:color w:val="0000FF"/>
                </w:rPr>
                <w:t>46</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93">
              <w:r>
                <w:rPr>
                  <w:rFonts w:ascii="Arial" w:cs="Arial" w:eastAsia="Arial" w:hAnsi="Arial"/>
                  <w:sz w:val="14"/>
                  <w:szCs w:val="14"/>
                  <w:color w:val="0000FF"/>
                </w:rPr>
                <w:t>Item 9.</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93">
              <w:r>
                <w:rPr>
                  <w:rFonts w:ascii="Arial" w:cs="Arial" w:eastAsia="Arial" w:hAnsi="Arial"/>
                  <w:sz w:val="14"/>
                  <w:szCs w:val="14"/>
                  <w:color w:val="0000FF"/>
                </w:rPr>
                <w:t>Changes in and Disagreements with Accountants on Accounting and Financial Disclosure</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3">
              <w:r>
                <w:rPr>
                  <w:rFonts w:ascii="Arial" w:cs="Arial" w:eastAsia="Arial" w:hAnsi="Arial"/>
                  <w:sz w:val="14"/>
                  <w:szCs w:val="14"/>
                  <w:b w:val="1"/>
                  <w:bCs w:val="1"/>
                  <w:color w:val="0000FF"/>
                </w:rPr>
                <w:t>92</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94">
              <w:r>
                <w:rPr>
                  <w:rFonts w:ascii="Arial" w:cs="Arial" w:eastAsia="Arial" w:hAnsi="Arial"/>
                  <w:sz w:val="14"/>
                  <w:szCs w:val="14"/>
                  <w:color w:val="0000FF"/>
                </w:rPr>
                <w:t>Item 9A.</w:t>
              </w:r>
            </w:hyperlink>
          </w:p>
        </w:tc>
        <w:tc>
          <w:tcPr>
            <w:tcW w:w="8740" w:type="dxa"/>
            <w:vAlign w:val="bottom"/>
          </w:tcPr>
          <w:p>
            <w:pPr>
              <w:ind w:left="220"/>
              <w:spacing w:after="0"/>
              <w:rPr>
                <w:rFonts w:ascii="Arial" w:cs="Arial" w:eastAsia="Arial" w:hAnsi="Arial"/>
                <w:sz w:val="14"/>
                <w:szCs w:val="14"/>
                <w:color w:val="0000FF"/>
              </w:rPr>
            </w:pPr>
            <w:hyperlink w:anchor="page94">
              <w:r>
                <w:rPr>
                  <w:rFonts w:ascii="Arial" w:cs="Arial" w:eastAsia="Arial" w:hAnsi="Arial"/>
                  <w:sz w:val="14"/>
                  <w:szCs w:val="14"/>
                  <w:color w:val="0000FF"/>
                </w:rPr>
                <w:t>Controls and Procedures</w:t>
              </w:r>
            </w:hyperlink>
          </w:p>
        </w:tc>
        <w:tc>
          <w:tcPr>
            <w:tcW w:w="1540" w:type="dxa"/>
            <w:vAlign w:val="bottom"/>
          </w:tcPr>
          <w:p>
            <w:pPr>
              <w:jc w:val="right"/>
              <w:spacing w:after="0"/>
              <w:rPr>
                <w:rFonts w:ascii="Arial" w:cs="Arial" w:eastAsia="Arial" w:hAnsi="Arial"/>
                <w:sz w:val="14"/>
                <w:szCs w:val="14"/>
                <w:b w:val="1"/>
                <w:bCs w:val="1"/>
                <w:color w:val="0000FF"/>
              </w:rPr>
            </w:pPr>
            <w:hyperlink w:anchor="page94">
              <w:r>
                <w:rPr>
                  <w:rFonts w:ascii="Arial" w:cs="Arial" w:eastAsia="Arial" w:hAnsi="Arial"/>
                  <w:sz w:val="14"/>
                  <w:szCs w:val="14"/>
                  <w:b w:val="1"/>
                  <w:bCs w:val="1"/>
                  <w:color w:val="0000FF"/>
                </w:rPr>
                <w:t>92</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95">
              <w:r>
                <w:rPr>
                  <w:rFonts w:ascii="Arial" w:cs="Arial" w:eastAsia="Arial" w:hAnsi="Arial"/>
                  <w:sz w:val="14"/>
                  <w:szCs w:val="14"/>
                  <w:color w:val="0000FF"/>
                </w:rPr>
                <w:t>Item 9B.</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95">
              <w:r>
                <w:rPr>
                  <w:rFonts w:ascii="Arial" w:cs="Arial" w:eastAsia="Arial" w:hAnsi="Arial"/>
                  <w:sz w:val="14"/>
                  <w:szCs w:val="14"/>
                  <w:color w:val="0000FF"/>
                </w:rPr>
                <w:t>Other Information</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5">
              <w:r>
                <w:rPr>
                  <w:rFonts w:ascii="Arial" w:cs="Arial" w:eastAsia="Arial" w:hAnsi="Arial"/>
                  <w:sz w:val="14"/>
                  <w:szCs w:val="14"/>
                  <w:b w:val="1"/>
                  <w:bCs w:val="1"/>
                  <w:color w:val="0000FF"/>
                </w:rPr>
                <w:t>93</w:t>
              </w:r>
            </w:hyperlink>
          </w:p>
        </w:tc>
      </w:tr>
      <w:tr>
        <w:trPr>
          <w:trHeight w:val="183"/>
        </w:trPr>
        <w:tc>
          <w:tcPr>
            <w:tcW w:w="1160" w:type="dxa"/>
            <w:vAlign w:val="bottom"/>
          </w:tcPr>
          <w:p>
            <w:pPr>
              <w:ind w:left="20"/>
              <w:spacing w:after="0"/>
              <w:rPr>
                <w:rFonts w:ascii="Arial" w:cs="Arial" w:eastAsia="Arial" w:hAnsi="Arial"/>
                <w:sz w:val="14"/>
                <w:szCs w:val="14"/>
                <w:b w:val="1"/>
                <w:bCs w:val="1"/>
                <w:color w:val="0000FF"/>
              </w:rPr>
            </w:pPr>
            <w:hyperlink w:anchor="page95">
              <w:r>
                <w:rPr>
                  <w:rFonts w:ascii="Arial" w:cs="Arial" w:eastAsia="Arial" w:hAnsi="Arial"/>
                  <w:sz w:val="14"/>
                  <w:szCs w:val="14"/>
                  <w:b w:val="1"/>
                  <w:bCs w:val="1"/>
                  <w:color w:val="0000FF"/>
                </w:rPr>
                <w:t>Part III</w:t>
              </w:r>
            </w:hyperlink>
          </w:p>
        </w:tc>
        <w:tc>
          <w:tcPr>
            <w:tcW w:w="87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95">
              <w:r>
                <w:rPr>
                  <w:rFonts w:ascii="Arial" w:cs="Arial" w:eastAsia="Arial" w:hAnsi="Arial"/>
                  <w:sz w:val="14"/>
                  <w:szCs w:val="14"/>
                  <w:color w:val="0000FF"/>
                </w:rPr>
                <w:t>Item 10.</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95">
              <w:r>
                <w:rPr>
                  <w:rFonts w:ascii="Arial" w:cs="Arial" w:eastAsia="Arial" w:hAnsi="Arial"/>
                  <w:sz w:val="14"/>
                  <w:szCs w:val="14"/>
                  <w:color w:val="0000FF"/>
                </w:rPr>
                <w:t>Directors, Executive Officers and Corporate Governance</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5">
              <w:r>
                <w:rPr>
                  <w:rFonts w:ascii="Arial" w:cs="Arial" w:eastAsia="Arial" w:hAnsi="Arial"/>
                  <w:sz w:val="14"/>
                  <w:szCs w:val="14"/>
                  <w:b w:val="1"/>
                  <w:bCs w:val="1"/>
                  <w:color w:val="0000FF"/>
                </w:rPr>
                <w:t>93</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95">
              <w:r>
                <w:rPr>
                  <w:rFonts w:ascii="Arial" w:cs="Arial" w:eastAsia="Arial" w:hAnsi="Arial"/>
                  <w:sz w:val="14"/>
                  <w:szCs w:val="14"/>
                  <w:color w:val="0000FF"/>
                </w:rPr>
                <w:t>Item 11.</w:t>
              </w:r>
            </w:hyperlink>
          </w:p>
        </w:tc>
        <w:tc>
          <w:tcPr>
            <w:tcW w:w="8740" w:type="dxa"/>
            <w:vAlign w:val="bottom"/>
          </w:tcPr>
          <w:p>
            <w:pPr>
              <w:ind w:left="220"/>
              <w:spacing w:after="0"/>
              <w:rPr>
                <w:rFonts w:ascii="Arial" w:cs="Arial" w:eastAsia="Arial" w:hAnsi="Arial"/>
                <w:sz w:val="14"/>
                <w:szCs w:val="14"/>
                <w:color w:val="0000FF"/>
              </w:rPr>
            </w:pPr>
            <w:hyperlink w:anchor="page95">
              <w:r>
                <w:rPr>
                  <w:rFonts w:ascii="Arial" w:cs="Arial" w:eastAsia="Arial" w:hAnsi="Arial"/>
                  <w:sz w:val="14"/>
                  <w:szCs w:val="14"/>
                  <w:color w:val="0000FF"/>
                </w:rPr>
                <w:t>Executive Compensation</w:t>
              </w:r>
            </w:hyperlink>
          </w:p>
        </w:tc>
        <w:tc>
          <w:tcPr>
            <w:tcW w:w="1540" w:type="dxa"/>
            <w:vAlign w:val="bottom"/>
          </w:tcPr>
          <w:p>
            <w:pPr>
              <w:jc w:val="right"/>
              <w:spacing w:after="0"/>
              <w:rPr>
                <w:rFonts w:ascii="Arial" w:cs="Arial" w:eastAsia="Arial" w:hAnsi="Arial"/>
                <w:sz w:val="14"/>
                <w:szCs w:val="14"/>
                <w:b w:val="1"/>
                <w:bCs w:val="1"/>
                <w:color w:val="0000FF"/>
              </w:rPr>
            </w:pPr>
            <w:hyperlink w:anchor="page95">
              <w:r>
                <w:rPr>
                  <w:rFonts w:ascii="Arial" w:cs="Arial" w:eastAsia="Arial" w:hAnsi="Arial"/>
                  <w:sz w:val="14"/>
                  <w:szCs w:val="14"/>
                  <w:b w:val="1"/>
                  <w:bCs w:val="1"/>
                  <w:color w:val="0000FF"/>
                </w:rPr>
                <w:t>94</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96">
              <w:r>
                <w:rPr>
                  <w:rFonts w:ascii="Arial" w:cs="Arial" w:eastAsia="Arial" w:hAnsi="Arial"/>
                  <w:sz w:val="14"/>
                  <w:szCs w:val="14"/>
                  <w:color w:val="0000FF"/>
                </w:rPr>
                <w:t>Item 12.</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96">
              <w:r>
                <w:rPr>
                  <w:rFonts w:ascii="Arial" w:cs="Arial" w:eastAsia="Arial" w:hAnsi="Arial"/>
                  <w:sz w:val="14"/>
                  <w:szCs w:val="14"/>
                  <w:color w:val="0000FF"/>
                </w:rPr>
                <w:t>Security Ownership of Certain Beneficial Owners and Management and Related Stockholder Matters</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6">
              <w:r>
                <w:rPr>
                  <w:rFonts w:ascii="Arial" w:cs="Arial" w:eastAsia="Arial" w:hAnsi="Arial"/>
                  <w:sz w:val="14"/>
                  <w:szCs w:val="14"/>
                  <w:b w:val="1"/>
                  <w:bCs w:val="1"/>
                  <w:color w:val="0000FF"/>
                </w:rPr>
                <w:t>94</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96">
              <w:r>
                <w:rPr>
                  <w:rFonts w:ascii="Arial" w:cs="Arial" w:eastAsia="Arial" w:hAnsi="Arial"/>
                  <w:sz w:val="14"/>
                  <w:szCs w:val="14"/>
                  <w:color w:val="0000FF"/>
                </w:rPr>
                <w:t>Item 13.</w:t>
              </w:r>
            </w:hyperlink>
          </w:p>
        </w:tc>
        <w:tc>
          <w:tcPr>
            <w:tcW w:w="8740" w:type="dxa"/>
            <w:vAlign w:val="bottom"/>
          </w:tcPr>
          <w:p>
            <w:pPr>
              <w:ind w:left="220"/>
              <w:spacing w:after="0"/>
              <w:rPr>
                <w:rFonts w:ascii="Arial" w:cs="Arial" w:eastAsia="Arial" w:hAnsi="Arial"/>
                <w:sz w:val="14"/>
                <w:szCs w:val="14"/>
                <w:color w:val="0000FF"/>
              </w:rPr>
            </w:pPr>
            <w:hyperlink w:anchor="page96">
              <w:r>
                <w:rPr>
                  <w:rFonts w:ascii="Arial" w:cs="Arial" w:eastAsia="Arial" w:hAnsi="Arial"/>
                  <w:sz w:val="14"/>
                  <w:szCs w:val="14"/>
                  <w:color w:val="0000FF"/>
                </w:rPr>
                <w:t>Certain Relationships, Related Transactions and Director Independence</w:t>
              </w:r>
            </w:hyperlink>
          </w:p>
        </w:tc>
        <w:tc>
          <w:tcPr>
            <w:tcW w:w="1540" w:type="dxa"/>
            <w:vAlign w:val="bottom"/>
          </w:tcPr>
          <w:p>
            <w:pPr>
              <w:jc w:val="right"/>
              <w:spacing w:after="0"/>
              <w:rPr>
                <w:rFonts w:ascii="Arial" w:cs="Arial" w:eastAsia="Arial" w:hAnsi="Arial"/>
                <w:sz w:val="14"/>
                <w:szCs w:val="14"/>
                <w:b w:val="1"/>
                <w:bCs w:val="1"/>
                <w:color w:val="0000FF"/>
              </w:rPr>
            </w:pPr>
            <w:hyperlink w:anchor="page96">
              <w:r>
                <w:rPr>
                  <w:rFonts w:ascii="Arial" w:cs="Arial" w:eastAsia="Arial" w:hAnsi="Arial"/>
                  <w:sz w:val="14"/>
                  <w:szCs w:val="14"/>
                  <w:b w:val="1"/>
                  <w:bCs w:val="1"/>
                  <w:color w:val="0000FF"/>
                </w:rPr>
                <w:t>94</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96">
              <w:r>
                <w:rPr>
                  <w:rFonts w:ascii="Arial" w:cs="Arial" w:eastAsia="Arial" w:hAnsi="Arial"/>
                  <w:sz w:val="14"/>
                  <w:szCs w:val="14"/>
                  <w:color w:val="0000FF"/>
                </w:rPr>
                <w:t>Item 14.</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96">
              <w:r>
                <w:rPr>
                  <w:rFonts w:ascii="Arial" w:cs="Arial" w:eastAsia="Arial" w:hAnsi="Arial"/>
                  <w:sz w:val="14"/>
                  <w:szCs w:val="14"/>
                  <w:color w:val="0000FF"/>
                </w:rPr>
                <w:t>Principal Auditor Fees and Services</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6">
              <w:r>
                <w:rPr>
                  <w:rFonts w:ascii="Arial" w:cs="Arial" w:eastAsia="Arial" w:hAnsi="Arial"/>
                  <w:sz w:val="14"/>
                  <w:szCs w:val="14"/>
                  <w:b w:val="1"/>
                  <w:bCs w:val="1"/>
                  <w:color w:val="0000FF"/>
                </w:rPr>
                <w:t>94</w:t>
              </w:r>
            </w:hyperlink>
          </w:p>
        </w:tc>
      </w:tr>
      <w:tr>
        <w:trPr>
          <w:trHeight w:val="183"/>
        </w:trPr>
        <w:tc>
          <w:tcPr>
            <w:tcW w:w="1160" w:type="dxa"/>
            <w:vAlign w:val="bottom"/>
          </w:tcPr>
          <w:p>
            <w:pPr>
              <w:ind w:left="20"/>
              <w:spacing w:after="0"/>
              <w:rPr>
                <w:rFonts w:ascii="Arial" w:cs="Arial" w:eastAsia="Arial" w:hAnsi="Arial"/>
                <w:sz w:val="14"/>
                <w:szCs w:val="14"/>
                <w:b w:val="1"/>
                <w:bCs w:val="1"/>
                <w:color w:val="0000FF"/>
              </w:rPr>
            </w:pPr>
            <w:hyperlink w:anchor="page96">
              <w:r>
                <w:rPr>
                  <w:rFonts w:ascii="Arial" w:cs="Arial" w:eastAsia="Arial" w:hAnsi="Arial"/>
                  <w:sz w:val="14"/>
                  <w:szCs w:val="14"/>
                  <w:b w:val="1"/>
                  <w:bCs w:val="1"/>
                  <w:color w:val="0000FF"/>
                </w:rPr>
                <w:t>Part IV</w:t>
              </w:r>
            </w:hyperlink>
          </w:p>
        </w:tc>
        <w:tc>
          <w:tcPr>
            <w:tcW w:w="87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3"/>
        </w:trPr>
        <w:tc>
          <w:tcPr>
            <w:tcW w:w="1160" w:type="dxa"/>
            <w:vAlign w:val="bottom"/>
            <w:shd w:val="clear" w:color="auto" w:fill="CCEEFF"/>
          </w:tcPr>
          <w:p>
            <w:pPr>
              <w:ind w:left="20"/>
              <w:spacing w:after="0"/>
              <w:rPr>
                <w:rFonts w:ascii="Arial" w:cs="Arial" w:eastAsia="Arial" w:hAnsi="Arial"/>
                <w:sz w:val="14"/>
                <w:szCs w:val="14"/>
                <w:color w:val="0000FF"/>
              </w:rPr>
            </w:pPr>
            <w:hyperlink w:anchor="page96">
              <w:r>
                <w:rPr>
                  <w:rFonts w:ascii="Arial" w:cs="Arial" w:eastAsia="Arial" w:hAnsi="Arial"/>
                  <w:sz w:val="14"/>
                  <w:szCs w:val="14"/>
                  <w:color w:val="0000FF"/>
                </w:rPr>
                <w:t>Item 15.</w:t>
              </w:r>
            </w:hyperlink>
          </w:p>
        </w:tc>
        <w:tc>
          <w:tcPr>
            <w:tcW w:w="8740" w:type="dxa"/>
            <w:vAlign w:val="bottom"/>
            <w:shd w:val="clear" w:color="auto" w:fill="CCEEFF"/>
          </w:tcPr>
          <w:p>
            <w:pPr>
              <w:ind w:left="220"/>
              <w:spacing w:after="0"/>
              <w:rPr>
                <w:rFonts w:ascii="Arial" w:cs="Arial" w:eastAsia="Arial" w:hAnsi="Arial"/>
                <w:sz w:val="14"/>
                <w:szCs w:val="14"/>
                <w:color w:val="0000FF"/>
              </w:rPr>
            </w:pPr>
            <w:hyperlink w:anchor="page96">
              <w:r>
                <w:rPr>
                  <w:rFonts w:ascii="Arial" w:cs="Arial" w:eastAsia="Arial" w:hAnsi="Arial"/>
                  <w:sz w:val="14"/>
                  <w:szCs w:val="14"/>
                  <w:color w:val="0000FF"/>
                </w:rPr>
                <w:t>Exhibits and Financial Statement Schedules</w:t>
              </w:r>
            </w:hyperlink>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6">
              <w:r>
                <w:rPr>
                  <w:rFonts w:ascii="Arial" w:cs="Arial" w:eastAsia="Arial" w:hAnsi="Arial"/>
                  <w:sz w:val="14"/>
                  <w:szCs w:val="14"/>
                  <w:b w:val="1"/>
                  <w:bCs w:val="1"/>
                  <w:color w:val="0000FF"/>
                </w:rPr>
                <w:t>94</w:t>
              </w:r>
            </w:hyperlink>
          </w:p>
        </w:tc>
      </w:tr>
      <w:tr>
        <w:trPr>
          <w:trHeight w:val="183"/>
        </w:trPr>
        <w:tc>
          <w:tcPr>
            <w:tcW w:w="1160" w:type="dxa"/>
            <w:vAlign w:val="bottom"/>
          </w:tcPr>
          <w:p>
            <w:pPr>
              <w:ind w:left="20"/>
              <w:spacing w:after="0"/>
              <w:rPr>
                <w:rFonts w:ascii="Arial" w:cs="Arial" w:eastAsia="Arial" w:hAnsi="Arial"/>
                <w:sz w:val="14"/>
                <w:szCs w:val="14"/>
                <w:color w:val="0000FF"/>
              </w:rPr>
            </w:pPr>
            <w:hyperlink w:anchor="page97">
              <w:r>
                <w:rPr>
                  <w:rFonts w:ascii="Arial" w:cs="Arial" w:eastAsia="Arial" w:hAnsi="Arial"/>
                  <w:sz w:val="14"/>
                  <w:szCs w:val="14"/>
                  <w:color w:val="0000FF"/>
                </w:rPr>
                <w:t>Item 16.</w:t>
              </w:r>
            </w:hyperlink>
          </w:p>
        </w:tc>
        <w:tc>
          <w:tcPr>
            <w:tcW w:w="8740" w:type="dxa"/>
            <w:vAlign w:val="bottom"/>
          </w:tcPr>
          <w:p>
            <w:pPr>
              <w:ind w:left="220"/>
              <w:spacing w:after="0"/>
              <w:rPr>
                <w:rFonts w:ascii="Arial" w:cs="Arial" w:eastAsia="Arial" w:hAnsi="Arial"/>
                <w:sz w:val="14"/>
                <w:szCs w:val="14"/>
                <w:color w:val="0000FF"/>
              </w:rPr>
            </w:pPr>
            <w:hyperlink w:anchor="page97">
              <w:r>
                <w:rPr>
                  <w:rFonts w:ascii="Arial" w:cs="Arial" w:eastAsia="Arial" w:hAnsi="Arial"/>
                  <w:sz w:val="14"/>
                  <w:szCs w:val="14"/>
                  <w:color w:val="0000FF"/>
                </w:rPr>
                <w:t>Form 10-K Summary</w:t>
              </w:r>
            </w:hyperlink>
          </w:p>
        </w:tc>
        <w:tc>
          <w:tcPr>
            <w:tcW w:w="1540" w:type="dxa"/>
            <w:vAlign w:val="bottom"/>
          </w:tcPr>
          <w:p>
            <w:pPr>
              <w:jc w:val="right"/>
              <w:spacing w:after="0"/>
              <w:rPr>
                <w:rFonts w:ascii="Arial" w:cs="Arial" w:eastAsia="Arial" w:hAnsi="Arial"/>
                <w:sz w:val="14"/>
                <w:szCs w:val="14"/>
                <w:b w:val="1"/>
                <w:bCs w:val="1"/>
                <w:color w:val="0000FF"/>
              </w:rPr>
            </w:pPr>
            <w:hyperlink w:anchor="page97">
              <w:r>
                <w:rPr>
                  <w:rFonts w:ascii="Arial" w:cs="Arial" w:eastAsia="Arial" w:hAnsi="Arial"/>
                  <w:sz w:val="14"/>
                  <w:szCs w:val="14"/>
                  <w:b w:val="1"/>
                  <w:bCs w:val="1"/>
                  <w:color w:val="0000FF"/>
                </w:rPr>
                <w:t>95</w:t>
              </w:r>
            </w:hyperlink>
          </w:p>
        </w:tc>
      </w:tr>
      <w:tr>
        <w:trPr>
          <w:trHeight w:val="183"/>
        </w:trPr>
        <w:tc>
          <w:tcPr>
            <w:tcW w:w="1160" w:type="dxa"/>
            <w:vAlign w:val="bottom"/>
            <w:shd w:val="clear" w:color="auto" w:fill="CCEEFF"/>
          </w:tcPr>
          <w:p>
            <w:pPr>
              <w:ind w:left="20"/>
              <w:spacing w:after="0"/>
              <w:rPr>
                <w:rFonts w:ascii="Arial" w:cs="Arial" w:eastAsia="Arial" w:hAnsi="Arial"/>
                <w:sz w:val="14"/>
                <w:szCs w:val="14"/>
                <w:b w:val="1"/>
                <w:bCs w:val="1"/>
                <w:color w:val="0000FF"/>
              </w:rPr>
            </w:pPr>
            <w:hyperlink w:anchor="page97">
              <w:r>
                <w:rPr>
                  <w:rFonts w:ascii="Arial" w:cs="Arial" w:eastAsia="Arial" w:hAnsi="Arial"/>
                  <w:sz w:val="14"/>
                  <w:szCs w:val="14"/>
                  <w:b w:val="1"/>
                  <w:bCs w:val="1"/>
                  <w:color w:val="0000FF"/>
                </w:rPr>
                <w:t>Exhibit Index</w:t>
              </w:r>
            </w:hyperlink>
          </w:p>
        </w:tc>
        <w:tc>
          <w:tcPr>
            <w:tcW w:w="87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rFonts w:ascii="Arial" w:cs="Arial" w:eastAsia="Arial" w:hAnsi="Arial"/>
                <w:sz w:val="14"/>
                <w:szCs w:val="14"/>
                <w:b w:val="1"/>
                <w:bCs w:val="1"/>
                <w:color w:val="0000FF"/>
              </w:rPr>
            </w:pPr>
            <w:hyperlink w:anchor="page97">
              <w:r>
                <w:rPr>
                  <w:rFonts w:ascii="Arial" w:cs="Arial" w:eastAsia="Arial" w:hAnsi="Arial"/>
                  <w:sz w:val="14"/>
                  <w:szCs w:val="14"/>
                  <w:b w:val="1"/>
                  <w:bCs w:val="1"/>
                  <w:color w:val="0000FF"/>
                </w:rPr>
                <w:t>96</w:t>
              </w:r>
            </w:hyperlink>
          </w:p>
        </w:tc>
      </w:tr>
      <w:tr>
        <w:trPr>
          <w:trHeight w:val="190"/>
        </w:trPr>
        <w:tc>
          <w:tcPr>
            <w:tcW w:w="1160" w:type="dxa"/>
            <w:vAlign w:val="bottom"/>
          </w:tcPr>
          <w:p>
            <w:pPr>
              <w:ind w:left="20"/>
              <w:spacing w:after="0"/>
              <w:rPr>
                <w:rFonts w:ascii="Arial" w:cs="Arial" w:eastAsia="Arial" w:hAnsi="Arial"/>
                <w:sz w:val="14"/>
                <w:szCs w:val="14"/>
                <w:b w:val="1"/>
                <w:bCs w:val="1"/>
                <w:color w:val="0000FF"/>
              </w:rPr>
            </w:pPr>
            <w:hyperlink w:anchor="page101">
              <w:r>
                <w:rPr>
                  <w:rFonts w:ascii="Arial" w:cs="Arial" w:eastAsia="Arial" w:hAnsi="Arial"/>
                  <w:sz w:val="14"/>
                  <w:szCs w:val="14"/>
                  <w:b w:val="1"/>
                  <w:bCs w:val="1"/>
                  <w:color w:val="0000FF"/>
                </w:rPr>
                <w:t>Signatures</w:t>
              </w:r>
            </w:hyperlink>
          </w:p>
        </w:tc>
        <w:tc>
          <w:tcPr>
            <w:tcW w:w="8740" w:type="dxa"/>
            <w:vAlign w:val="bottom"/>
          </w:tcPr>
          <w:p>
            <w:pPr>
              <w:spacing w:after="0"/>
              <w:rPr>
                <w:sz w:val="16"/>
                <w:szCs w:val="16"/>
                <w:color w:val="auto"/>
              </w:rPr>
            </w:pPr>
          </w:p>
        </w:tc>
        <w:tc>
          <w:tcPr>
            <w:tcW w:w="1540" w:type="dxa"/>
            <w:vAlign w:val="bottom"/>
          </w:tcPr>
          <w:p>
            <w:pPr>
              <w:jc w:val="right"/>
              <w:spacing w:after="0"/>
              <w:rPr>
                <w:rFonts w:ascii="Arial" w:cs="Arial" w:eastAsia="Arial" w:hAnsi="Arial"/>
                <w:sz w:val="14"/>
                <w:szCs w:val="14"/>
                <w:b w:val="1"/>
                <w:bCs w:val="1"/>
                <w:color w:val="0000FF"/>
              </w:rPr>
            </w:pPr>
            <w:hyperlink w:anchor="page101">
              <w:r>
                <w:rPr>
                  <w:rFonts w:ascii="Arial" w:cs="Arial" w:eastAsia="Arial" w:hAnsi="Arial"/>
                  <w:sz w:val="14"/>
                  <w:szCs w:val="14"/>
                  <w:b w:val="1"/>
                  <w:bCs w:val="1"/>
                  <w:color w:val="0000FF"/>
                </w:rPr>
                <w:t>100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 BUSINESS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In this Form 10-K, unless the content otherwise dictates, "Conduent", the "Company", "we" or "our" mean Conduent Inc. and its consolidated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Business</w:t>
      </w:r>
    </w:p>
    <w:p>
      <w:pPr>
        <w:spacing w:after="0" w:line="223"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As one of the largest business process services companies in the world, Conduent delivers mission-critical services and solutions on behalf of businesses and governments – creating exceptional outcomes for our clients and the millions of people who count on them. Through people, process, expertise in transaction-intensive processing and technology such as analytics and automation, Conduent's services and solutions create value by improving efficiencies, reducing costs and enabling revenue growth. A majority of Fortune 100 companies and over 500 government entities depend on Conduent every day to manage their business processes and essential interactions with their end-users.</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Conduent's commercial portfolio includes leading solutions in attractive markets such as end-user customer experience management, transaction processing services, commercial healthcare and human resource and learning services. For example, Conduent is a leading provider of medical bill review. In 2019, Conduent processed over 28 million medical bills and saved customers over $17 billion.</w:t>
      </w:r>
    </w:p>
    <w:p>
      <w:pPr>
        <w:spacing w:after="0" w:line="179"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Conduent serves a vast range of the public sector including market leading transportation and government solutions. For example, Conduent’s systems support 11 million traveler transactions per day via electronic tolling and process over 40% of Supplemental Nutrition Assistance Program (SNAP) payments on behalf of government entities.</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We create value for our clients through efficient global service delivery combined with a personalized and seamless experience for the end-user. We apply our expertise, technology and innovation to continually modernize our offerings for improved customer and constituent satisfaction and loyalty, increased process efficiency and rapid response to changing market dynamics.</w:t>
      </w:r>
    </w:p>
    <w:p>
      <w:pPr>
        <w:spacing w:after="0" w:line="179" w:lineRule="exact"/>
        <w:rPr>
          <w:sz w:val="20"/>
          <w:szCs w:val="20"/>
          <w:color w:val="auto"/>
        </w:rPr>
      </w:pPr>
    </w:p>
    <w:p>
      <w:pPr>
        <w:ind w:right="340"/>
        <w:spacing w:after="0" w:line="264" w:lineRule="auto"/>
        <w:rPr>
          <w:sz w:val="20"/>
          <w:szCs w:val="20"/>
          <w:color w:val="auto"/>
        </w:rPr>
      </w:pPr>
      <w:r>
        <w:rPr>
          <w:rFonts w:ascii="Arial" w:cs="Arial" w:eastAsia="Arial" w:hAnsi="Arial"/>
          <w:sz w:val="14"/>
          <w:szCs w:val="14"/>
          <w:color w:val="auto"/>
        </w:rPr>
        <w:t>Conduent Incorporated is a New York corporation, organized in 2016. Our common stock began trading on January 3, 2017, on the New York Stock Exchange, under the ticker "CNDT". In December 2019, Conduent changed the listing of its publicly traded common stock from the New York Stock Exchange to the NASDAQ Global Select Market (NASDAQ), where it remains listed under the ticker "CNDT".</w:t>
      </w:r>
    </w:p>
    <w:p>
      <w:pPr>
        <w:spacing w:after="0" w:line="179" w:lineRule="exact"/>
        <w:rPr>
          <w:sz w:val="20"/>
          <w:szCs w:val="20"/>
          <w:color w:val="auto"/>
        </w:rPr>
      </w:pPr>
    </w:p>
    <w:p>
      <w:pPr>
        <w:ind w:right="300"/>
        <w:spacing w:after="0" w:line="256" w:lineRule="auto"/>
        <w:rPr>
          <w:sz w:val="20"/>
          <w:szCs w:val="20"/>
          <w:color w:val="auto"/>
        </w:rPr>
      </w:pPr>
      <w:r>
        <w:rPr>
          <w:rFonts w:ascii="Arial" w:cs="Arial" w:eastAsia="Arial" w:hAnsi="Arial"/>
          <w:sz w:val="14"/>
          <w:szCs w:val="14"/>
          <w:color w:val="auto"/>
        </w:rPr>
        <w:t>With approximately 67,000 employees globally as of December 31, 2019, we provide differentiated services to clients spanning medium and large businesses and governments around the world.</w:t>
      </w:r>
    </w:p>
    <w:p>
      <w:pPr>
        <w:spacing w:after="0" w:line="173" w:lineRule="exact"/>
        <w:rPr>
          <w:sz w:val="20"/>
          <w:szCs w:val="20"/>
          <w:color w:val="auto"/>
        </w:rPr>
      </w:pPr>
    </w:p>
    <w:p>
      <w:pPr>
        <w:ind w:right="180"/>
        <w:spacing w:after="0" w:line="248" w:lineRule="auto"/>
        <w:rPr>
          <w:sz w:val="20"/>
          <w:szCs w:val="20"/>
          <w:color w:val="auto"/>
        </w:rPr>
      </w:pPr>
      <w:r>
        <w:rPr>
          <w:rFonts w:ascii="Arial" w:cs="Arial" w:eastAsia="Arial" w:hAnsi="Arial"/>
          <w:sz w:val="14"/>
          <w:szCs w:val="14"/>
          <w:color w:val="auto"/>
        </w:rPr>
        <w:t>In the third quarter of 2019, management and the Board of Directors jointly commenced a strategic and operational review of the Company and each line of business. Each of the lines of business were evaluated across multiple factors including competitive positioning, financial performance, investment needs, market scarcity and execution risk, among others. The Company’s transformation plan and perspective on allocating capital amongst its business units changed as a result of this review.</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Transformation</w:t>
      </w:r>
    </w:p>
    <w:p>
      <w:pPr>
        <w:spacing w:after="0" w:line="223"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We continue to focus on transformation and optimization throughout the business. We have seen tremendous optimization from our real estate consolidation efforts. Going forward, we intend to transform the business through an intense focus on Growth, Quality, and Efficiency – utilizing a programmatic, project management approach. We are intent on hiring and organizing top-talent, instituting and instilling processes and investing in and upgrading our technology. We are using a deliberate process that identifies the biggest gaps and then prioritizes actions to ensure success.</w:t>
      </w:r>
    </w:p>
    <w:p>
      <w:pPr>
        <w:spacing w:after="0" w:line="162" w:lineRule="exact"/>
        <w:rPr>
          <w:sz w:val="20"/>
          <w:szCs w:val="20"/>
          <w:color w:val="auto"/>
        </w:rPr>
      </w:pPr>
    </w:p>
    <w:p>
      <w:pPr>
        <w:ind w:left="260" w:right="40" w:hanging="254"/>
        <w:spacing w:after="0" w:line="249"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Growth: </w:t>
      </w:r>
      <w:r>
        <w:rPr>
          <w:rFonts w:ascii="Arial" w:cs="Arial" w:eastAsia="Arial" w:hAnsi="Arial"/>
          <w:sz w:val="14"/>
          <w:szCs w:val="14"/>
          <w:color w:val="auto"/>
        </w:rPr>
        <w:t>In 2019, we hired a Chief Revenue Officer and re-organized our sales team. We centralized the sales executives from the business delivery operations. Previously, the</w:t>
      </w:r>
      <w:r>
        <w:rPr>
          <w:rFonts w:ascii="Arial" w:cs="Arial" w:eastAsia="Arial" w:hAnsi="Arial"/>
          <w:sz w:val="14"/>
          <w:szCs w:val="14"/>
          <w:b w:val="1"/>
          <w:bCs w:val="1"/>
          <w:color w:val="auto"/>
        </w:rPr>
        <w:t xml:space="preserve"> </w:t>
      </w:r>
      <w:r>
        <w:rPr>
          <w:rFonts w:ascii="Arial" w:cs="Arial" w:eastAsia="Arial" w:hAnsi="Arial"/>
          <w:sz w:val="14"/>
          <w:szCs w:val="14"/>
          <w:color w:val="auto"/>
        </w:rPr>
        <w:t>sales and delivery organizations were co-mingled. We believe isolating sales executives to a single organization with a sole purpose of selling will enable the team to benefit from increased focus and shared sales knowledge transfer. Additionally, we simplified our go-to-market strategy to align our focus on solution-based selling. We are taking a very client-centric approach to strengthen our relationships, better understand our clients' businesses and proactively respond to or pre-empt our clients' needs. We are examining the entire “sales to service continuum” to improve our performance and have launched a client retention program. We are measuring success in “Growth” through revenue retention and new business signings, among other metrics.</w:t>
      </w:r>
    </w:p>
    <w:p>
      <w:pPr>
        <w:spacing w:after="0" w:line="160" w:lineRule="exact"/>
        <w:rPr>
          <w:rFonts w:ascii="Arial" w:cs="Arial" w:eastAsia="Arial" w:hAnsi="Arial"/>
          <w:sz w:val="14"/>
          <w:szCs w:val="14"/>
          <w:color w:val="auto"/>
        </w:rPr>
      </w:pPr>
    </w:p>
    <w:p>
      <w:pPr>
        <w:ind w:left="260" w:hanging="254"/>
        <w:spacing w:after="0" w:line="249"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Quality: </w:t>
      </w:r>
      <w:r>
        <w:rPr>
          <w:rFonts w:ascii="Arial" w:cs="Arial" w:eastAsia="Arial" w:hAnsi="Arial"/>
          <w:sz w:val="14"/>
          <w:szCs w:val="14"/>
          <w:color w:val="auto"/>
        </w:rPr>
        <w:t>In 2019, we continued to improve processes and procedures to address our technology infrastructure and our client delivery. We hired new executive leadership in the</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organization and continued the consolidation process of our data centers. We are also establishing a new and a more centralized command center to boost proactive management and monitoring of infrastructure incidents. We believe these changes will provide stability and a streamlined delivery of services to our clients and their end-users. In addition to optimizing the quality and stability of our service delivery, we continue to invest to upgrade our solutions to enable exceptional outcomes for our clients and their end-users as we work to standardize the service delivery processes. We are measuring success in “Quality” by service level agreement performance, severity 1 outages, and client satisfaction.</w:t>
      </w:r>
    </w:p>
    <w:p>
      <w:pPr>
        <w:spacing w:after="0" w:line="160" w:lineRule="exact"/>
        <w:rPr>
          <w:rFonts w:ascii="Arial" w:cs="Arial" w:eastAsia="Arial" w:hAnsi="Arial"/>
          <w:sz w:val="14"/>
          <w:szCs w:val="14"/>
          <w:color w:val="auto"/>
        </w:rPr>
      </w:pPr>
    </w:p>
    <w:p>
      <w:pPr>
        <w:ind w:left="260" w:right="140" w:hanging="254"/>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Efficiency: </w:t>
      </w:r>
      <w:r>
        <w:rPr>
          <w:rFonts w:ascii="Arial" w:cs="Arial" w:eastAsia="Arial" w:hAnsi="Arial"/>
          <w:sz w:val="14"/>
          <w:szCs w:val="14"/>
          <w:color w:val="auto"/>
        </w:rPr>
        <w:t>We continue to find ways to reduce costs via increased efficiencies. We are implementing standardized processes and a singular operating model across the</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which we believe will eliminate silos and improve our leadership across the company. We believe greater efficiencies will be driven through simplified, standardized processes and a motivated workforce. We continue to find efficiencies from the ongoing consolidation of our data centers and real estate footprint. We are making steady progress in reshaping our culture and are investing in associate engagement programs as well as improvements to our work environments across our global locations. We are measuring success in “Efficiency” by associate retention and adjusted earnings before interest, depreciation and amortization (EBITDA) margin, among other metrics.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Market Opportunity</w:t>
      </w:r>
    </w:p>
    <w:p>
      <w:pPr>
        <w:spacing w:after="0" w:line="223"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We estimate our addressable market size in the global business process service industry at over $200 billion in 2019, according to third party industry reports, and we are a leader across several segments of this large, diverse and growing market. Providing business process services is complex and multi-faceted with services that span many industries.</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Ongoing competitive pressures and increasing demand for further productivity gains have motivated businesses to outsource elements of their day-to-day operations to accelerate performance and innovation. As a result, our clients have become more focused on their core businesses and the range of outsourced activities has expanded greatly. Increasing globalization has also required many companies to optimize cost structures to retain competitiveness and business process services have become a key component of this strategy.</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ongoing shift to next-generation software and automation technologies is driving greater demand for, and expectation of, efficiency and personalization by the constituents and customers of the businesses and governments we serve. Addressing these business and operational challenges is necessary for business process services companies to capitalize on these trends. In addition, business process services have the potential to meaningfully enhance productivity for businesses and governments and satisfaction for their customers and constituents.</w:t>
      </w:r>
    </w:p>
    <w:p>
      <w:pPr>
        <w:spacing w:after="0" w:line="200" w:lineRule="exact"/>
        <w:rPr>
          <w:sz w:val="20"/>
          <w:szCs w:val="20"/>
          <w:color w:val="auto"/>
        </w:rPr>
      </w:pPr>
    </w:p>
    <w:p>
      <w:pPr>
        <w:spacing w:after="0" w:line="40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Segments</w:t>
      </w:r>
    </w:p>
    <w:p>
      <w:pPr>
        <w:spacing w:after="0" w:line="223"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We organize, manage and report our businesses through three reportable segments (Commercial Industries, Government Services and Transportation), Other operations and Shared IT / Infrastructure &amp; Corporate Costs.</w:t>
      </w:r>
    </w:p>
    <w:p>
      <w:pPr>
        <w:spacing w:after="0" w:line="158" w:lineRule="exact"/>
        <w:rPr>
          <w:sz w:val="20"/>
          <w:szCs w:val="20"/>
          <w:color w:val="auto"/>
        </w:rPr>
      </w:pPr>
    </w:p>
    <w:p>
      <w:pPr>
        <w:jc w:val="both"/>
        <w:ind w:right="160"/>
        <w:spacing w:after="0" w:line="275"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u w:val="single" w:color="auto"/>
          <w:color w:val="auto"/>
        </w:rPr>
        <w:t>Commercial Industries</w:t>
      </w:r>
      <w:r>
        <w:rPr>
          <w:rFonts w:ascii="Arial" w:cs="Arial" w:eastAsia="Arial" w:hAnsi="Arial"/>
          <w:sz w:val="14"/>
          <w:szCs w:val="14"/>
          <w:color w:val="auto"/>
        </w:rPr>
        <w:t xml:space="preserve"> is our largest segment, with $2.4 billion in revenues in 2019, representing 53.4% of our total revenues. Across the Commercial Industries segment, we operate on our clients’ behalf to deliver mission-critical solutions and services to reduce costs, improve efficiencies and enable revenue growth for our clients and their consumers and employees.</w:t>
      </w:r>
    </w:p>
    <w:p>
      <w:pPr>
        <w:spacing w:after="0" w:line="157"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u w:val="single" w:color="auto"/>
          <w:color w:val="auto"/>
        </w:rPr>
        <w:t>Government Services</w:t>
      </w:r>
      <w:r>
        <w:rPr>
          <w:rFonts w:ascii="Arial" w:cs="Arial" w:eastAsia="Arial" w:hAnsi="Arial"/>
          <w:sz w:val="14"/>
          <w:szCs w:val="14"/>
          <w:color w:val="auto"/>
        </w:rPr>
        <w:t xml:space="preserve"> segment revenue for 2019 was $1.3 billion, representing 28.3% of our total revenues. This segment provides government-centric business process services to U.S. federal, state and local governments for public assistance program administration, transaction processing and payment services. Our solutions in this segment help governments respond to changing rules for eligibility and increasing citizen expectations.</w:t>
      </w:r>
    </w:p>
    <w:p>
      <w:pPr>
        <w:spacing w:after="0" w:line="157"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u w:val="single" w:color="auto"/>
          <w:color w:val="auto"/>
        </w:rPr>
        <w:t>Transportation</w:t>
      </w:r>
      <w:r>
        <w:rPr>
          <w:rFonts w:ascii="Arial" w:cs="Arial" w:eastAsia="Arial" w:hAnsi="Arial"/>
          <w:sz w:val="14"/>
          <w:szCs w:val="14"/>
          <w:color w:val="auto"/>
        </w:rPr>
        <w:t xml:space="preserve"> segment revenue for 2019 was $0.8 billion, representing 17.5% of our total revenues. This segment provides systems and support, as well as revenue-generating services, to government clients in 25 countries.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61" w:lineRule="exact"/>
        <w:rPr>
          <w:sz w:val="20"/>
          <w:szCs w:val="20"/>
          <w:color w:val="auto"/>
        </w:rPr>
      </w:pPr>
    </w:p>
    <w:p>
      <w:pPr>
        <w:jc w:val="both"/>
        <w:ind w:right="440"/>
        <w:spacing w:after="0" w:line="259" w:lineRule="auto"/>
        <w:rPr>
          <w:sz w:val="20"/>
          <w:szCs w:val="20"/>
          <w:color w:val="auto"/>
        </w:rPr>
      </w:pPr>
      <w:r>
        <w:rPr>
          <w:rFonts w:ascii="Arial" w:cs="Arial" w:eastAsia="Arial" w:hAnsi="Arial"/>
          <w:sz w:val="14"/>
          <w:szCs w:val="14"/>
          <w:i w:val="1"/>
          <w:iCs w:val="1"/>
          <w:u w:val="single" w:color="auto"/>
          <w:color w:val="auto"/>
        </w:rPr>
        <w:t>Other</w:t>
      </w:r>
      <w:r>
        <w:rPr>
          <w:rFonts w:ascii="Arial" w:cs="Arial" w:eastAsia="Arial" w:hAnsi="Arial"/>
          <w:sz w:val="14"/>
          <w:szCs w:val="14"/>
          <w:i w:val="1"/>
          <w:iCs w:val="1"/>
          <w:color w:val="auto"/>
        </w:rPr>
        <w:t xml:space="preserve"> </w:t>
      </w:r>
      <w:r>
        <w:rPr>
          <w:rFonts w:ascii="Arial" w:cs="Arial" w:eastAsia="Arial" w:hAnsi="Arial"/>
          <w:sz w:val="14"/>
          <w:szCs w:val="14"/>
          <w:color w:val="auto"/>
        </w:rPr>
        <w:t>represents our divestitures, our Student Loan business, which the Company exited in the third quarter of 2018. In 2019, Other accounted for $38 million or 0.8% of total</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which was mainly from the portfolio of select standalone customer care contracts sold in February 2019. Refer to Note 4 – Divestiture to the Consolidated Financial Statements for additional information regarding this sale.</w:t>
      </w:r>
    </w:p>
    <w:p>
      <w:pPr>
        <w:spacing w:after="0" w:line="157"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i w:val="1"/>
          <w:iCs w:val="1"/>
          <w:u w:val="single" w:color="auto"/>
          <w:color w:val="auto"/>
        </w:rPr>
        <w:t>Shared IT / Infrastructure &amp; Corporate Costs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includes both normal ongoing IT infrastructure costs and costs related to modernization of a significant portion of our infrastructure with</w:t>
      </w:r>
      <w:r>
        <w:rPr>
          <w:rFonts w:ascii="Arial" w:cs="Arial" w:eastAsia="Arial" w:hAnsi="Arial"/>
          <w:sz w:val="14"/>
          <w:szCs w:val="14"/>
          <w:i w:val="1"/>
          <w:iCs w:val="1"/>
          <w:color w:val="auto"/>
        </w:rPr>
        <w:t xml:space="preserve"> </w:t>
      </w:r>
      <w:r>
        <w:rPr>
          <w:rFonts w:ascii="Arial" w:cs="Arial" w:eastAsia="Arial" w:hAnsi="Arial"/>
          <w:sz w:val="14"/>
          <w:szCs w:val="14"/>
          <w:color w:val="auto"/>
        </w:rPr>
        <w:t>new systems and processes and consolidation of our data centers as part of our transformation initiatives. It also includes costs related to corporate overhead functions and shared real estate costs. These costs are not allocated to the reportable segments. We expect that our transformation initiatives will provide greater strategic and operational flexibility and efficiency and better control of our systems and processes. There is a risk, however, that our modernization efforts and data center consolidations could materially and adversely disrupt our operations. Refer to Part I, Item 1A – Risk Factors of this Form 10-K for additional information.</w:t>
      </w:r>
    </w:p>
    <w:p>
      <w:pPr>
        <w:spacing w:after="0" w:line="177" w:lineRule="exact"/>
        <w:rPr>
          <w:sz w:val="20"/>
          <w:szCs w:val="20"/>
          <w:color w:val="auto"/>
        </w:rPr>
      </w:pPr>
    </w:p>
    <w:p>
      <w:pPr>
        <w:ind w:right="760"/>
        <w:spacing w:after="0" w:line="273" w:lineRule="auto"/>
        <w:rPr>
          <w:sz w:val="20"/>
          <w:szCs w:val="20"/>
          <w:color w:val="auto"/>
        </w:rPr>
      </w:pPr>
      <w:r>
        <w:rPr>
          <w:rFonts w:ascii="Arial" w:cs="Arial" w:eastAsia="Arial" w:hAnsi="Arial"/>
          <w:sz w:val="14"/>
          <w:szCs w:val="14"/>
          <w:color w:val="auto"/>
        </w:rPr>
        <w:t>We present segment financial information in Note 3 – Segment Reporting to our Consolidated Financial Statements included in Part II, Item 8 of this Form 10-K, which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Service Offerings</w:t>
      </w:r>
    </w:p>
    <w:p>
      <w:pPr>
        <w:spacing w:after="0" w:line="223"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Our portfolio of business process services includes a combination of industry-specific and cross-industry services. We have subject matter experts who are responsible for implementing each of these services, delivering service excellence to clients, ensuring best practices to improve cost competitiveness, innovating our next generation offerings and supporting worldwide sales.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Commercial Industries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Our solutions and services include end-user customer experience, transaction processing, commercial healthcare and human resource and learning services.</w:t>
      </w:r>
    </w:p>
    <w:p>
      <w:pPr>
        <w:spacing w:after="0" w:line="187" w:lineRule="exact"/>
        <w:rPr>
          <w:sz w:val="20"/>
          <w:szCs w:val="20"/>
          <w:color w:val="auto"/>
        </w:rPr>
      </w:pPr>
    </w:p>
    <w:p>
      <w:pPr>
        <w:ind w:left="260" w:hanging="254"/>
        <w:spacing w:after="0"/>
        <w:tabs>
          <w:tab w:leader="none" w:pos="26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End-User Customer Experience (EUCE)</w:t>
      </w:r>
    </w:p>
    <w:p>
      <w:pPr>
        <w:spacing w:after="0" w:line="29" w:lineRule="exact"/>
        <w:rPr>
          <w:rFonts w:ascii="Arial" w:cs="Arial" w:eastAsia="Arial" w:hAnsi="Arial"/>
          <w:sz w:val="14"/>
          <w:szCs w:val="14"/>
          <w:b w:val="1"/>
          <w:bCs w:val="1"/>
          <w:color w:val="auto"/>
        </w:rPr>
      </w:pPr>
    </w:p>
    <w:p>
      <w:pPr>
        <w:ind w:left="780" w:right="120" w:hanging="257"/>
        <w:spacing w:after="0" w:line="273" w:lineRule="auto"/>
        <w:tabs>
          <w:tab w:leader="none" w:pos="777" w:val="left"/>
        </w:tabs>
        <w:numPr>
          <w:ilvl w:val="1"/>
          <w:numId w:val="4"/>
        </w:numPr>
        <w:rPr>
          <w:rFonts w:ascii="Arial" w:cs="Arial" w:eastAsia="Arial" w:hAnsi="Arial"/>
          <w:sz w:val="14"/>
          <w:szCs w:val="14"/>
          <w:i w:val="1"/>
          <w:iCs w:val="1"/>
          <w:color w:val="auto"/>
        </w:rPr>
      </w:pPr>
      <w:r>
        <w:rPr>
          <w:rFonts w:ascii="Arial" w:cs="Arial" w:eastAsia="Arial" w:hAnsi="Arial"/>
          <w:sz w:val="14"/>
          <w:szCs w:val="14"/>
          <w:color w:val="auto"/>
        </w:rPr>
        <w:t>We offer a range of services that help our clients support their end-users. This includes in-bound and out-bound call support for both simple and complex transactions, technical support and patient assistance. We also provide multi-channel communication support (both print and digital) across a range of industries.</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ind w:left="260" w:hanging="254"/>
        <w:spacing w:after="0"/>
        <w:tabs>
          <w:tab w:leader="none" w:pos="26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Transaction Processing Solutions (TP)</w:t>
      </w:r>
    </w:p>
    <w:p>
      <w:pPr>
        <w:spacing w:after="0" w:line="29" w:lineRule="exact"/>
        <w:rPr>
          <w:rFonts w:ascii="Arial" w:cs="Arial" w:eastAsia="Arial" w:hAnsi="Arial"/>
          <w:sz w:val="14"/>
          <w:szCs w:val="14"/>
          <w:b w:val="1"/>
          <w:bCs w:val="1"/>
          <w:color w:val="auto"/>
        </w:rPr>
      </w:pPr>
    </w:p>
    <w:p>
      <w:pPr>
        <w:ind w:left="780" w:right="100" w:hanging="257"/>
        <w:spacing w:after="0" w:line="264" w:lineRule="auto"/>
        <w:tabs>
          <w:tab w:leader="none" w:pos="777" w:val="left"/>
        </w:tabs>
        <w:numPr>
          <w:ilvl w:val="1"/>
          <w:numId w:val="5"/>
        </w:numPr>
        <w:rPr>
          <w:rFonts w:ascii="Arial" w:cs="Arial" w:eastAsia="Arial" w:hAnsi="Arial"/>
          <w:sz w:val="14"/>
          <w:szCs w:val="14"/>
          <w:color w:val="auto"/>
        </w:rPr>
      </w:pPr>
      <w:r>
        <w:rPr>
          <w:rFonts w:ascii="Arial" w:cs="Arial" w:eastAsia="Arial" w:hAnsi="Arial"/>
          <w:sz w:val="14"/>
          <w:szCs w:val="14"/>
          <w:color w:val="auto"/>
        </w:rPr>
        <w:t>We help our clients improve communications with their customers and constituents, whether it is on paper, on-line or through other communication channels. By supporting our clients’ customer communication processes, we help our clients deliver a better experience to their customers and operate with improved efficiency and greater effectiveness.</w:t>
      </w:r>
    </w:p>
    <w:p>
      <w:pPr>
        <w:spacing w:after="0" w:line="179" w:lineRule="exact"/>
        <w:rPr>
          <w:rFonts w:ascii="Arial" w:cs="Arial" w:eastAsia="Arial" w:hAnsi="Arial"/>
          <w:sz w:val="14"/>
          <w:szCs w:val="14"/>
          <w:color w:val="auto"/>
        </w:rPr>
      </w:pPr>
    </w:p>
    <w:p>
      <w:pPr>
        <w:ind w:left="780" w:right="40" w:hanging="257"/>
        <w:spacing w:after="0" w:line="260" w:lineRule="auto"/>
        <w:tabs>
          <w:tab w:leader="none" w:pos="777" w:val="left"/>
        </w:tabs>
        <w:numPr>
          <w:ilvl w:val="1"/>
          <w:numId w:val="5"/>
        </w:numPr>
        <w:rPr>
          <w:rFonts w:ascii="Arial" w:cs="Arial" w:eastAsia="Arial" w:hAnsi="Arial"/>
          <w:sz w:val="14"/>
          <w:szCs w:val="14"/>
          <w:color w:val="auto"/>
        </w:rPr>
      </w:pPr>
      <w:r>
        <w:rPr>
          <w:rFonts w:ascii="Arial" w:cs="Arial" w:eastAsia="Arial" w:hAnsi="Arial"/>
          <w:sz w:val="14"/>
          <w:szCs w:val="14"/>
          <w:color w:val="auto"/>
        </w:rPr>
        <w:t>We offer a broad array of flexible transaction processing services that include data entry, scanning, image processing, enrollment processing, claims processing, high volume offsite print and mail services and file indexing. Our multi-channel communication capabilities (including secure print, email, text and web) enable the delivery of personalized and targeted communications that are designed to elicit the desired response from customers or other end-users (e.g., on-time bill payment and increased marketing response rates). Our service offerings utilize both proprietary and commercially available third-party technologies, combined with our expertise, to ensure continued quality and innovation for our clients.</w:t>
      </w:r>
    </w:p>
    <w:p>
      <w:pPr>
        <w:spacing w:after="0" w:line="183" w:lineRule="exact"/>
        <w:rPr>
          <w:rFonts w:ascii="Arial" w:cs="Arial" w:eastAsia="Arial" w:hAnsi="Arial"/>
          <w:sz w:val="14"/>
          <w:szCs w:val="14"/>
          <w:color w:val="auto"/>
        </w:rPr>
      </w:pPr>
    </w:p>
    <w:p>
      <w:pPr>
        <w:ind w:left="780" w:hanging="257"/>
        <w:spacing w:after="0" w:line="262" w:lineRule="auto"/>
        <w:tabs>
          <w:tab w:leader="none" w:pos="777" w:val="left"/>
        </w:tabs>
        <w:numPr>
          <w:ilvl w:val="1"/>
          <w:numId w:val="5"/>
        </w:numPr>
        <w:rPr>
          <w:rFonts w:ascii="Arial" w:cs="Arial" w:eastAsia="Arial" w:hAnsi="Arial"/>
          <w:sz w:val="14"/>
          <w:szCs w:val="14"/>
          <w:color w:val="auto"/>
        </w:rPr>
      </w:pPr>
      <w:r>
        <w:rPr>
          <w:rFonts w:ascii="Arial" w:cs="Arial" w:eastAsia="Arial" w:hAnsi="Arial"/>
          <w:sz w:val="14"/>
          <w:szCs w:val="14"/>
          <w:color w:val="auto"/>
        </w:rPr>
        <w:t>We also serve clients by managing their critical finance, accounting and procurement processes. Our services include general accounting and reporting, billing and accounts receivable and purchasing, accounts payable and expense management services. We also offer wholesale and retail lockbox services and process auto and mortgage loans in the United States. With a global, dedicated team, we manage the core, end-to-end process areas of finance, accounting and procurement for some of the world’s most recognized brands.</w:t>
      </w:r>
    </w:p>
    <w:p>
      <w:pPr>
        <w:spacing w:after="0" w:line="161" w:lineRule="exact"/>
        <w:rPr>
          <w:rFonts w:ascii="Arial" w:cs="Arial" w:eastAsia="Arial" w:hAnsi="Arial"/>
          <w:sz w:val="14"/>
          <w:szCs w:val="14"/>
          <w:color w:val="auto"/>
        </w:rPr>
      </w:pPr>
    </w:p>
    <w:p>
      <w:pPr>
        <w:ind w:left="260" w:hanging="254"/>
        <w:spacing w:after="0"/>
        <w:tabs>
          <w:tab w:leader="none" w:pos="26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Commercial Healthcare Services (CH)</w:t>
      </w:r>
    </w:p>
    <w:p>
      <w:pPr>
        <w:spacing w:after="0" w:line="29" w:lineRule="exact"/>
        <w:rPr>
          <w:rFonts w:ascii="Arial" w:cs="Arial" w:eastAsia="Arial" w:hAnsi="Arial"/>
          <w:sz w:val="14"/>
          <w:szCs w:val="14"/>
          <w:b w:val="1"/>
          <w:bCs w:val="1"/>
          <w:color w:val="auto"/>
        </w:rPr>
      </w:pPr>
    </w:p>
    <w:p>
      <w:pPr>
        <w:ind w:left="780" w:right="360" w:hanging="257"/>
        <w:spacing w:after="0" w:line="260" w:lineRule="auto"/>
        <w:tabs>
          <w:tab w:leader="none" w:pos="777" w:val="left"/>
        </w:tabs>
        <w:numPr>
          <w:ilvl w:val="1"/>
          <w:numId w:val="5"/>
        </w:numPr>
        <w:rPr>
          <w:rFonts w:ascii="Arial" w:cs="Arial" w:eastAsia="Arial" w:hAnsi="Arial"/>
          <w:sz w:val="14"/>
          <w:szCs w:val="14"/>
          <w:color w:val="auto"/>
        </w:rPr>
      </w:pPr>
      <w:r>
        <w:rPr>
          <w:rFonts w:ascii="Arial" w:cs="Arial" w:eastAsia="Arial" w:hAnsi="Arial"/>
          <w:sz w:val="14"/>
          <w:szCs w:val="14"/>
          <w:color w:val="auto"/>
        </w:rPr>
        <w:t>On behalf of the healthcare industry, we deliver administration, clinical support and medical management solutions across the health ecosystem to reduce costs, increase compliance and enhance utilization, while improving health outcomes and experience for members and patients. Our solutions span: trials, sales, access, adherence and long-term differentiation solutions to pharmaceutical clients; case management, performance management and patient safety for hospital clients; medical bill review, care integration, subrogation and payment integrity solutions to managed care companies; and workers compensation medical bill review, mailroom/data capture and medical management services to claims payers and third-party administrators.</w:t>
      </w:r>
    </w:p>
    <w:p>
      <w:pPr>
        <w:spacing w:after="0" w:line="165" w:lineRule="exact"/>
        <w:rPr>
          <w:rFonts w:ascii="Arial" w:cs="Arial" w:eastAsia="Arial" w:hAnsi="Arial"/>
          <w:sz w:val="14"/>
          <w:szCs w:val="14"/>
          <w:color w:val="auto"/>
        </w:rPr>
      </w:pPr>
    </w:p>
    <w:p>
      <w:pPr>
        <w:ind w:left="260" w:hanging="254"/>
        <w:spacing w:after="0"/>
        <w:tabs>
          <w:tab w:leader="none" w:pos="26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Human Resource and Learning Services (HRL)</w:t>
      </w:r>
    </w:p>
    <w:p>
      <w:pPr>
        <w:spacing w:after="0" w:line="29" w:lineRule="exact"/>
        <w:rPr>
          <w:rFonts w:ascii="Arial" w:cs="Arial" w:eastAsia="Arial" w:hAnsi="Arial"/>
          <w:sz w:val="14"/>
          <w:szCs w:val="14"/>
          <w:b w:val="1"/>
          <w:bCs w:val="1"/>
          <w:color w:val="auto"/>
        </w:rPr>
      </w:pPr>
    </w:p>
    <w:p>
      <w:pPr>
        <w:ind w:left="780" w:right="220" w:hanging="257"/>
        <w:spacing w:after="0" w:line="264" w:lineRule="auto"/>
        <w:tabs>
          <w:tab w:leader="none" w:pos="777" w:val="left"/>
        </w:tabs>
        <w:numPr>
          <w:ilvl w:val="1"/>
          <w:numId w:val="5"/>
        </w:numPr>
        <w:rPr>
          <w:rFonts w:ascii="Arial" w:cs="Arial" w:eastAsia="Arial" w:hAnsi="Arial"/>
          <w:sz w:val="14"/>
          <w:szCs w:val="14"/>
          <w:i w:val="1"/>
          <w:iCs w:val="1"/>
          <w:color w:val="auto"/>
        </w:rPr>
      </w:pPr>
      <w:r>
        <w:rPr>
          <w:rFonts w:ascii="Arial" w:cs="Arial" w:eastAsia="Arial" w:hAnsi="Arial"/>
          <w:sz w:val="14"/>
          <w:szCs w:val="14"/>
          <w:color w:val="auto"/>
        </w:rPr>
        <w:t>We help our clients support their employees at all stages of employment from initial on-boarding through retirement, as well as HSA administration. We offer clients a range of customized advisory, technology and administrative services that improve the ability of employees to manage their benefits, professional development and retirement planning.</w:t>
      </w:r>
    </w:p>
    <w:p>
      <w:pPr>
        <w:spacing w:after="0" w:line="179" w:lineRule="exact"/>
        <w:rPr>
          <w:rFonts w:ascii="Arial" w:cs="Arial" w:eastAsia="Arial" w:hAnsi="Arial"/>
          <w:sz w:val="14"/>
          <w:szCs w:val="14"/>
          <w:i w:val="1"/>
          <w:iCs w:val="1"/>
          <w:color w:val="auto"/>
        </w:rPr>
      </w:pPr>
    </w:p>
    <w:p>
      <w:pPr>
        <w:ind w:left="780" w:right="40" w:hanging="257"/>
        <w:spacing w:after="0" w:line="260" w:lineRule="auto"/>
        <w:tabs>
          <w:tab w:leader="none" w:pos="777" w:val="left"/>
        </w:tabs>
        <w:numPr>
          <w:ilvl w:val="1"/>
          <w:numId w:val="5"/>
        </w:numPr>
        <w:rPr>
          <w:rFonts w:ascii="Arial" w:cs="Arial" w:eastAsia="Arial" w:hAnsi="Arial"/>
          <w:sz w:val="14"/>
          <w:szCs w:val="14"/>
          <w:color w:val="auto"/>
        </w:rPr>
      </w:pPr>
      <w:r>
        <w:rPr>
          <w:rFonts w:ascii="Arial" w:cs="Arial" w:eastAsia="Arial" w:hAnsi="Arial"/>
          <w:sz w:val="14"/>
          <w:szCs w:val="14"/>
          <w:color w:val="auto"/>
        </w:rPr>
        <w:t>We also provide clients with a simplified approach to help their employees manage their healthcare costs and accumulate wealth with tax-advantaged accounts. We consolidate administration of all health spending accounts onto one common platform, including HSA, Health Reimbursement Arrangements, Flexible Spending Accounts and Commuter and Dependent Care Accounts. By consolidating and integrating the management of health spending accounts, we help our clients improve benefit enrollment and account opening, consolidate customer service, simplify communications and streamline account funding and management. As of December 31, 2019, we had approximately 1 million active HSA accounts and $2.7 billion of assets under management within our HSA offering.</w:t>
      </w:r>
    </w:p>
    <w:p>
      <w:pPr>
        <w:spacing w:after="0" w:line="183" w:lineRule="exact"/>
        <w:rPr>
          <w:rFonts w:ascii="Arial" w:cs="Arial" w:eastAsia="Arial" w:hAnsi="Arial"/>
          <w:sz w:val="14"/>
          <w:szCs w:val="14"/>
          <w:color w:val="auto"/>
        </w:rPr>
      </w:pPr>
    </w:p>
    <w:p>
      <w:pPr>
        <w:ind w:left="780" w:right="120" w:hanging="257"/>
        <w:spacing w:after="0" w:line="264" w:lineRule="auto"/>
        <w:tabs>
          <w:tab w:leader="none" w:pos="777" w:val="left"/>
        </w:tabs>
        <w:numPr>
          <w:ilvl w:val="1"/>
          <w:numId w:val="5"/>
        </w:numPr>
        <w:rPr>
          <w:rFonts w:ascii="Arial" w:cs="Arial" w:eastAsia="Arial" w:hAnsi="Arial"/>
          <w:sz w:val="14"/>
          <w:szCs w:val="14"/>
          <w:color w:val="auto"/>
        </w:rPr>
      </w:pPr>
      <w:r>
        <w:rPr>
          <w:rFonts w:ascii="Arial" w:cs="Arial" w:eastAsia="Arial" w:hAnsi="Arial"/>
          <w:sz w:val="14"/>
          <w:szCs w:val="14"/>
          <w:color w:val="auto"/>
        </w:rPr>
        <w:t>We are a provider of end-to-end learning services, designed to accelerate the productivity and development of our clients’ employees and extended work forces. Our global presence, superior innovation and expertise allow us to deliver performance-based learning services tailored to our clients’ unique strategic business goals. Our offerings include learning strategy and assessment, instructor management and learning administration.</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Services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Our solutions and services include government health services, payment solutions, child support services, and labor workforce and general government solutions.</w:t>
      </w:r>
    </w:p>
    <w:p>
      <w:pPr>
        <w:spacing w:after="0" w:line="187" w:lineRule="exact"/>
        <w:rPr>
          <w:sz w:val="20"/>
          <w:szCs w:val="20"/>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Government Healthcare</w:t>
      </w:r>
    </w:p>
    <w:p>
      <w:pPr>
        <w:spacing w:after="0" w:line="29" w:lineRule="exact"/>
        <w:rPr>
          <w:rFonts w:ascii="Arial" w:cs="Arial" w:eastAsia="Arial" w:hAnsi="Arial"/>
          <w:sz w:val="14"/>
          <w:szCs w:val="14"/>
          <w:color w:val="auto"/>
        </w:rPr>
      </w:pPr>
    </w:p>
    <w:p>
      <w:pPr>
        <w:ind w:left="780" w:right="40" w:hanging="257"/>
        <w:spacing w:after="0" w:line="244" w:lineRule="auto"/>
        <w:tabs>
          <w:tab w:leader="none" w:pos="777" w:val="left"/>
        </w:tabs>
        <w:numPr>
          <w:ilvl w:val="1"/>
          <w:numId w:val="6"/>
        </w:numPr>
        <w:rPr>
          <w:rFonts w:ascii="Arial" w:cs="Arial" w:eastAsia="Arial" w:hAnsi="Arial"/>
          <w:sz w:val="14"/>
          <w:szCs w:val="14"/>
          <w:color w:val="auto"/>
        </w:rPr>
      </w:pPr>
      <w:r>
        <w:rPr>
          <w:rFonts w:ascii="Arial" w:cs="Arial" w:eastAsia="Arial" w:hAnsi="Arial"/>
          <w:sz w:val="14"/>
          <w:szCs w:val="14"/>
          <w:color w:val="auto"/>
        </w:rPr>
        <w:t>We provide medical management and fiscal agent care management services to Medicaid programs and federally-funded U.S. government healthcare programs in 23 states, Puerto Rico and the District of Columbia. Our services include a range of innovative solutions such as Medicaid management, provider services, Medicaid business intelligence, pharmacy benefits management, eligibility verification and case management solutions. Our case management solutions make it easy to process and access large volumes of digital data. This can be used to track public health metrics (such as diseases, vitals, and birth defects), perform electronic visit verification, and more. These services help states optimize their costs by streamlining access to care and improve patient health outcomes through population health management, while helping families in need, by improving beneficiary support.</w:t>
      </w:r>
    </w:p>
    <w:p>
      <w:pPr>
        <w:spacing w:after="0" w:line="162" w:lineRule="exact"/>
        <w:rPr>
          <w:rFonts w:ascii="Arial" w:cs="Arial" w:eastAsia="Arial" w:hAnsi="Arial"/>
          <w:sz w:val="14"/>
          <w:szCs w:val="14"/>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Payment Solutions</w:t>
      </w:r>
    </w:p>
    <w:p>
      <w:pPr>
        <w:spacing w:after="0" w:line="29" w:lineRule="exact"/>
        <w:rPr>
          <w:rFonts w:ascii="Arial" w:cs="Arial" w:eastAsia="Arial" w:hAnsi="Arial"/>
          <w:sz w:val="14"/>
          <w:szCs w:val="14"/>
          <w:color w:val="auto"/>
        </w:rPr>
      </w:pPr>
    </w:p>
    <w:p>
      <w:pPr>
        <w:ind w:left="780" w:hanging="257"/>
        <w:spacing w:after="0" w:line="244" w:lineRule="auto"/>
        <w:tabs>
          <w:tab w:leader="none" w:pos="777" w:val="left"/>
        </w:tabs>
        <w:numPr>
          <w:ilvl w:val="1"/>
          <w:numId w:val="6"/>
        </w:numPr>
        <w:rPr>
          <w:rFonts w:ascii="Arial" w:cs="Arial" w:eastAsia="Arial" w:hAnsi="Arial"/>
          <w:sz w:val="14"/>
          <w:szCs w:val="14"/>
          <w:color w:val="auto"/>
        </w:rPr>
      </w:pPr>
      <w:r>
        <w:rPr>
          <w:rFonts w:ascii="Arial" w:cs="Arial" w:eastAsia="Arial" w:hAnsi="Arial"/>
          <w:sz w:val="14"/>
          <w:szCs w:val="14"/>
          <w:color w:val="auto"/>
        </w:rPr>
        <w:t>With more than $80 billion disbursed annually, we are a leader in government payment disbursements for federally sponsored programs like SNAP, commonly known as food stamps and Women, Infant and Children (WIC) as well as government-initiated cash disbursements such as child support and unemployment. Conduent delivers electronic payments for government services in 33 states, including 106 prepaid debit card programs, 26 Electronic Benefit Transfer (EBT) programs, 13 EBT for WIC programs and 7 Electronic Child Care programs. As part of our payment solutions, we are also a preferred partner to child support enforcement agencies nationwide, we deliver innovative services and solutions to help agencies reduce costs and improve processes.</w:t>
      </w:r>
    </w:p>
    <w:p>
      <w:pPr>
        <w:spacing w:after="0" w:line="164" w:lineRule="exact"/>
        <w:rPr>
          <w:rFonts w:ascii="Arial" w:cs="Arial" w:eastAsia="Arial" w:hAnsi="Arial"/>
          <w:sz w:val="14"/>
          <w:szCs w:val="14"/>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State and Local</w:t>
      </w:r>
    </w:p>
    <w:p>
      <w:pPr>
        <w:spacing w:after="0" w:line="28" w:lineRule="exact"/>
        <w:rPr>
          <w:rFonts w:ascii="Arial" w:cs="Arial" w:eastAsia="Arial" w:hAnsi="Arial"/>
          <w:sz w:val="14"/>
          <w:szCs w:val="14"/>
          <w:color w:val="auto"/>
        </w:rPr>
      </w:pPr>
    </w:p>
    <w:p>
      <w:pPr>
        <w:ind w:left="780" w:right="120" w:hanging="257"/>
        <w:spacing w:after="0" w:line="265" w:lineRule="auto"/>
        <w:tabs>
          <w:tab w:leader="none" w:pos="777" w:val="left"/>
        </w:tabs>
        <w:numPr>
          <w:ilvl w:val="1"/>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Child Support Services: </w:t>
      </w:r>
      <w:r>
        <w:rPr>
          <w:rFonts w:ascii="Arial" w:cs="Arial" w:eastAsia="Arial" w:hAnsi="Arial"/>
          <w:sz w:val="14"/>
          <w:szCs w:val="14"/>
          <w:color w:val="auto"/>
        </w:rPr>
        <w:t>As a preferred partner to child support enforcement agencies nationwide, we deliver innovative services and solutions to help agencies reduce</w:t>
      </w:r>
      <w:r>
        <w:rPr>
          <w:rFonts w:ascii="Arial" w:cs="Arial" w:eastAsia="Arial" w:hAnsi="Arial"/>
          <w:sz w:val="14"/>
          <w:szCs w:val="14"/>
          <w:i w:val="1"/>
          <w:iCs w:val="1"/>
          <w:color w:val="auto"/>
        </w:rPr>
        <w:t xml:space="preserve"> </w:t>
      </w:r>
      <w:r>
        <w:rPr>
          <w:rFonts w:ascii="Arial" w:cs="Arial" w:eastAsia="Arial" w:hAnsi="Arial"/>
          <w:sz w:val="14"/>
          <w:szCs w:val="14"/>
          <w:color w:val="auto"/>
        </w:rPr>
        <w:t>costs and improve processes. We offer a broad set of child support services, including processing and distributing State Disbursement Units (SDUs), Child support payment cards, child care credentialing and case management, among others, to help states comply with federal standards.</w:t>
      </w:r>
    </w:p>
    <w:p>
      <w:pPr>
        <w:spacing w:after="0" w:line="163" w:lineRule="exact"/>
        <w:rPr>
          <w:rFonts w:ascii="Arial" w:cs="Arial" w:eastAsia="Arial" w:hAnsi="Arial"/>
          <w:sz w:val="14"/>
          <w:szCs w:val="14"/>
          <w:color w:val="auto"/>
        </w:rPr>
      </w:pPr>
    </w:p>
    <w:p>
      <w:pPr>
        <w:ind w:left="780" w:right="520" w:hanging="257"/>
        <w:spacing w:after="0" w:line="275" w:lineRule="auto"/>
        <w:tabs>
          <w:tab w:leader="none" w:pos="777" w:val="left"/>
        </w:tabs>
        <w:numPr>
          <w:ilvl w:val="1"/>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Labor, Workforce and Government Solutions: </w:t>
      </w:r>
      <w:r>
        <w:rPr>
          <w:rFonts w:ascii="Arial" w:cs="Arial" w:eastAsia="Arial" w:hAnsi="Arial"/>
          <w:sz w:val="14"/>
          <w:szCs w:val="14"/>
          <w:color w:val="auto"/>
        </w:rPr>
        <w:t>We help agencies streamline onerous, paper-based tasks by turning them into efficient, digital processes. We offer</w:t>
      </w:r>
      <w:r>
        <w:rPr>
          <w:rFonts w:ascii="Arial" w:cs="Arial" w:eastAsia="Arial" w:hAnsi="Arial"/>
          <w:sz w:val="14"/>
          <w:szCs w:val="14"/>
          <w:i w:val="1"/>
          <w:iCs w:val="1"/>
          <w:color w:val="auto"/>
        </w:rPr>
        <w:t xml:space="preserve"> </w:t>
      </w:r>
      <w:r>
        <w:rPr>
          <w:rFonts w:ascii="Arial" w:cs="Arial" w:eastAsia="Arial" w:hAnsi="Arial"/>
          <w:sz w:val="14"/>
          <w:szCs w:val="14"/>
          <w:color w:val="auto"/>
        </w:rPr>
        <w:t>unemployment insurance, workers compensation, parks and recreation, utilities and information technology solutions (such as cloud, hosting, maintenance and operations) to all the 50 U.S. states.</w:t>
      </w:r>
    </w:p>
    <w:p>
      <w:pPr>
        <w:spacing w:after="0" w:line="153" w:lineRule="exact"/>
        <w:rPr>
          <w:rFonts w:ascii="Arial" w:cs="Arial" w:eastAsia="Arial" w:hAnsi="Arial"/>
          <w:sz w:val="14"/>
          <w:szCs w:val="14"/>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Federal</w:t>
      </w:r>
    </w:p>
    <w:p>
      <w:pPr>
        <w:spacing w:after="0" w:line="29" w:lineRule="exact"/>
        <w:rPr>
          <w:rFonts w:ascii="Arial" w:cs="Arial" w:eastAsia="Arial" w:hAnsi="Arial"/>
          <w:sz w:val="14"/>
          <w:szCs w:val="14"/>
          <w:color w:val="auto"/>
        </w:rPr>
      </w:pPr>
    </w:p>
    <w:p>
      <w:pPr>
        <w:ind w:left="780" w:right="400" w:hanging="257"/>
        <w:spacing w:after="0" w:line="273" w:lineRule="auto"/>
        <w:tabs>
          <w:tab w:leader="none" w:pos="777" w:val="left"/>
        </w:tabs>
        <w:numPr>
          <w:ilvl w:val="1"/>
          <w:numId w:val="6"/>
        </w:numPr>
        <w:rPr>
          <w:rFonts w:ascii="Arial" w:cs="Arial" w:eastAsia="Arial" w:hAnsi="Arial"/>
          <w:sz w:val="14"/>
          <w:szCs w:val="14"/>
          <w:color w:val="auto"/>
        </w:rPr>
      </w:pPr>
      <w:r>
        <w:rPr>
          <w:rFonts w:ascii="Arial" w:cs="Arial" w:eastAsia="Arial" w:hAnsi="Arial"/>
          <w:sz w:val="14"/>
          <w:szCs w:val="14"/>
          <w:color w:val="auto"/>
        </w:rPr>
        <w:t>As a preferred partner to government IT clients, we leverage technology as a key mechanism for improving citizen service and cost savings. Our solutions include: technology infrastructure, application portfolio management, IT consulting, and other IT managed services.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Transportation</w:t>
      </w:r>
    </w:p>
    <w:p>
      <w:pPr>
        <w:spacing w:after="0" w:line="22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On behalf of government agencies and authorities in the transportation industry, we deliver fare collection, violation management, notification, mobility and payment solutions that improve automation, interoperability and decision-making to streamline operations, increase revenue and reduce congestion while creating safer communities and seamless travel experiences for consumers. Our solutions span tolling, transit, photo and parking and commercial vehicle.</w:t>
      </w:r>
    </w:p>
    <w:p>
      <w:pPr>
        <w:spacing w:after="0" w:line="161" w:lineRule="exact"/>
        <w:rPr>
          <w:sz w:val="20"/>
          <w:szCs w:val="20"/>
          <w:color w:val="auto"/>
        </w:rPr>
      </w:pPr>
    </w:p>
    <w:p>
      <w:pPr>
        <w:ind w:left="260" w:hanging="254"/>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Tolling</w:t>
      </w:r>
    </w:p>
    <w:p>
      <w:pPr>
        <w:spacing w:after="0" w:line="18" w:lineRule="exact"/>
        <w:rPr>
          <w:rFonts w:ascii="Arial" w:cs="Arial" w:eastAsia="Arial" w:hAnsi="Arial"/>
          <w:sz w:val="14"/>
          <w:szCs w:val="14"/>
          <w:color w:val="auto"/>
        </w:rPr>
      </w:pPr>
    </w:p>
    <w:p>
      <w:pPr>
        <w:ind w:left="780" w:right="80" w:hanging="257"/>
        <w:spacing w:after="0" w:line="264" w:lineRule="auto"/>
        <w:tabs>
          <w:tab w:leader="none" w:pos="777" w:val="left"/>
        </w:tabs>
        <w:numPr>
          <w:ilvl w:val="1"/>
          <w:numId w:val="7"/>
        </w:numPr>
        <w:rPr>
          <w:rFonts w:ascii="Arial" w:cs="Arial" w:eastAsia="Arial" w:hAnsi="Arial"/>
          <w:sz w:val="14"/>
          <w:szCs w:val="14"/>
          <w:b w:val="1"/>
          <w:bCs w:val="1"/>
          <w:color w:val="auto"/>
        </w:rPr>
      </w:pPr>
      <w:r>
        <w:rPr>
          <w:rFonts w:ascii="Arial" w:cs="Arial" w:eastAsia="Arial" w:hAnsi="Arial"/>
          <w:sz w:val="14"/>
          <w:szCs w:val="14"/>
          <w:color w:val="auto"/>
        </w:rPr>
        <w:t>Our electronic tolling, urban congestion management and mileage-based user solutions help clients keep up with an ever-changing environment and get more travelers where they need to go while generating revenue for much-needed infrastructure improvements. Our solutions include vehicle passenger detection systems, electronic toll collection, automated license plate recognition and congestion management solutions.</w:t>
      </w:r>
    </w:p>
    <w:p>
      <w:pPr>
        <w:spacing w:after="0" w:line="200" w:lineRule="exact"/>
        <w:rPr>
          <w:sz w:val="20"/>
          <w:szCs w:val="20"/>
          <w:color w:val="auto"/>
        </w:rPr>
      </w:pPr>
    </w:p>
    <w:p>
      <w:pPr>
        <w:spacing w:after="0" w:line="399"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ind w:left="260" w:hanging="254"/>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Transit</w:t>
      </w:r>
    </w:p>
    <w:p>
      <w:pPr>
        <w:spacing w:after="0" w:line="29" w:lineRule="exact"/>
        <w:rPr>
          <w:rFonts w:ascii="Arial" w:cs="Arial" w:eastAsia="Arial" w:hAnsi="Arial"/>
          <w:sz w:val="14"/>
          <w:szCs w:val="14"/>
          <w:color w:val="auto"/>
        </w:rPr>
      </w:pPr>
    </w:p>
    <w:p>
      <w:pPr>
        <w:ind w:left="780" w:right="160" w:hanging="257"/>
        <w:spacing w:after="0" w:line="273" w:lineRule="auto"/>
        <w:tabs>
          <w:tab w:leader="none" w:pos="777" w:val="left"/>
        </w:tabs>
        <w:numPr>
          <w:ilvl w:val="1"/>
          <w:numId w:val="8"/>
        </w:numPr>
        <w:rPr>
          <w:rFonts w:ascii="Arial" w:cs="Arial" w:eastAsia="Arial" w:hAnsi="Arial"/>
          <w:sz w:val="14"/>
          <w:szCs w:val="14"/>
          <w:b w:val="1"/>
          <w:bCs w:val="1"/>
          <w:color w:val="auto"/>
        </w:rPr>
      </w:pPr>
      <w:r>
        <w:rPr>
          <w:rFonts w:ascii="Arial" w:cs="Arial" w:eastAsia="Arial" w:hAnsi="Arial"/>
          <w:sz w:val="14"/>
          <w:szCs w:val="14"/>
          <w:color w:val="auto"/>
        </w:rPr>
        <w:t>For today’s travelers, we aim to make journeys more personalized and convenient while increasing capacity and profitability for authorities and agencies. We combine the latest in fare collection, intelligent mobility so that clients can get the added efficiency of having a single point of contact for all their transit solutions.</w:t>
      </w:r>
    </w:p>
    <w:p>
      <w:pPr>
        <w:spacing w:after="0" w:line="154" w:lineRule="exact"/>
        <w:rPr>
          <w:rFonts w:ascii="Arial" w:cs="Arial" w:eastAsia="Arial" w:hAnsi="Arial"/>
          <w:sz w:val="14"/>
          <w:szCs w:val="14"/>
          <w:b w:val="1"/>
          <w:bCs w:val="1"/>
          <w:color w:val="auto"/>
        </w:rPr>
      </w:pPr>
    </w:p>
    <w:p>
      <w:pPr>
        <w:ind w:left="260" w:hanging="254"/>
        <w:spacing w:after="0"/>
        <w:tabs>
          <w:tab w:leader="none" w:pos="26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Photo and Parking</w:t>
      </w:r>
    </w:p>
    <w:p>
      <w:pPr>
        <w:spacing w:after="0" w:line="18" w:lineRule="exact"/>
        <w:rPr>
          <w:rFonts w:ascii="Arial" w:cs="Arial" w:eastAsia="Arial" w:hAnsi="Arial"/>
          <w:sz w:val="14"/>
          <w:szCs w:val="14"/>
          <w:b w:val="1"/>
          <w:bCs w:val="1"/>
          <w:color w:val="auto"/>
        </w:rPr>
      </w:pPr>
    </w:p>
    <w:p>
      <w:pPr>
        <w:ind w:left="780" w:right="380" w:hanging="257"/>
        <w:spacing w:after="0" w:line="248" w:lineRule="auto"/>
        <w:tabs>
          <w:tab w:leader="none" w:pos="777" w:val="left"/>
        </w:tabs>
        <w:numPr>
          <w:ilvl w:val="1"/>
          <w:numId w:val="8"/>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Curbside Management: </w:t>
      </w:r>
      <w:r>
        <w:rPr>
          <w:rFonts w:ascii="Arial" w:cs="Arial" w:eastAsia="Arial" w:hAnsi="Arial"/>
          <w:sz w:val="14"/>
          <w:szCs w:val="14"/>
          <w:color w:val="auto"/>
        </w:rPr>
        <w:t>We deliver intelligent curbside management systems that simplify parking programs and deliver convenient and hassle-free experience for</w:t>
      </w:r>
      <w:r>
        <w:rPr>
          <w:rFonts w:ascii="Arial" w:cs="Arial" w:eastAsia="Arial" w:hAnsi="Arial"/>
          <w:sz w:val="14"/>
          <w:szCs w:val="14"/>
          <w:i w:val="1"/>
          <w:iCs w:val="1"/>
          <w:color w:val="auto"/>
        </w:rPr>
        <w:t xml:space="preserve"> </w:t>
      </w:r>
      <w:r>
        <w:rPr>
          <w:rFonts w:ascii="Arial" w:cs="Arial" w:eastAsia="Arial" w:hAnsi="Arial"/>
          <w:sz w:val="14"/>
          <w:szCs w:val="14"/>
          <w:color w:val="auto"/>
        </w:rPr>
        <w:t>drivers. Our curbside solutions include citation and permit administration, parking enforcement, and curbside demand management. We collect over $850 million annually for citations and delinquent revenue collections.</w:t>
      </w:r>
    </w:p>
    <w:p>
      <w:pPr>
        <w:spacing w:after="0" w:line="165" w:lineRule="exact"/>
        <w:rPr>
          <w:rFonts w:ascii="Arial" w:cs="Arial" w:eastAsia="Arial" w:hAnsi="Arial"/>
          <w:sz w:val="14"/>
          <w:szCs w:val="14"/>
          <w:b w:val="1"/>
          <w:bCs w:val="1"/>
          <w:color w:val="auto"/>
        </w:rPr>
      </w:pPr>
    </w:p>
    <w:p>
      <w:pPr>
        <w:ind w:left="780" w:right="320" w:hanging="257"/>
        <w:spacing w:after="0" w:line="275" w:lineRule="auto"/>
        <w:tabs>
          <w:tab w:leader="none" w:pos="777" w:val="left"/>
        </w:tabs>
        <w:numPr>
          <w:ilvl w:val="1"/>
          <w:numId w:val="8"/>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Public Safety: </w:t>
      </w:r>
      <w:r>
        <w:rPr>
          <w:rFonts w:ascii="Arial" w:cs="Arial" w:eastAsia="Arial" w:hAnsi="Arial"/>
          <w:sz w:val="14"/>
          <w:szCs w:val="14"/>
          <w:color w:val="auto"/>
        </w:rPr>
        <w:t>Public safety is a priority in every community, especially as budgets shrink and populations grow. We provide data analytics, automated photo</w:t>
      </w:r>
      <w:r>
        <w:rPr>
          <w:rFonts w:ascii="Arial" w:cs="Arial" w:eastAsia="Arial" w:hAnsi="Arial"/>
          <w:sz w:val="14"/>
          <w:szCs w:val="14"/>
          <w:i w:val="1"/>
          <w:iCs w:val="1"/>
          <w:color w:val="auto"/>
        </w:rPr>
        <w:t xml:space="preserve"> </w:t>
      </w:r>
      <w:r>
        <w:rPr>
          <w:rFonts w:ascii="Arial" w:cs="Arial" w:eastAsia="Arial" w:hAnsi="Arial"/>
          <w:sz w:val="14"/>
          <w:szCs w:val="14"/>
          <w:color w:val="auto"/>
        </w:rPr>
        <w:t>enforcement and other public safety solutions to make streets and communities safer. One in every four US public safety enforcement systems are implemented by Conduent Transportation.</w:t>
      </w:r>
    </w:p>
    <w:p>
      <w:pPr>
        <w:spacing w:after="0" w:line="153" w:lineRule="exact"/>
        <w:rPr>
          <w:rFonts w:ascii="Arial" w:cs="Arial" w:eastAsia="Arial" w:hAnsi="Arial"/>
          <w:sz w:val="14"/>
          <w:szCs w:val="14"/>
          <w:b w:val="1"/>
          <w:bCs w:val="1"/>
          <w:color w:val="auto"/>
        </w:rPr>
      </w:pPr>
    </w:p>
    <w:p>
      <w:pPr>
        <w:ind w:left="260" w:hanging="254"/>
        <w:spacing w:after="0"/>
        <w:tabs>
          <w:tab w:leader="none" w:pos="260" w:val="left"/>
        </w:tabs>
        <w:numPr>
          <w:ilvl w:val="0"/>
          <w:numId w:val="8"/>
        </w:numPr>
        <w:rPr>
          <w:rFonts w:ascii="Arial" w:cs="Arial" w:eastAsia="Arial" w:hAnsi="Arial"/>
          <w:sz w:val="14"/>
          <w:szCs w:val="14"/>
          <w:i w:val="1"/>
          <w:iCs w:val="1"/>
          <w:color w:val="auto"/>
        </w:rPr>
      </w:pPr>
      <w:r>
        <w:rPr>
          <w:rFonts w:ascii="Arial" w:cs="Arial" w:eastAsia="Arial" w:hAnsi="Arial"/>
          <w:sz w:val="14"/>
          <w:szCs w:val="14"/>
          <w:b w:val="1"/>
          <w:bCs w:val="1"/>
          <w:color w:val="auto"/>
        </w:rPr>
        <w:t>Commercial vehicle</w:t>
      </w:r>
    </w:p>
    <w:p>
      <w:pPr>
        <w:spacing w:after="0" w:line="29" w:lineRule="exact"/>
        <w:rPr>
          <w:rFonts w:ascii="Arial" w:cs="Arial" w:eastAsia="Arial" w:hAnsi="Arial"/>
          <w:sz w:val="14"/>
          <w:szCs w:val="14"/>
          <w:i w:val="1"/>
          <w:iCs w:val="1"/>
          <w:color w:val="auto"/>
        </w:rPr>
      </w:pPr>
    </w:p>
    <w:p>
      <w:pPr>
        <w:ind w:left="780" w:hanging="257"/>
        <w:spacing w:after="0"/>
        <w:tabs>
          <w:tab w:leader="none" w:pos="780" w:val="left"/>
        </w:tabs>
        <w:numPr>
          <w:ilvl w:val="1"/>
          <w:numId w:val="8"/>
        </w:numPr>
        <w:rPr>
          <w:rFonts w:ascii="Arial" w:cs="Arial" w:eastAsia="Arial" w:hAnsi="Arial"/>
          <w:sz w:val="14"/>
          <w:szCs w:val="14"/>
          <w:color w:val="auto"/>
        </w:rPr>
      </w:pPr>
      <w:r>
        <w:rPr>
          <w:rFonts w:ascii="Arial" w:cs="Arial" w:eastAsia="Arial" w:hAnsi="Arial"/>
          <w:sz w:val="14"/>
          <w:szCs w:val="14"/>
          <w:color w:val="auto"/>
        </w:rPr>
        <w:t>We provide computer-aided dispatch/automatic vehicle location technology to help customers manage their fleet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Strategies</w:t>
      </w:r>
    </w:p>
    <w:p>
      <w:pPr>
        <w:spacing w:after="0" w:line="223"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Our differentiated services and solutions improve experiences for millions of people every day.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Specific elements of our strategy include the following:</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b w:val="1"/>
          <w:bCs w:val="1"/>
          <w:i w:val="1"/>
          <w:iCs w:val="1"/>
          <w:color w:val="auto"/>
        </w:rPr>
        <w:t xml:space="preserve">Portfolio Focus – </w:t>
      </w:r>
      <w:r>
        <w:rPr>
          <w:rFonts w:ascii="Arial" w:cs="Arial" w:eastAsia="Arial" w:hAnsi="Arial"/>
          <w:sz w:val="14"/>
          <w:szCs w:val="14"/>
          <w:color w:val="auto"/>
        </w:rPr>
        <w:t>The industries in which we operate have attractive revenue growth rates, generally in the mid-single digits. We intend to sharpen our focus and expand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in industries with strong growth and profitability characteristics. We will aim to employ a disciplined approach to portfolio management to complement our competitive strengths and build depth and breadth in our core businesses. Within the Healthcare industry, we leverage our data analytics, differentiated service offerings and industry know-how to continue to service payer, provider and core government healthcare clients. Within the Transportation industry, we leverage our global, end-to-end platforms to continue to deliver seamless travel experiences while providing back-end transaction processing and call center services for government clients globally. Within the Government industry, we leverage our relationships with 41 different states and various government agencies to streamline operations and improve the citizen experience.</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b w:val="1"/>
          <w:bCs w:val="1"/>
          <w:i w:val="1"/>
          <w:iCs w:val="1"/>
          <w:color w:val="auto"/>
        </w:rPr>
        <w:t xml:space="preserve">Operating Discipline – </w:t>
      </w:r>
      <w:r>
        <w:rPr>
          <w:rFonts w:ascii="Arial" w:cs="Arial" w:eastAsia="Arial" w:hAnsi="Arial"/>
          <w:sz w:val="14"/>
          <w:szCs w:val="14"/>
          <w:color w:val="auto"/>
        </w:rPr>
        <w:t>We continue to invest in our people, processes, and technology to optimize and strengthen our services capabilities. We plan to optimize our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capabilities and strengthen several core areas, including TP and finance and accounting services by building out our services offerings and continuing to improve our competitive strengths. We have divested non-core assets, refocused our business towards higher margin growing segments and consolidated delivery operations to enable greater productivity. Within TP, we continue to build industry-specific service offerings and advance inbound and outbound processing capabilities. Within EUCE, we capitalize on our global scale, cost efficiencies and our ability to provide seamless communications between our clients and their end-users through traditional (e.g., voice) and digital (e.g</w:t>
      </w:r>
      <w:r>
        <w:rPr>
          <w:rFonts w:ascii="Arial" w:cs="Arial" w:eastAsia="Arial" w:hAnsi="Arial"/>
          <w:sz w:val="14"/>
          <w:szCs w:val="14"/>
          <w:i w:val="1"/>
          <w:iCs w:val="1"/>
          <w:color w:val="auto"/>
        </w:rPr>
        <w:t>.</w:t>
      </w:r>
      <w:r>
        <w:rPr>
          <w:rFonts w:ascii="Arial" w:cs="Arial" w:eastAsia="Arial" w:hAnsi="Arial"/>
          <w:sz w:val="14"/>
          <w:szCs w:val="14"/>
          <w:color w:val="auto"/>
        </w:rPr>
        <w:t>, web, mobile and Internet of Things) channels. Conduent’s solutions deliver exceptional outcomes for its clients, including:</w:t>
      </w:r>
    </w:p>
    <w:p>
      <w:pPr>
        <w:spacing w:after="0" w:line="181" w:lineRule="exact"/>
        <w:rPr>
          <w:sz w:val="20"/>
          <w:szCs w:val="20"/>
          <w:color w:val="auto"/>
        </w:rPr>
      </w:pPr>
    </w:p>
    <w:p>
      <w:pPr>
        <w:ind w:left="260" w:hanging="254"/>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$17 billion in medical bill savings,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$11 billion in child support payments processed more efficiently,</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up to 40% efficiency increase in HR operations, and</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up to 40% improvement in processing costs, while driving higher end-user satisfaction.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4" w:lineRule="auto"/>
        <w:rPr>
          <w:sz w:val="20"/>
          <w:szCs w:val="20"/>
          <w:color w:val="auto"/>
        </w:rPr>
      </w:pPr>
      <w:r>
        <w:rPr>
          <w:rFonts w:ascii="Arial" w:cs="Arial" w:eastAsia="Arial" w:hAnsi="Arial"/>
          <w:sz w:val="14"/>
          <w:szCs w:val="14"/>
          <w:b w:val="1"/>
          <w:bCs w:val="1"/>
          <w:i w:val="1"/>
          <w:iCs w:val="1"/>
          <w:color w:val="auto"/>
        </w:rPr>
        <w:t xml:space="preserve">Sales and Delivery Excellence – </w:t>
      </w:r>
      <w:r>
        <w:rPr>
          <w:rFonts w:ascii="Arial" w:cs="Arial" w:eastAsia="Arial" w:hAnsi="Arial"/>
          <w:sz w:val="14"/>
          <w:szCs w:val="14"/>
          <w:color w:val="auto"/>
        </w:rPr>
        <w:t>We look for the opportunity to exceed expectations and strive to be the best at what we do. Our clients are at the forefront of everything we do.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do our best to make things simple both in the solutions we design and the way we do business. We engage, develop and support our people. We intend to increasingly develop our employees by investing in training, processes and systems to equip them with modern tools that enable them to perform their jobs more efficiently. Furthermore, we plan to strengthen our sales teams through improved and optimized coverage and effective talent management. In 2019, we centralized our sales organization to report under a single Chief Revenue Officer and are investing in providing leadership and coaching to our sales team. The dedication and expertise of our employees have resulted in Conduent serving a majority of Fortune 100 companies, including:</w:t>
      </w:r>
    </w:p>
    <w:p>
      <w:pPr>
        <w:spacing w:after="0" w:line="181" w:lineRule="exact"/>
        <w:rPr>
          <w:sz w:val="20"/>
          <w:szCs w:val="20"/>
          <w:color w:val="auto"/>
        </w:rPr>
      </w:pPr>
    </w:p>
    <w:p>
      <w:pPr>
        <w:ind w:left="260" w:hanging="254"/>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9 of top 10 health insurers,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8 of 10 pharma companies,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6 of top 10 automakers, and</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8 of top 10 U.S. banks.</w:t>
      </w:r>
    </w:p>
    <w:p>
      <w:pPr>
        <w:spacing w:after="0" w:line="18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b w:val="1"/>
          <w:bCs w:val="1"/>
          <w:color w:val="auto"/>
        </w:rPr>
        <w:t xml:space="preserve">Innovation complemented by tightly aligned investments </w:t>
      </w:r>
      <w:r>
        <w:rPr>
          <w:rFonts w:ascii="Arial" w:cs="Arial" w:eastAsia="Arial" w:hAnsi="Arial"/>
          <w:sz w:val="14"/>
          <w:szCs w:val="14"/>
          <w:color w:val="auto"/>
        </w:rPr>
        <w:t>– We are thinking about how we invest into the business differently than before. We intend to be disciplined in how we</w:t>
      </w:r>
      <w:r>
        <w:rPr>
          <w:rFonts w:ascii="Arial" w:cs="Arial" w:eastAsia="Arial" w:hAnsi="Arial"/>
          <w:sz w:val="14"/>
          <w:szCs w:val="14"/>
          <w:b w:val="1"/>
          <w:bCs w:val="1"/>
          <w:color w:val="auto"/>
        </w:rPr>
        <w:t xml:space="preserve"> </w:t>
      </w:r>
      <w:r>
        <w:rPr>
          <w:rFonts w:ascii="Arial" w:cs="Arial" w:eastAsia="Arial" w:hAnsi="Arial"/>
          <w:sz w:val="14"/>
          <w:szCs w:val="14"/>
          <w:color w:val="auto"/>
        </w:rPr>
        <w:t>allocate capital and what our investments will fund. We have designated our businesses into three categories, each with a different approach to growing the business.</w:t>
      </w:r>
    </w:p>
    <w:p>
      <w:pPr>
        <w:spacing w:after="0" w:line="137" w:lineRule="exact"/>
        <w:rPr>
          <w:sz w:val="20"/>
          <w:szCs w:val="20"/>
          <w:color w:val="auto"/>
        </w:rPr>
      </w:pPr>
    </w:p>
    <w:p>
      <w:pPr>
        <w:ind w:left="260" w:right="80" w:hanging="254"/>
        <w:spacing w:after="0" w:line="262"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Category 1- “Optimize”: </w:t>
      </w:r>
      <w:r>
        <w:rPr>
          <w:rFonts w:ascii="Arial" w:cs="Arial" w:eastAsia="Arial" w:hAnsi="Arial"/>
          <w:sz w:val="14"/>
          <w:szCs w:val="14"/>
          <w:color w:val="auto"/>
        </w:rPr>
        <w:t>The businesses where we will drive optimization are generally areas of significant scale and where we believe that with process optimization,</w:t>
      </w:r>
      <w:r>
        <w:rPr>
          <w:rFonts w:ascii="Arial" w:cs="Arial" w:eastAsia="Arial" w:hAnsi="Arial"/>
          <w:sz w:val="14"/>
          <w:szCs w:val="14"/>
          <w:b w:val="1"/>
          <w:bCs w:val="1"/>
          <w:color w:val="auto"/>
        </w:rPr>
        <w:t xml:space="preserve"> </w:t>
      </w:r>
      <w:r>
        <w:rPr>
          <w:rFonts w:ascii="Arial" w:cs="Arial" w:eastAsia="Arial" w:hAnsi="Arial"/>
          <w:sz w:val="14"/>
          <w:szCs w:val="14"/>
          <w:color w:val="auto"/>
        </w:rPr>
        <w:t>automation, and an investment into the current offerings, we can improve the end-user experience, reduce our cost of delivery, expand our margins, and thus capture additional “share”. We have identified EUCE, TP, Government Services (State, Local and Federal and Payment solutions) as businesses that fit into this category.</w:t>
      </w:r>
    </w:p>
    <w:p>
      <w:pPr>
        <w:spacing w:after="0" w:line="151" w:lineRule="exact"/>
        <w:rPr>
          <w:rFonts w:ascii="Arial" w:cs="Arial" w:eastAsia="Arial" w:hAnsi="Arial"/>
          <w:sz w:val="14"/>
          <w:szCs w:val="14"/>
          <w:color w:val="auto"/>
        </w:rPr>
      </w:pPr>
    </w:p>
    <w:p>
      <w:pPr>
        <w:ind w:left="260" w:right="160" w:hanging="254"/>
        <w:spacing w:after="0" w:line="262"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Category 2- “Enhance”: </w:t>
      </w:r>
      <w:r>
        <w:rPr>
          <w:rFonts w:ascii="Arial" w:cs="Arial" w:eastAsia="Arial" w:hAnsi="Arial"/>
          <w:sz w:val="14"/>
          <w:szCs w:val="14"/>
          <w:color w:val="auto"/>
        </w:rPr>
        <w:t>These are businesses where we see the potential to enhance our solutions and market share with modest investment. These tend to have strong</w:t>
      </w:r>
      <w:r>
        <w:rPr>
          <w:rFonts w:ascii="Arial" w:cs="Arial" w:eastAsia="Arial" w:hAnsi="Arial"/>
          <w:sz w:val="14"/>
          <w:szCs w:val="14"/>
          <w:b w:val="1"/>
          <w:bCs w:val="1"/>
          <w:color w:val="auto"/>
        </w:rPr>
        <w:t xml:space="preserve"> </w:t>
      </w:r>
      <w:r>
        <w:rPr>
          <w:rFonts w:ascii="Arial" w:cs="Arial" w:eastAsia="Arial" w:hAnsi="Arial"/>
          <w:sz w:val="14"/>
          <w:szCs w:val="14"/>
          <w:color w:val="auto"/>
        </w:rPr>
        <w:t>client relationships and a long history of servicing the markets we operate in, but legacy technology that needs to be refreshed or modernized. We have identified Government Healthcare services and HRL services as businesses that fit into this category.</w:t>
      </w:r>
    </w:p>
    <w:p>
      <w:pPr>
        <w:spacing w:after="0" w:line="151" w:lineRule="exact"/>
        <w:rPr>
          <w:rFonts w:ascii="Arial" w:cs="Arial" w:eastAsia="Arial" w:hAnsi="Arial"/>
          <w:sz w:val="14"/>
          <w:szCs w:val="14"/>
          <w:color w:val="auto"/>
        </w:rPr>
      </w:pPr>
    </w:p>
    <w:p>
      <w:pPr>
        <w:jc w:val="both"/>
        <w:ind w:left="260" w:right="120" w:hanging="254"/>
        <w:spacing w:after="0" w:line="262"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Category 3- “Expand”: </w:t>
      </w:r>
      <w:r>
        <w:rPr>
          <w:rFonts w:ascii="Arial" w:cs="Arial" w:eastAsia="Arial" w:hAnsi="Arial"/>
          <w:sz w:val="14"/>
          <w:szCs w:val="14"/>
          <w:color w:val="auto"/>
        </w:rPr>
        <w:t>These are businesses where we believe opportunities to expand our capabilities may require more meaningful investment, but we see the payback as</w:t>
      </w:r>
      <w:r>
        <w:rPr>
          <w:rFonts w:ascii="Arial" w:cs="Arial" w:eastAsia="Arial" w:hAnsi="Arial"/>
          <w:sz w:val="14"/>
          <w:szCs w:val="14"/>
          <w:b w:val="1"/>
          <w:bCs w:val="1"/>
          <w:color w:val="auto"/>
        </w:rPr>
        <w:t xml:space="preserve"> </w:t>
      </w:r>
      <w:r>
        <w:rPr>
          <w:rFonts w:ascii="Arial" w:cs="Arial" w:eastAsia="Arial" w:hAnsi="Arial"/>
          <w:sz w:val="14"/>
          <w:szCs w:val="14"/>
          <w:color w:val="auto"/>
        </w:rPr>
        <w:t>more significant than the other businesses. These businesses, augmented with new capabilities, perhaps supplemented by modest acquisitions, will address market dynamics and provide additional growth opportunities. We have identified Commercial Healthcare and Transportation as businesses that fit into this category.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Competitive Strengths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We possess certain competitive strengths that distinguish us from our competitors, including:</w:t>
      </w:r>
    </w:p>
    <w:p>
      <w:pPr>
        <w:spacing w:after="0" w:line="189"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b w:val="1"/>
          <w:bCs w:val="1"/>
          <w:i w:val="1"/>
          <w:iCs w:val="1"/>
          <w:color w:val="auto"/>
        </w:rPr>
        <w:t xml:space="preserve">Leadership in attractive growth markets – </w:t>
      </w:r>
      <w:r>
        <w:rPr>
          <w:rFonts w:ascii="Arial" w:cs="Arial" w:eastAsia="Arial" w:hAnsi="Arial"/>
          <w:sz w:val="14"/>
          <w:szCs w:val="14"/>
          <w:color w:val="auto"/>
        </w:rPr>
        <w:t>We are a large player in business process services delivering exceptional outcomes for our clients at an unparalleled scale. Our clients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to outsource key business processes to improve efficiencies and to accelerate performance and digital transformation. Additionally, clients are moving beyond services for back-office functions in order to drive customer satisfaction and loyalty. The increase in globalization and cost competition continues to accelerate, forcing companies to seek ways to stay ahead of the competition. These factors, along with clients and their customers demanding more personalized, seamless and secure solutions, are collectively driving the ongoing shift to next-generation solutions and services. Through our portfolio of services and solutions, we have reached significant scale in our interactions including:</w:t>
      </w:r>
    </w:p>
    <w:p>
      <w:pPr>
        <w:spacing w:after="0" w:line="200" w:lineRule="exact"/>
        <w:rPr>
          <w:sz w:val="20"/>
          <w:szCs w:val="20"/>
          <w:color w:val="auto"/>
        </w:rPr>
      </w:pPr>
    </w:p>
    <w:p>
      <w:pPr>
        <w:spacing w:after="0" w:line="399"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260" w:right="160" w:hanging="254"/>
        <w:spacing w:after="0" w:line="263"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Healthcare – </w:t>
      </w:r>
      <w:r>
        <w:rPr>
          <w:rFonts w:ascii="Arial" w:cs="Arial" w:eastAsia="Arial" w:hAnsi="Arial"/>
          <w:sz w:val="14"/>
          <w:szCs w:val="14"/>
          <w:color w:val="auto"/>
        </w:rPr>
        <w:t>U.S. healthcare spending is expected to rise from the 17.9% of GDP in 2017 to 19.4% of GDP by 2027and is projected to grow at an average rate of 5.5% per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 for 2018-2027. As one of the most regulated industries, healthcare providers must balance increased utilization with heightened complexity and new financial pressures such as government budget challenges to significantly reduce reimbursements, reimbursement penalties for hospital readmissions and a shift from fee-for-service to “value-based” population health management. We are widely recognized by industry analysts as a leader in healthcare payer operations, serving 9 of the top 10 U.S. managed healthcare plans and providing administrative and care management solutions to Medicaid programs and federally funded U.S. government healthcare programs in 23 states, Puerto Rico and the District of Columbia. Two out of every three U.S. insured patients are touched by Conduent. Conduent’s healthcare capabilities have been recognized by NelsonHall, HfS Research and Everest Group.</w:t>
      </w:r>
    </w:p>
    <w:p>
      <w:pPr>
        <w:spacing w:after="0" w:line="164" w:lineRule="exact"/>
        <w:rPr>
          <w:rFonts w:ascii="Arial" w:cs="Arial" w:eastAsia="Arial" w:hAnsi="Arial"/>
          <w:sz w:val="14"/>
          <w:szCs w:val="14"/>
          <w:color w:val="auto"/>
        </w:rPr>
      </w:pPr>
    </w:p>
    <w:p>
      <w:pPr>
        <w:ind w:left="260" w:right="20" w:hanging="254"/>
        <w:spacing w:after="0" w:line="270"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Transportation – </w:t>
      </w:r>
      <w:r>
        <w:rPr>
          <w:rFonts w:ascii="Arial" w:cs="Arial" w:eastAsia="Arial" w:hAnsi="Arial"/>
          <w:sz w:val="14"/>
          <w:szCs w:val="14"/>
          <w:color w:val="auto"/>
        </w:rPr>
        <w:t>Traffic congestion continues to increase as urbanization and changing demographics take hold globally. As a result, optimized transportation systems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becoming critical to increase efficiency while maintaining strict safety requirements. Electronic toll collection, public transit and parking all represent key growth drivers as governments at all levels increasingly focus on transportation infrastructure. We are an award-winning innovator in parking management. 46% of U.S. toll services are managed by Conduent and 11 million traveler transactions go through Conduent transportation toll systems daily.</w:t>
      </w:r>
    </w:p>
    <w:p>
      <w:pPr>
        <w:spacing w:after="0" w:line="158" w:lineRule="exact"/>
        <w:rPr>
          <w:rFonts w:ascii="Arial" w:cs="Arial" w:eastAsia="Arial" w:hAnsi="Arial"/>
          <w:sz w:val="14"/>
          <w:szCs w:val="14"/>
          <w:color w:val="auto"/>
        </w:rPr>
      </w:pPr>
    </w:p>
    <w:p>
      <w:pPr>
        <w:ind w:left="260" w:right="140" w:hanging="254"/>
        <w:spacing w:after="0" w:line="260"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Transaction Processing – </w:t>
      </w:r>
      <w:r>
        <w:rPr>
          <w:rFonts w:ascii="Arial" w:cs="Arial" w:eastAsia="Arial" w:hAnsi="Arial"/>
          <w:sz w:val="14"/>
          <w:szCs w:val="14"/>
          <w:color w:val="auto"/>
        </w:rPr>
        <w:t>We provide high volume print and mail services, enrollment processing and personalized and targeted marketing and communications to large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corporations and are a leading provider in this market with more than 3.6 billion documents captured, indexed and classified annually. We process 89 million invoices annually for our Finance, Accounting and Procurement clients.</w:t>
      </w:r>
    </w:p>
    <w:p>
      <w:pPr>
        <w:spacing w:after="0" w:line="155"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b w:val="1"/>
          <w:bCs w:val="1"/>
          <w:i w:val="1"/>
          <w:iCs w:val="1"/>
          <w:color w:val="auto"/>
        </w:rPr>
        <w:t xml:space="preserve">Global delivery expertise – </w:t>
      </w:r>
      <w:r>
        <w:rPr>
          <w:rFonts w:ascii="Arial" w:cs="Arial" w:eastAsia="Arial" w:hAnsi="Arial"/>
          <w:sz w:val="14"/>
          <w:szCs w:val="14"/>
          <w:color w:val="auto"/>
        </w:rPr>
        <w:t>Our scale and global delivery network enables us to deliver our proprietary technology, differentiated service offerings and service capabilities expertly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clients around the world. We have operations in 23 countries including India, Philippines, Jamaica, Guatemala, Mexico, Romania, Dominican Republic and several locations within the United States, giving our customers the option for "onshore", "nearshore" or "offshore" outsourced business process services. This global delivery model enables us to leverage lower-cost production locations, consistent methodologies and processes, time zone advantages and business continuity plans. As of December 31, 2019, 51% of our employees were located in high cost countries and 49% were located in low cost countries.</w:t>
      </w:r>
    </w:p>
    <w:p>
      <w:pPr>
        <w:spacing w:after="0" w:line="163"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b w:val="1"/>
          <w:bCs w:val="1"/>
          <w:i w:val="1"/>
          <w:iCs w:val="1"/>
          <w:color w:val="auto"/>
        </w:rPr>
        <w:t xml:space="preserve">Differentiated suite of multi-industry service offerings at scale – </w:t>
      </w:r>
      <w:r>
        <w:rPr>
          <w:rFonts w:ascii="Arial" w:cs="Arial" w:eastAsia="Arial" w:hAnsi="Arial"/>
          <w:sz w:val="14"/>
          <w:szCs w:val="14"/>
          <w:color w:val="auto"/>
        </w:rPr>
        <w:t>We manage transaction-intensive processes and work directly with end-users to meet their needs often in real-time. We are unique in our ability to offer our clients these business process services on a large scale and with high quality. Additionally, we are able to leverage our cross-industry services to bring the same scale and quality to our portfolio of industry-specific service offerings, such as healthcare claims management, employee benefits management and public transit fare collection.</w:t>
      </w:r>
    </w:p>
    <w:p>
      <w:pPr>
        <w:spacing w:after="0" w:line="158"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b w:val="1"/>
          <w:bCs w:val="1"/>
          <w:i w:val="1"/>
          <w:iCs w:val="1"/>
          <w:color w:val="auto"/>
        </w:rPr>
        <w:t xml:space="preserve">Recurring revenue model supported by a loyal, diverse client base – </w:t>
      </w:r>
      <w:r>
        <w:rPr>
          <w:rFonts w:ascii="Arial" w:cs="Arial" w:eastAsia="Arial" w:hAnsi="Arial"/>
          <w:sz w:val="14"/>
          <w:szCs w:val="14"/>
          <w:color w:val="auto"/>
        </w:rPr>
        <w:t>We have a broad and diverse base of clients in countries across geographies and industries, including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majority of the Fortune 100 as well as Fortune 1,000 companies and midsize businesses and governmental entities. Our close client relationships and successful client execution support our stable recurring revenue model and high renewal rates. Excluding our strategic decision not to renew certain contracts and the impact of divestitures, renewal rates for 2019 and 2018 were 81% and 95%, respectively.</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Competition</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Although we encounter competition in all areas of our portfolio, we lead across certain areas of our principal businesses. We compete on the basis of technology, performance, price, quality, reliability, reputation and customer service and support. In the current political environment in the U.S. and other territories, we also consider our "onshore" delivery capacity to be a competitive advantage. We participate in a highly competitive and rapidly evolving market, driven by changes in industry standards and demands of customers to become more efficient. Our competitors range from large international companies to relatively small firms. Our competitors include:</w:t>
      </w:r>
    </w:p>
    <w:p>
      <w:pPr>
        <w:spacing w:after="0" w:line="180" w:lineRule="exact"/>
        <w:rPr>
          <w:sz w:val="20"/>
          <w:szCs w:val="20"/>
          <w:color w:val="auto"/>
        </w:rPr>
      </w:pPr>
    </w:p>
    <w:p>
      <w:pPr>
        <w:ind w:left="260" w:right="140" w:hanging="254"/>
        <w:spacing w:after="0"/>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Large multinational service providers such as CGI Group, Accenture, Aon Hewitt, Cognizant, Hewlett-Packard Enterprise, Fidelity Information Systems, Bank of America, IBM, Teletech and Teleperformance;</w:t>
      </w:r>
    </w:p>
    <w:p>
      <w:pPr>
        <w:spacing w:after="0" w:line="1" w:lineRule="exact"/>
        <w:rPr>
          <w:rFonts w:ascii="Arial" w:cs="Arial" w:eastAsia="Arial" w:hAnsi="Arial"/>
          <w:sz w:val="14"/>
          <w:szCs w:val="14"/>
          <w:color w:val="auto"/>
        </w:rPr>
      </w:pP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Traditional Business Process Outsourcing companies such as Genpact, ELX Services, Exela Technologies and WNS Global Services;</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Payroll processing and human capital management providers such as ADP and Paychex;</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Healthcare-focused IT and service solutions providers such as Cerner and Maximus;</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Human resource services providers such as Alight and Willis Towers Watson;</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Health Savings Account administrators such as Health Equity, HSA Bank, and WexHealth;</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U.S. Federal focused government services such as CACI International and DXC Technology;</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Transportation multi-nationals such as Roper/TransCore, Cubic, Kapsch and Verra Mobility; and</w:t>
      </w:r>
    </w:p>
    <w:p>
      <w:pPr>
        <w:ind w:left="260" w:hanging="254"/>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Smaller niche business processing service providers and in-house departments that perform functions that could be outsourced to us.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and Marketing</w:t>
      </w:r>
    </w:p>
    <w:p>
      <w:pPr>
        <w:spacing w:after="0" w:line="223" w:lineRule="exact"/>
        <w:rPr>
          <w:sz w:val="20"/>
          <w:szCs w:val="20"/>
          <w:color w:val="auto"/>
        </w:rPr>
      </w:pPr>
    </w:p>
    <w:p>
      <w:pPr>
        <w:ind w:right="520"/>
        <w:spacing w:after="0" w:line="273" w:lineRule="auto"/>
        <w:rPr>
          <w:sz w:val="20"/>
          <w:szCs w:val="20"/>
          <w:color w:val="auto"/>
        </w:rPr>
      </w:pPr>
      <w:r>
        <w:rPr>
          <w:rFonts w:ascii="Arial" w:cs="Arial" w:eastAsia="Arial" w:hAnsi="Arial"/>
          <w:sz w:val="14"/>
          <w:szCs w:val="14"/>
          <w:color w:val="auto"/>
        </w:rPr>
        <w:t>We market our business process services to both potential and existing clients through our worldwide sales force and our business development team. Additionally, we have dedicated “solution architects” who work with clients to better understand their business requirements and to develop custom-tailored solutions to meet their unique needs.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Our sales and marketing strategy is to go to market by solutions to deliver key industry-specific and cross-industry</w:t>
      </w:r>
    </w:p>
    <w:p>
      <w:pPr>
        <w:spacing w:after="0" w:line="11"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services and solutions to our clients. We focus on developing new prospects through market research and analysis, demand generation, renewing expiring contracts and leveraging existing client relationships to offer additional services. We leverage our broad, cross-industry service offerings to package solutions through enterprise selling, while maintaining a disciplined approach to pricing and contracting. Our sales efforts typically involve extended selling cycles and our deep domain and industry expertise is critical to winning new business.</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general policy is to seek patent protection for those inventions likely to be incorporated into our products and services or where obtaining such proprietary rights will improve our competitive position. We own approximately 1,030 patents and pending applications. Our patent portfolio evolves as new patents are awarded to us and as older patents expire. These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83" w:lineRule="exact"/>
        <w:rPr>
          <w:sz w:val="20"/>
          <w:szCs w:val="20"/>
          <w:color w:val="auto"/>
        </w:rPr>
      </w:pPr>
    </w:p>
    <w:p>
      <w:pPr>
        <w:ind w:right="300"/>
        <w:spacing w:after="0" w:line="264" w:lineRule="auto"/>
        <w:rPr>
          <w:sz w:val="20"/>
          <w:szCs w:val="20"/>
          <w:color w:val="auto"/>
        </w:rPr>
      </w:pPr>
      <w:r>
        <w:rPr>
          <w:rFonts w:ascii="Arial" w:cs="Arial" w:eastAsia="Arial" w:hAnsi="Arial"/>
          <w:sz w:val="14"/>
          <w:szCs w:val="14"/>
          <w:color w:val="auto"/>
        </w:rPr>
        <w:t>Our business relies on software provided to an approximately equal extent, by both internal development and external sourcing to deliver our services. With respect to internally developed software, we claim copyright on all such software, registering works which may be accessible to third parties. In addition, we rely on maintaining source code confidentiality to assure our market competitiveness. With respect to externally sourced software, we rely on contracts assuring our continued access for our business usage.</w:t>
      </w:r>
    </w:p>
    <w:p>
      <w:pPr>
        <w:spacing w:after="0" w:line="179"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In the United States, we own 76 trademarks, which are either registered or applied for, reflecting the many businesses we participate in. These trademarks may have a perpetual life, subject to renewal every 10 years and may be subject to cancellation or invalidation based on certain use requirements and third party challenges, or on other grounds. We vigorously enforce and protect our trademarks.</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People and Culture</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We draw on the skills, expertise, and experience of our talented and diverse global workforce to deliver mission-critical services and solutions that drive exceptional client outcomes. We have 67,000 associates in 23 countries working towards a common vision and purpose, with 44% located in North America and the remainder located primarily in our delivery centers in India, Philippines, Jamaica, Guatemala and Mexico.</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believe an engaged and motivated workforce is our most important asset, which is why we are focused on building a workplace where our people can do their best work, feel empowered to innovate and put forth new ideas and solutions and have the tools and resources they need to be successful. We take pride in our ‘One Conduent’ culture, which is underpinned by our core values and leadership and teamwork principles. We place a strong emphasis on teamwork and shared success – and we amplify this unity across our associate base through several programs, including employee volunteerism, diversity and inclusion programs and continuous, open and transparent two-way communication.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Corporate Ethics</w:t>
      </w:r>
    </w:p>
    <w:p>
      <w:pPr>
        <w:spacing w:after="0" w:line="22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operate according to our ethics and compliance program, which is designed to meet general governance and specific industry and regulatory requirements with a focus on values, culture and performance with integrity. Conduent has a business ethics program, which is overseen by the business ethics office, and a code of business conduct (Code), which serves as the foundation of our business ethics program. The Code sets forth our expectations for ethical leadership, performance of job responsibilities and compliance with company policies and the law. In addition, the Code embodies and reinforces Conduent’s commitment to integrity and helps employees resolve ethics and compliance concerns consistent with operating principles and legal and policy controls. In addition, our employees are required to complete business ethics training annually and we periodically solicit their input to gauge the state of Conduent’s ethical culture and help identify areas for improvement.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 xml:space="preserve">Our directors must act in accordance with our Code of Business Conduct and Ethics for Members of the Board; our principal executive officer, principal financial officer and principal accounting officer, among others, must act in accordance with our Finance Code of Conduct; and all of our executives and employees must act in accordance with our Code of Business Conduct. Each of these codes of conduct can be accessed through our website at </w:t>
      </w:r>
      <w:r>
        <w:rPr>
          <w:rFonts w:ascii="Arial" w:cs="Arial" w:eastAsia="Arial" w:hAnsi="Arial"/>
          <w:sz w:val="14"/>
          <w:szCs w:val="14"/>
          <w:color w:val="0563C1"/>
        </w:rPr>
        <w:t>www.conduent.com/corporate-governance</w:t>
      </w:r>
      <w:r>
        <w:rPr>
          <w:rFonts w:ascii="Arial" w:cs="Arial" w:eastAsia="Arial" w:hAnsi="Arial"/>
          <w:sz w:val="14"/>
          <w:szCs w:val="14"/>
          <w:color w:val="auto"/>
        </w:rPr>
        <w:t>. They are also available to any shareholder who requests them in writing addressed to Conduent Incorporated, 100 Campus Drive Suite 200, Florham Park, NJ 07932, Attention: Corporate Secretary. We will disclose any future amendments to, or waivers from, provisions of our Code of Business Conduct and Ethics for members of the Board and, our Code of Business Conduct and our Finance Code of Conduct for our officers on our website as promptly as practicable, and consistent with the requirements of applicable U.S. Securities and Exchange Commission (SEC) and NASDAQ rules.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Seasonality</w:t>
      </w:r>
    </w:p>
    <w:p>
      <w:pPr>
        <w:spacing w:after="0" w:line="223"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Our revenues can be affected by various factors such as our clients’ demand pattern for our services, which includes peak windows for benefit enrollment and new product launch by clients.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Availability of Company Information</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 xml:space="preserve">Our internet address is </w:t>
      </w:r>
      <w:r>
        <w:rPr>
          <w:rFonts w:ascii="Arial" w:cs="Arial" w:eastAsia="Arial" w:hAnsi="Arial"/>
          <w:sz w:val="14"/>
          <w:szCs w:val="14"/>
          <w:color w:val="0563C1"/>
        </w:rPr>
        <w:t>www.conduent.com</w:t>
      </w:r>
      <w:r>
        <w:rPr>
          <w:rFonts w:ascii="Arial" w:cs="Arial" w:eastAsia="Arial" w:hAnsi="Arial"/>
          <w:sz w:val="14"/>
          <w:szCs w:val="14"/>
          <w:color w:val="auto"/>
        </w:rPr>
        <w:t>. In the Investor Information section of our Internet website, you will find our Annual Report on Form 10-K, Quarterly Reports on Form 10-Q, Current Reports on Form 8-K, our Proxy Statements and any amendments to these reports and statements. We make these documents available as soon as we can after we have filed them with, or furnished them to, the SEC free of charge.</w:t>
      </w:r>
    </w:p>
    <w:p>
      <w:pPr>
        <w:spacing w:after="0" w:line="179"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SEC maintains an internet address (www.sec.gov) that contains reports, proxy and information statements and other information regarding issuers that file electronically with the SEC. The content on any website referred to in this Form 10-K is nor incorporated by reference in this Form 10-K unless expressly noted.</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Information about our Executive Officers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the executive officers of Conduent as of February 26, 2020, their current ages, their present positions and the year appointed to their present positions.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Each officer is elected to hold office until the meeting of the Board of Directors held on the day of the next annual meeting of shareholders, subject to the provisions of the by-laws.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Year Appointed to</w:t>
            </w:r>
          </w:p>
        </w:tc>
        <w:tc>
          <w:tcPr>
            <w:tcW w:w="1180" w:type="dxa"/>
            <w:vAlign w:val="bottom"/>
          </w:tcPr>
          <w:p>
            <w:pPr>
              <w:jc w:val="center"/>
              <w:spacing w:after="0"/>
              <w:rPr>
                <w:sz w:val="20"/>
                <w:szCs w:val="20"/>
                <w:color w:val="auto"/>
              </w:rPr>
            </w:pPr>
            <w:r>
              <w:rPr>
                <w:rFonts w:ascii="Arial" w:cs="Arial" w:eastAsia="Arial" w:hAnsi="Arial"/>
                <w:sz w:val="13"/>
                <w:szCs w:val="13"/>
                <w:color w:val="auto"/>
                <w:w w:val="99"/>
              </w:rPr>
              <w:t>Conduent Officer</w:t>
            </w:r>
          </w:p>
        </w:tc>
      </w:tr>
      <w:tr>
        <w:trPr>
          <w:trHeight w:val="163"/>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Name</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Age</w:t>
            </w:r>
          </w:p>
        </w:tc>
        <w:tc>
          <w:tcPr>
            <w:tcW w:w="100" w:type="dxa"/>
            <w:vAlign w:val="bottom"/>
            <w:tcBorders>
              <w:bottom w:val="single" w:sz="8" w:color="CCEEFF"/>
            </w:tcBorders>
          </w:tcPr>
          <w:p>
            <w:pPr>
              <w:spacing w:after="0"/>
              <w:rPr>
                <w:sz w:val="14"/>
                <w:szCs w:val="14"/>
                <w:color w:val="auto"/>
              </w:rPr>
            </w:pPr>
          </w:p>
        </w:tc>
        <w:tc>
          <w:tcPr>
            <w:tcW w:w="5040" w:type="dxa"/>
            <w:vAlign w:val="bottom"/>
            <w:tcBorders>
              <w:bottom w:val="single" w:sz="8" w:color="auto"/>
            </w:tcBorders>
          </w:tcPr>
          <w:p>
            <w:pPr>
              <w:ind w:left="2060"/>
              <w:spacing w:after="0"/>
              <w:rPr>
                <w:sz w:val="20"/>
                <w:szCs w:val="20"/>
                <w:color w:val="auto"/>
              </w:rPr>
            </w:pPr>
            <w:r>
              <w:rPr>
                <w:rFonts w:ascii="Arial" w:cs="Arial" w:eastAsia="Arial" w:hAnsi="Arial"/>
                <w:sz w:val="13"/>
                <w:szCs w:val="13"/>
                <w:color w:val="auto"/>
              </w:rPr>
              <w:t>Present Position</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Present Position</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Since</w:t>
            </w:r>
          </w:p>
        </w:tc>
      </w:tr>
      <w:tr>
        <w:trPr>
          <w:trHeight w:val="19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Clifford Skelton*</w:t>
            </w:r>
          </w:p>
        </w:tc>
        <w:tc>
          <w:tcPr>
            <w:tcW w:w="7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Chief Executive Officer</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2019</w:t>
            </w:r>
          </w:p>
        </w:tc>
      </w:tr>
      <w:tr>
        <w:trPr>
          <w:trHeight w:val="186"/>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Brian J. Webb-Walsh</w:t>
            </w:r>
          </w:p>
        </w:tc>
        <w:tc>
          <w:tcPr>
            <w:tcW w:w="720" w:type="dxa"/>
            <w:vAlign w:val="bottom"/>
          </w:tcPr>
          <w:p>
            <w:pPr>
              <w:jc w:val="right"/>
              <w:ind w:right="275"/>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6"/>
                <w:szCs w:val="16"/>
                <w:color w:val="auto"/>
              </w:rPr>
            </w:pPr>
          </w:p>
        </w:tc>
        <w:tc>
          <w:tcPr>
            <w:tcW w:w="5140" w:type="dxa"/>
            <w:vAlign w:val="bottom"/>
            <w:gridSpan w:val="2"/>
          </w:tcPr>
          <w:p>
            <w:pPr>
              <w:ind w:left="20"/>
              <w:spacing w:after="0"/>
              <w:rPr>
                <w:sz w:val="20"/>
                <w:szCs w:val="20"/>
                <w:color w:val="auto"/>
              </w:rPr>
            </w:pPr>
            <w:r>
              <w:rPr>
                <w:rFonts w:ascii="Arial" w:cs="Arial" w:eastAsia="Arial" w:hAnsi="Arial"/>
                <w:sz w:val="13"/>
                <w:szCs w:val="13"/>
                <w:color w:val="auto"/>
              </w:rPr>
              <w:t>Executive Vice President &amp; Chief Financial Officer</w:t>
            </w:r>
          </w:p>
        </w:tc>
        <w:tc>
          <w:tcPr>
            <w:tcW w:w="152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2017</w:t>
            </w: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Mario A. Pompeo</w:t>
            </w:r>
          </w:p>
        </w:tc>
        <w:tc>
          <w:tcPr>
            <w:tcW w:w="7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Vice President &amp; Chief Accounting Officer</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2019</w:t>
            </w:r>
          </w:p>
        </w:tc>
      </w:tr>
      <w:tr>
        <w:trPr>
          <w:trHeight w:val="186"/>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Michael Krawitz</w:t>
            </w:r>
          </w:p>
        </w:tc>
        <w:tc>
          <w:tcPr>
            <w:tcW w:w="720" w:type="dxa"/>
            <w:vAlign w:val="bottom"/>
          </w:tcPr>
          <w:p>
            <w:pPr>
              <w:jc w:val="right"/>
              <w:ind w:right="275"/>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6"/>
                <w:szCs w:val="16"/>
                <w:color w:val="auto"/>
              </w:rPr>
            </w:pPr>
          </w:p>
        </w:tc>
        <w:tc>
          <w:tcPr>
            <w:tcW w:w="5140" w:type="dxa"/>
            <w:vAlign w:val="bottom"/>
            <w:gridSpan w:val="2"/>
          </w:tcPr>
          <w:p>
            <w:pPr>
              <w:ind w:left="20"/>
              <w:spacing w:after="0"/>
              <w:rPr>
                <w:sz w:val="20"/>
                <w:szCs w:val="20"/>
                <w:color w:val="auto"/>
              </w:rPr>
            </w:pPr>
            <w:r>
              <w:rPr>
                <w:rFonts w:ascii="Arial" w:cs="Arial" w:eastAsia="Arial" w:hAnsi="Arial"/>
                <w:sz w:val="13"/>
                <w:szCs w:val="13"/>
                <w:color w:val="auto"/>
              </w:rPr>
              <w:t>Executive Vice President, General Counsel &amp; Secretary</w:t>
            </w:r>
          </w:p>
        </w:tc>
        <w:tc>
          <w:tcPr>
            <w:tcW w:w="152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2019</w:t>
            </w: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 Brewer</w:t>
            </w:r>
          </w:p>
        </w:tc>
        <w:tc>
          <w:tcPr>
            <w:tcW w:w="7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Executive Vice President &amp; President–Public Sector</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2019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_____________________________</w:t>
      </w:r>
    </w:p>
    <w:p>
      <w:pPr>
        <w:spacing w:after="0" w:line="8" w:lineRule="exact"/>
        <w:rPr>
          <w:sz w:val="20"/>
          <w:szCs w:val="20"/>
          <w:color w:val="auto"/>
        </w:rPr>
      </w:pPr>
    </w:p>
    <w:p>
      <w:pPr>
        <w:ind w:left="260" w:hanging="254"/>
        <w:spacing w:after="0"/>
        <w:tabs>
          <w:tab w:leader="none" w:pos="260"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Member of Conduent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Each of the officers named above has been an officer or an executive of Conduent or its subsidiaries for less than five years.</w:t>
      </w:r>
    </w:p>
    <w:p>
      <w:pPr>
        <w:spacing w:after="0" w:line="205"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Mr. Skelton was appointed Chief Operating Officer of Conduent in June 2019 and Chief Executive Officer of Conduent in August 2019. He served as President of Fiserv Output Solutions from March 2017 to June 2019. Prior to that, Mr. Skelton was the Group President and Chief Information Officer at Fiserv from April 2012 until March 2017. Mr. Skelton also held a variety of leadership roles at companies such as Ally Financial (formerly General Motors Acceptance Corporation) and Bank of America. Mr. Skelton is a former Navy fighter pilot and served in the Navy for over 20 years.</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Mr. Webb-Walsh served as the Chief Financial Officer of Xerox Services since January 2016. Prior to this, Mr. Webb-Walsh was Senior Vice President of Finance for the Government Healthcare Group and the Platform Development and Systems Integration Group of Xerox Services. Mr. Webb-Walsh joined Xerox Corporation in 1997 and has held a variety of leadership positions.</w:t>
      </w:r>
    </w:p>
    <w:p>
      <w:pPr>
        <w:spacing w:after="0" w:line="179"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color w:val="auto"/>
        </w:rPr>
        <w:t>Mr. Pompeo previously served as Chief Audit Executive of Conduent since 2017 and was appointed Chief Accounting Officer of Conduent in June 2019. Prior to joining Conduent, Mr. Pompeo was a partner and the National Chief Financial Officer (CFO) Advisory Services Leader at CohnReznick, LLP from 2015 – 2017 and served as Senior Vice President – Finance &amp; CFO of Stuart Weitzman, Inc. from 2013 – 2015. He began his accounting career in the Assurance and Business Advisory Practice of PricewaterhouseCoopers, LLP.</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Mr. Michael Krawitz served as Executive Vice President, General Counsel and Secretary since November 2019. Prior to joining Conduent, from June 2015 to November, 2019, Mr. Krawitz was Executive Vice President, General Counsel and Corporate Secretary of insurance services firm York Risk Services Group, a portfolio company of Onex Corp. From 2014 to 2015, he was Chief Legal Officer of Veriteq Corp., a biotech company. From 1999 to 2014, Mr. Krawitz held leadership roles in public and private companies in technology and finance sectors. Mr. Krawitz began his career at Fried Frank and was educated at Cornell University and Harvard Law School.</w:t>
      </w:r>
    </w:p>
    <w:p>
      <w:pPr>
        <w:spacing w:after="0" w:line="18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Mr. Brewer joined Conduent as Executive Vice President &amp; President – Public Sector in June 2019. Prior to joining Conduent, he served as Senior Vice President and Managing Director of Diebold Nixdorf from 2018 to 2019. Prior to that Mr. Brewer was Global Vice President for DXC’s Technology, Enterprise Application and Cloud Businesses from 2016 to 2018. He also held a variety of Senior Executive leadership roles at IBM Corporation for over 20 years, in Europe, Asia and the Americas. Mr. Brewer has served as a member of several boards of global companies, including IBM Australia and Softlayer, and has advised clients and boards around the world on changes that will fundamentally transform their businesses.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1A. RISK FACTORS</w:t>
      </w:r>
    </w:p>
    <w:p>
      <w:pPr>
        <w:spacing w:after="0" w:line="203" w:lineRule="exact"/>
        <w:rPr>
          <w:sz w:val="20"/>
          <w:szCs w:val="20"/>
          <w:color w:val="auto"/>
        </w:rPr>
      </w:pPr>
    </w:p>
    <w:p>
      <w:pPr>
        <w:ind w:right="680"/>
        <w:spacing w:after="0" w:line="268" w:lineRule="auto"/>
        <w:rPr>
          <w:sz w:val="20"/>
          <w:szCs w:val="20"/>
          <w:color w:val="auto"/>
        </w:rPr>
      </w:pPr>
      <w:r>
        <w:rPr>
          <w:rFonts w:ascii="Arial" w:cs="Arial" w:eastAsia="Arial" w:hAnsi="Arial"/>
          <w:sz w:val="14"/>
          <w:szCs w:val="14"/>
          <w:b w:val="1"/>
          <w:bCs w:val="1"/>
          <w:i w:val="1"/>
          <w:iCs w:val="1"/>
          <w:color w:val="0066CC"/>
        </w:rPr>
        <w:t>Our government contracts are subject to appropriation of funds, termination rights, audits and investigations, which, if exercised, could negatively impact our reputation and reduce our ability to compete for new contracts.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 significant portion of our revenues is derived from contracts with U.S. federal, state and local governments and their agencies, and some of our revenues are derived from contracts with foreign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failures to enact appropriation legislation (e.g., a government "shut-down"), government spending reductions (e.g., Congressional sequestration of funds under the Budget Control Act of 2011) or other debt or funding constraints, have result in and in the future could result in lower governmental sales and in our projects being reduced in price or scope or terminated altogether, which also could limit our recovery of incurred costs, reimbursable expenses and profits on work completed prior to the termination. Additionally, if the government discovers what it considers to be improper or illegal activities or contractual non-compliance (including improper billing or non-compliant performance of contract requirements), we may be subject to various civil and criminal penalties and administrative sanctions, which has occurred in the past and may in the future include termination of contracts, forfeiture of profits, suspension of payments, contractual service penalties, fines and suspensions or debarment from doing business with the government. Any resulting penalties or sanctions could materially adversely affect our results of operations and financial condition. Moreover, government contracts are generally subject to audits and investigations by government agencies. If the government finds that we inappropriately charged any costs to a contract, the costs are not reimbursable or, if already reimbursed, the cost must be refunded to the government. Further, the negative publicity that could arise from any such penalties, sanctions or findings in such audits or investigations could have an adverse effect on our reputation in the industry and reduce our ability to compete for new contracts and could materially adversely affect our results of operations and financial condition.</w:t>
      </w:r>
    </w:p>
    <w:p>
      <w:pPr>
        <w:spacing w:after="0" w:line="167" w:lineRule="exact"/>
        <w:rPr>
          <w:sz w:val="20"/>
          <w:szCs w:val="20"/>
          <w:color w:val="auto"/>
        </w:rPr>
      </w:pPr>
    </w:p>
    <w:p>
      <w:pPr>
        <w:ind w:right="200"/>
        <w:spacing w:after="0" w:line="296" w:lineRule="auto"/>
        <w:rPr>
          <w:sz w:val="20"/>
          <w:szCs w:val="20"/>
          <w:color w:val="auto"/>
        </w:rPr>
      </w:pPr>
      <w:r>
        <w:rPr>
          <w:rFonts w:ascii="Arial" w:cs="Arial" w:eastAsia="Arial" w:hAnsi="Arial"/>
          <w:sz w:val="14"/>
          <w:szCs w:val="14"/>
          <w:b w:val="1"/>
          <w:bCs w:val="1"/>
          <w:i w:val="1"/>
          <w:iCs w:val="1"/>
          <w:color w:val="0066CC"/>
        </w:rPr>
        <w:t>We derive significant revenue and profit from commercial and government contracts awarded through competitive bidding processes, including renewals, which can impose substantial costs on us, and we will not achieve revenue and profit objectives if we fail to accurately and effectively bid on such projects.</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Many of these contracts are extremely complex and require the investment of significant resources in order to prepare accurate bids and proposals. Competitive bidding imposes substantial costs and presents a number of risks, including: (i) the substantial cost and managerial time and effort that we spend to prepare bids and proposals for contracts that may or may not be awarded to us; (ii) the need to estimate accurately the resources and costs that will be required to implement and service any contracts we are awarded, sometimes in advance of the final determination of their full scope and design; (iii) the expense and delay that may arise if our competitors protest or challenge awards made to us pursuant to competitive bidding and the risk that such protests or challenges could result in the requirement to resubmit bids and in the termination, reduction or modification of the awarded contracts; and (iv) the opportunity cost of not bidding on and winning other contracts we might otherwise pursue. If our competitors protest or challenge an award made to us on a government contract, the costs to defend such an award may be significant and could involve subsequent litigation that could take years to resolve.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ability to recover capital and other investments in connection with our contracts is subject to risk.</w:t>
      </w:r>
    </w:p>
    <w:p>
      <w:pPr>
        <w:spacing w:after="0" w:line="221"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In order to attract and retain large outsourcing contracts, we sometimes make significant capital and other investments to enable us to perform our services under those contracts, such as purchases of information technology equipment, facility costs, labor resources and costs incurred to develop and implement software. The net book value of certain assets recorded, including a portion of our intangible assets, could be impaired, and our results of operations and financial condition could be materially adversely affected in the event of the early termination of all or a part of such a contract or a reduction in volumes and services thereunder for reasons such as a customer’s or client’s merger or acquisition, divestiture of assets or businesses, business failure or deterioration or a customer’s or client’s exercise of contract termination rights.</w:t>
      </w:r>
    </w:p>
    <w:p>
      <w:pPr>
        <w:spacing w:after="0" w:line="200" w:lineRule="exact"/>
        <w:rPr>
          <w:sz w:val="20"/>
          <w:szCs w:val="20"/>
          <w:color w:val="auto"/>
        </w:rPr>
      </w:pPr>
    </w:p>
    <w:p>
      <w:pPr>
        <w:spacing w:after="0" w:line="241"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240"/>
        <w:spacing w:after="0" w:line="276" w:lineRule="auto"/>
        <w:rPr>
          <w:sz w:val="20"/>
          <w:szCs w:val="20"/>
          <w:color w:val="auto"/>
        </w:rPr>
      </w:pPr>
      <w:r>
        <w:rPr>
          <w:rFonts w:ascii="Arial" w:cs="Arial" w:eastAsia="Arial" w:hAnsi="Arial"/>
          <w:sz w:val="14"/>
          <w:szCs w:val="14"/>
          <w:b w:val="1"/>
          <w:bCs w:val="1"/>
          <w:i w:val="1"/>
          <w:iCs w:val="1"/>
          <w:color w:val="0066CC"/>
        </w:rPr>
        <w:t>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results of operations and financial condition could be materially adversely affected.</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ability to service our customers and clients and deliver and implement solutions depends to a large extent on third-party providers such as subcontractors, a relatively small number of primary software vendors, software application developers, utility providers and network providers meeting their obligations to us and our expectations in a timely, quality manner. We have experienced suboptimal performance from an inherited legacy technology vendor, which has caused certain operational challenges and customer delivery performance issues that we have been aggressively addressing. Our results of operations and financial condition have been and in the future may be materially adversely affected and we might incur significant additional liabilities (a) if we are unable to adequately renegotiate these legacy contracts, or (b) if any of our third-party providers (1) do not meet their service level obligations, (2) do not meet our or our clients’ expectations, (3) terminate or refuse to renew their relationships with us, or (4) offer their products to us with less advantageous prices and other terms than previously offered.</w:t>
      </w:r>
    </w:p>
    <w:p>
      <w:pPr>
        <w:spacing w:after="0" w:line="167" w:lineRule="exact"/>
        <w:rPr>
          <w:sz w:val="20"/>
          <w:szCs w:val="20"/>
          <w:color w:val="auto"/>
        </w:rPr>
      </w:pPr>
    </w:p>
    <w:p>
      <w:pPr>
        <w:ind w:right="4200"/>
        <w:spacing w:after="0" w:line="296" w:lineRule="auto"/>
        <w:rPr>
          <w:sz w:val="20"/>
          <w:szCs w:val="20"/>
          <w:color w:val="auto"/>
        </w:rPr>
      </w:pPr>
      <w:r>
        <w:rPr>
          <w:rFonts w:ascii="Arial" w:cs="Arial" w:eastAsia="Arial" w:hAnsi="Arial"/>
          <w:sz w:val="14"/>
          <w:szCs w:val="14"/>
          <w:b w:val="1"/>
          <w:bCs w:val="1"/>
          <w:i w:val="1"/>
          <w:iCs w:val="1"/>
          <w:color w:val="0066CC"/>
        </w:rPr>
        <w:t>Failure to deliver on our contractual obligations properly and on time could materially adversely affect our results of operations and financial condition.</w:t>
      </w:r>
    </w:p>
    <w:p>
      <w:pPr>
        <w:spacing w:after="0" w:line="15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business model depends in large part on our ability to retain existing and attract new work from our base of existing clients, as well as on relationships we develop with our clients so that we can understand our clients’ needs and deliver solutions and services that are tailored to meet those needs. In order for our business to grow, we must successfully manage the provision of services under our contracts. If a client is not satisfied with the quality of work performed by us or a subcontractor, or with the type of services or solutions delivered, or if we or our subcontractors fail to perform in accordance with contract requirements, then we could incur additional costs to address the situation, the profitability of that work might be impaired and the client’s dissatisfaction with our services could damage our ability to obtain additional work from that client or obtain new work from other potential clients. In particular, many of our contracts with non-government clients may be terminated by the client, without cause, upon specified advance notice. Accordingly, clients who are not satisfied might seek to terminate existing contracts prior to their scheduled expiration date, which may result in our inability to fully recover our up-front investments. In addition, clients could direct future business to our competitors. We could also trigger contractual credits to clients or a contractual default. Failure to properly transition new clients to our systems, properly budget transition costs or accurately estimate contract operational costs could result in delays in our contract performance, trigger service level penalties, impair fixed or intangible assets or result in contract profit margins that do not meet our expectations or our historical profit margins.</w:t>
      </w:r>
    </w:p>
    <w:p>
      <w:pPr>
        <w:spacing w:after="0" w:line="186"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In addition, we incur significant expenditures for the development and construction of system software platforms needed to support our clients’ needs. Our failure to fully understand client requirements or implement the appropriate operating systems or databases or solutions which enable the use of other supporting software may delay the project and result in cost overruns or potential impairment of the related software platforms, which could materially adversely affect our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face significant competition and our failure to compete successfully could materially adversely affect our results of operations and financial condition.</w:t>
      </w:r>
    </w:p>
    <w:p>
      <w:pPr>
        <w:spacing w:after="0" w:line="221"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uto"/>
        </w:rPr>
        <w:t>To remain competitive, we must develop services and applications, periodically enhance our existing offerings, remain cost efficient and attract and retain key personnel and management. If we are unable to compete successfully, we could lose market share and important customers to our competitors and that could materially adversely affect our results of operations and financial condition.</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ind w:right="360"/>
        <w:spacing w:after="0" w:line="296" w:lineRule="auto"/>
        <w:rPr>
          <w:sz w:val="20"/>
          <w:szCs w:val="20"/>
          <w:color w:val="auto"/>
        </w:rPr>
      </w:pPr>
      <w:r>
        <w:rPr>
          <w:rFonts w:ascii="Arial" w:cs="Arial" w:eastAsia="Arial" w:hAnsi="Arial"/>
          <w:sz w:val="14"/>
          <w:szCs w:val="14"/>
          <w:b w:val="1"/>
          <w:bCs w:val="1"/>
          <w:i w:val="1"/>
          <w:iCs w:val="1"/>
          <w:color w:val="0066CC"/>
        </w:rPr>
        <w:t>We have recorded significant goodwill impairment charges and may be required to record additional charges to future earnings if our goodwill or intangible assets become impaired.</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or business segments. We may be required to record additional charges to earnings during the period in which any impairment of our goodwill or other intangible assets is determined which could adversely impact our results of operations. As of December 31, 2019, our goodwill balance was $1.5 billion, which represented 33.3% of total consolidated assets. Refer to Note 8 – Goodwill and Intangible Assets, Net to our Consolidated Financial Statements for additional information about our goodwill impairment.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significant indebtedness could materially adversely affect our results of operations and financial condition.</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have and will continue to have a significant amount of debt and other obligations. Our substantial debt and other obligations could have important consequences. For example, it could (i) increase our vulnerability to general adverse economic and industry conditions; (ii) limit our ability to obtain additional financing for future working capital, capital expenditures, acquisitions and other general corporate requirements; (iii) require us to dedicate a substantial portion of our cash flows from operations to service debt and other obligations thereby reducing the availability of our cash flows from operations for other purposes; (iv) limit our flexibility in planning for, or reacting to, changes in our businesses and the industries in which we operate; (v) place us at a competitive disadvantage compared to our competitors that have less debt; and (vi) become due and payable upon a change in control. If new debt is added to our current debt levels, these related risks could increase.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Our ability to make payments on and to refinance our indebtedness,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163" w:lineRule="exact"/>
        <w:rPr>
          <w:sz w:val="20"/>
          <w:szCs w:val="20"/>
          <w:color w:val="auto"/>
        </w:rPr>
      </w:pPr>
    </w:p>
    <w:p>
      <w:pPr>
        <w:ind w:right="220"/>
        <w:spacing w:after="0" w:line="296" w:lineRule="auto"/>
        <w:rPr>
          <w:sz w:val="20"/>
          <w:szCs w:val="20"/>
          <w:color w:val="auto"/>
        </w:rPr>
      </w:pPr>
      <w:r>
        <w:rPr>
          <w:rFonts w:ascii="Arial" w:cs="Arial" w:eastAsia="Arial" w:hAnsi="Arial"/>
          <w:sz w:val="14"/>
          <w:szCs w:val="14"/>
          <w:b w:val="1"/>
          <w:bCs w:val="1"/>
          <w:i w:val="1"/>
          <w:iCs w:val="1"/>
          <w:color w:val="0066CC"/>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spacing w:after="0" w:line="157"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terms of our indebtedness include a number of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172" w:lineRule="exact"/>
        <w:rPr>
          <w:sz w:val="20"/>
          <w:szCs w:val="20"/>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incur or guarantee additional indebtedness or sell disqualified or preferred stock;</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pay dividends on, make distributions in respect of, repurchase or redeem, capital stock;</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make investments or acquisitions;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sell, transfer or otherwise dispose of certain assets, including accounts receivable;</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create liens;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enter into sale/leaseback transactions;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enter into agreements restricting the ability to pay dividends or make other intercompany transfers;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consolidate, merge, sell or otherwise dispose of all or substantially all of our or our subsidiaries’ assets;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prepay, repurchase or redeem certain kinds of indebtedness;</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issue or sell stock of our subsidiaries; and/or</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significantly change the nature of our business.</w:t>
      </w:r>
    </w:p>
    <w:p>
      <w:pPr>
        <w:spacing w:after="0" w:line="200" w:lineRule="exact"/>
        <w:rPr>
          <w:sz w:val="20"/>
          <w:szCs w:val="20"/>
          <w:color w:val="auto"/>
        </w:rPr>
      </w:pPr>
    </w:p>
    <w:p>
      <w:pPr>
        <w:spacing w:after="0" w:line="263"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all of these restrictions, we may be:</w:t>
      </w:r>
    </w:p>
    <w:p>
      <w:pPr>
        <w:spacing w:after="0" w:line="205" w:lineRule="exact"/>
        <w:rPr>
          <w:sz w:val="20"/>
          <w:szCs w:val="20"/>
          <w:color w:val="auto"/>
        </w:rPr>
      </w:pPr>
    </w:p>
    <w:p>
      <w:pPr>
        <w:ind w:left="260" w:hanging="254"/>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limited in how we conduct our business and pursue our strategy;</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unable to raise additional debt financing to operate during general economic or business downturns; or</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unable to compete effectively or to take advantage of new business opportunities.</w:t>
      </w: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A breach of any of the restrictive covenants, if applicable, could result in an event of default under the terms of this indebtedness. If an event of default occurs, the lenders would have the right to accelerate the repayment of such 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 indebtedness. In the event our creditors accelerate the repayment of our borrowings, we may not have sufficient assets to repay such indebtedness, which could materially adversely affect our results of operations and financial condition.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addition, our credit facility bears interest at a rate that varies depending on the LIBOR. On July 27, 2017, the UK's Financial Conduct Authority, which regulates LIBOR, announced that it intends to phase out LIBOR by the end of 2021. It is unclear if at that time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announced replacement of U.S. dollar LIBOR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If LIBOR rates are no longer available, our costs of borrowings under our credit facilities may be negatively impacted, which could have an adverse effect on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is dependent on continued interest in outsourcing.</w:t>
      </w:r>
    </w:p>
    <w:p>
      <w:pPr>
        <w:spacing w:after="0" w:line="221"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business and growth depend in large part on continued interest in outsourced business process services. Outsourcing means that an entity contracts with a third-party, such as us, to provide business process services rather than perform such services in-house. There can be no assurance that this interest will continue, as organizations may elect to perform such services themselves and/or the business process outsourcing industry could move to an as-a-Service model, thereby eliminating traditional business process outsourcing tasks. A significant change in this interest in outsourcing could materially adversely affect our results of operations and financial condition. Additionally, there can be no assurance that our cross-selling efforts will cause clients to purchase additional services from us or adopt a single-source outsourcing approach.</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profitability is dependent upon our ability to obtain adequate pricing for our services and to improve our cost structure.</w:t>
      </w:r>
    </w:p>
    <w:p>
      <w:pPr>
        <w:spacing w:after="0" w:line="221"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Our success depends on our ability to obtain adequate pricing for our services that will provide a reasonable return to our shareholders. Depending on competitive market factors, future prices we obtain for our services may decline from previous levels. If we are unable to obtain adequate pricing for our services, it could materially adversely affect our results of operations and financial condition. In addition, our contracts are increasingly requiring tighter timelines for implementation as well as more stringent service level metrics. This makes the bidding process for new contracts much more difficult and requires us to adequately consider these requirements in the pricing of our services.</w:t>
      </w:r>
    </w:p>
    <w:p>
      <w:pPr>
        <w:spacing w:after="0" w:line="18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In order to meet the service requirements of our customers, which often includes 24/7 service, and to optimize our employee cost base, including our back-office support, we often locate our delivery service and back-office support centers in lower-cost locations, including several developing countries. Concentrating our centers in these locations presents a number of operational risks, many of which are beyond our control, including the risks of political instability, natural disasters, safety and security risks, labor disruptions, excessive employee turnover and rising labor rates. Additionally, a change in the political environment in the United States or the adoption and enforcement of legislation and regulations curbing the use of such centers outside of the United States could materially adversely affect our results of operations and financial condition. These risks could impair our ability to effectively provide services to our customers and keep our costs aligned to our associated revenues and market requirements.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ability to sustain and improve profit margins is dependent on a number of factors, including our ability to continue to improve the cost efficiency of our operations through such programs as robotic process automation, to absorb the level of pricing pressures on our services through cost improvements and to successfully complete information technology initiatives. If any of these factors adversely materialize or if we are unable to achieve and maintain productivity improvements through restructuring actions or information technology initiatives, our ability to offset labor cost inflation and competitive price pressures would be impaired, each of which could materially adversely affect our results of operations and financial condition.</w:t>
      </w:r>
    </w:p>
    <w:p>
      <w:pPr>
        <w:spacing w:after="0" w:line="167" w:lineRule="exact"/>
        <w:rPr>
          <w:sz w:val="20"/>
          <w:szCs w:val="20"/>
          <w:color w:val="auto"/>
        </w:rPr>
      </w:pPr>
    </w:p>
    <w:p>
      <w:pPr>
        <w:ind w:right="100"/>
        <w:spacing w:after="0" w:line="296" w:lineRule="auto"/>
        <w:rPr>
          <w:sz w:val="20"/>
          <w:szCs w:val="20"/>
          <w:color w:val="auto"/>
        </w:rPr>
      </w:pPr>
      <w:r>
        <w:rPr>
          <w:rFonts w:ascii="Arial" w:cs="Arial" w:eastAsia="Arial" w:hAnsi="Arial"/>
          <w:sz w:val="14"/>
          <w:szCs w:val="14"/>
          <w:b w:val="1"/>
          <w:bCs w:val="1"/>
          <w:i w:val="1"/>
          <w:iCs w:val="1"/>
          <w:color w:val="0066CC"/>
        </w:rPr>
        <w:t>Our business may be adversely affected by geopolitical events, natural disasters and other factors that could directly impact certain of our employees, customers and vendors in countries or regions effected by such events and factors.</w:t>
      </w:r>
    </w:p>
    <w:p>
      <w:pPr>
        <w:spacing w:after="0" w:line="15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have a global workforce and global customers. Our employees and customers in a particular country or region in the world may be impacted as a result of a variety of diversions, including: geopolitical events, such as war, the threat of war, or terrorist activity; natural disasters or the effects of climate change (such as drought, flooding, wildfires, increased storm severity, and sea level rise); power shortages or outages, major public health issues, including pandemics (such as the coronavirus); and significant local, national or global events capturing the attention of a large part of the population. If any of these, or any other factors, disrupt a country or region where we have a significant workforce (such as the U.S., India or the Philippines) or customers (such as the U.S. or Europe), or vendors, our business could be materially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may be subject to claims of infringement of third-party intellectual property rights which could adversely affect our results of operation and financial condition.</w:t>
      </w: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rely heavily on the use of intellectual property. We do not own all of the software that we use to run our business; instead we license this software from a small number of primary vendors. If these vendors assert claims that we or our clients are infringing on their software or related intellectual property, we could incur substantial costs to defend these claims, which could materially adversely affect our results of operations and financial condition. In addition, if any of our vendors’ infringement claims are ultimately successful, our vendors could require us to (i) cease selling or using products or services that incorporate the challenged software or technology, (ii) obtain a license or additional licenses from our vendors or (iii) redesign our services which rely on the challenged software or technology. In addition, we may be exposed to claims for monetary damages. If we are unsuccessful in defending an infringement claim and our vendors require us to initiate any of the above actions, or we are required to pay monetary damages, then such actions could materially adversely affect our results of operations and financial condition.</w:t>
      </w:r>
    </w:p>
    <w:p>
      <w:pPr>
        <w:spacing w:after="0" w:line="167" w:lineRule="exact"/>
        <w:rPr>
          <w:sz w:val="20"/>
          <w:szCs w:val="20"/>
          <w:color w:val="auto"/>
        </w:rPr>
      </w:pPr>
    </w:p>
    <w:p>
      <w:pPr>
        <w:ind w:right="400"/>
        <w:spacing w:after="0" w:line="296"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individually identifiable information and personal health information, and failure to comply with those laws, whether or not inadvertent, could subject us to legal actions and negatively impact our operations.</w:t>
      </w:r>
    </w:p>
    <w:p>
      <w:pPr>
        <w:spacing w:after="0" w:line="157"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receive, process, transmit and store information relating to identifiable individuals, both in our role as a service provider and as an employer. As a result, we are subject to numerous laws and regulations in the United States (both federal and state) and foreign laws and regulations designed to protect both individually identifiable information and personal health information, including the Health Insurance Portability and Accountability Act of 1996, as amended (“HIPAA”), and the regulations promulgated under HIPPA governing, among other things, the privacy, security and electronic transmission of individually identifiable health information, and the European Union General Data Protection Regulation (GDPR) (effective May 25, 2018), which imposes stringent data protection requirements and significant penalties for noncompliance and has had a significant impact on how we process and handle certain data.</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Additional laws of the United States and foreign jurisdictions apply to our processing of individually identifiable information. These laws have been subject to frequent changes, and new legislation in this area may be enacted at any time. For example, the GDPR and the invalidation of the U.S.-EU Safe Harbor regime have required us to implement alternative mechanisms in order for some of our data flows from Europe to the United States to comply with applicable law. Changes to existing laws, the introduction of new laws in this area or our failure to comply with existing laws that are applicable to us may subject us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 any of which could materially adversely affect our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processing certain financial</w:t>
      </w:r>
    </w:p>
    <w:p>
      <w:pPr>
        <w:spacing w:after="0" w:line="27" w:lineRule="exact"/>
        <w:rPr>
          <w:sz w:val="20"/>
          <w:szCs w:val="20"/>
          <w:color w:val="auto"/>
        </w:rPr>
      </w:pPr>
    </w:p>
    <w:p>
      <w:pPr>
        <w:ind w:right="500"/>
        <w:spacing w:after="0" w:line="273" w:lineRule="auto"/>
        <w:rPr>
          <w:sz w:val="20"/>
          <w:szCs w:val="20"/>
          <w:color w:val="auto"/>
        </w:rPr>
      </w:pPr>
      <w:r>
        <w:rPr>
          <w:rFonts w:ascii="Arial" w:cs="Arial" w:eastAsia="Arial" w:hAnsi="Arial"/>
          <w:sz w:val="14"/>
          <w:szCs w:val="14"/>
          <w:b w:val="1"/>
          <w:bCs w:val="1"/>
          <w:i w:val="1"/>
          <w:iCs w:val="1"/>
          <w:color w:val="0066CC"/>
        </w:rPr>
        <w:t>transactions, including payment card transactions and debit or credit card transactions, and failure to comply with those laws, whether or not inadvertent, could subject us to legal actions and materially adversely affect our results of operations and financial condition.</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process, support and execute financial transactions, and disburse funds, on behalf of both government and commercial customers, often in partnership with financial institutions. This activity includes receiving debit and credit card information, processing payments for and due to our customers and disbursing funds on payment or debit cards to payees of our customers. As a result, we are subject to numerous laws and regulations in the United States (both federal and state) and in foreign jurisdictions, including the Electronic Fund Transfer Act, as amended, the Currency and Foreign Transactions Reporting Act of 1970 (commonly known as the Bank Secrecy Act), as amended, the Dodd-Frank Wall Street Reform and Consumer Protection Act of 2010 (including the so-called Durbin Amendment), as amended, the Gramm-Leach-Bliley Act (also known as the Financial Modernization Act of 1999), as amended, and the Uniting and Strengthening America by Providing Appropriate Tools Required to Intercept and Obstruct Terrorism (USA PATRIOT ACT) Act of 2001, as amended. Other United States (both federal and state) and foreign jurisdiction laws apply to our processing of certain financial transactions and related support services. These laws are subject to frequent changes, and new statutes and regulations in this area may be enacted at any time. Changes to existing laws, the introduction of new laws in this area or our failure to comply with existing laws that are applicable to us may subject us to, among other things, additional costs or changes to our business practices, liability for monetary damages, fines and civil and/or criminal prosecution, unfavorable publicity, restrictions on our ability to process and support financial transactions and allegations by our customers, partners and clients that we have not performed our contractual obligations. Any of these could materially adversely affect our results of operations and financial condition.</w:t>
      </w:r>
    </w:p>
    <w:p>
      <w:pPr>
        <w:spacing w:after="0" w:line="341" w:lineRule="exact"/>
        <w:rPr>
          <w:sz w:val="20"/>
          <w:szCs w:val="20"/>
          <w:color w:val="auto"/>
        </w:rPr>
      </w:pPr>
    </w:p>
    <w:p>
      <w:pPr>
        <w:ind w:right="340"/>
        <w:spacing w:after="0" w:line="296" w:lineRule="auto"/>
        <w:rPr>
          <w:sz w:val="20"/>
          <w:szCs w:val="20"/>
          <w:color w:val="auto"/>
        </w:rPr>
      </w:pPr>
      <w:r>
        <w:rPr>
          <w:rFonts w:ascii="Arial" w:cs="Arial" w:eastAsia="Arial" w:hAnsi="Arial"/>
          <w:sz w:val="14"/>
          <w:szCs w:val="14"/>
          <w:b w:val="1"/>
          <w:bCs w:val="1"/>
          <w:i w:val="1"/>
          <w:iCs w:val="1"/>
          <w:color w:val="0066CC"/>
        </w:rPr>
        <w:t>Our data systems, information systems and network infrastructure may be subject to hacking or other cybersecurity threats and other service interruptions, which could expose us to liability, impair our reputation or temporarily render us unable to fulfill our service obligations under our contracts.</w:t>
      </w:r>
    </w:p>
    <w:p>
      <w:pPr>
        <w:spacing w:after="0" w:line="15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are a leading provider of business processing services concentrated in transaction-intensive processing, analytics and automation. We act as a trusted business partner in both front office and back 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for our business processing services, to deliver uninterrupted, secure service. As part of our business processing services we also develop system software platforms necessary to support our customers’ needs, with significant ongoing investment in developing and operating customer-appropriate operating systems, data bases and system software solutions. We also receive, process, transmit and store substantial volumes of information relating to identifiable individuals, both in our role as a service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processing services,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implemented security systems and controls, both directly and with third-party subcontractors and service providers, with the intent of maintaining both the physical security of our facilities and the data security of our customers’, clients’ and suppliers’ confidential information and information related to identifiable individuals (including payment card and debit and credit card information and health information) against unauthorized access through our information systems or by other electronic transmission or through the misdirection, theft or loss of physical media. These include, for example, the appropriate encryption of information. Despite such efforts, we are susceptible to breach of security systems which may result in unauthorized access to our facilities and those of our customers and/or the information we and our customers are trying to protect. Cybersecurity failure might be caused by computer hacking, malware, computer viruses, worms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35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Hacking, malware, phishing, viruses and other “cyber-attacks” have become more prevalent, have occurred in our systems in the past, and may occur in our systems in the future. Although we have implemented and intend to continue to implement what we believe to be appropriate cyber practices and cybersecurity systems, these systems may prove to be inadequate and result in the disruption, failure, misappropriation or corruption of our network and information systems. Notwithstanding the preventative and protective measures we have in place, it may not be possible for us to fully or timely know if or when such incidents arise, or the full business impact of any cybersecurity breach.</w:t>
      </w:r>
    </w:p>
    <w:p>
      <w:pPr>
        <w:spacing w:after="0" w:line="181" w:lineRule="exact"/>
        <w:rPr>
          <w:sz w:val="20"/>
          <w:szCs w:val="20"/>
          <w:color w:val="auto"/>
        </w:rPr>
      </w:pPr>
    </w:p>
    <w:p>
      <w:pPr>
        <w:ind w:right="420"/>
        <w:spacing w:after="0" w:line="262" w:lineRule="auto"/>
        <w:rPr>
          <w:sz w:val="20"/>
          <w:szCs w:val="20"/>
          <w:color w:val="auto"/>
        </w:rPr>
      </w:pPr>
      <w:r>
        <w:rPr>
          <w:rFonts w:ascii="Arial" w:cs="Arial" w:eastAsia="Arial" w:hAnsi="Arial"/>
          <w:sz w:val="14"/>
          <w:szCs w:val="14"/>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If unauthorized parties gain physical access to one of our or one of our third-party service providers’ facilities or gain electronic access to our or one of our third-party service providers’ information systems,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a security breach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Although we endeavor to ensure that there is adequate backup and maintenance of these systems and centers,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 and diminish the value of our shares.</w:t>
      </w:r>
    </w:p>
    <w:p>
      <w:pPr>
        <w:spacing w:after="0" w:line="34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w:t>
      </w:r>
    </w:p>
    <w:p>
      <w:pPr>
        <w:spacing w:after="0" w:line="200" w:lineRule="exact"/>
        <w:rPr>
          <w:sz w:val="20"/>
          <w:szCs w:val="20"/>
          <w:color w:val="auto"/>
        </w:rPr>
      </w:pPr>
    </w:p>
    <w:p>
      <w:pPr>
        <w:spacing w:after="0" w:line="238"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ind w:right="480"/>
        <w:spacing w:after="0" w:line="296" w:lineRule="auto"/>
        <w:rPr>
          <w:sz w:val="20"/>
          <w:szCs w:val="20"/>
          <w:color w:val="auto"/>
        </w:rPr>
      </w:pPr>
      <w:r>
        <w:rPr>
          <w:rFonts w:ascii="Arial" w:cs="Arial" w:eastAsia="Arial" w:hAnsi="Arial"/>
          <w:sz w:val="14"/>
          <w:szCs w:val="14"/>
          <w:b w:val="1"/>
          <w:bCs w:val="1"/>
          <w:i w:val="1"/>
          <w:iCs w:val="1"/>
          <w:color w:val="0066CC"/>
        </w:rPr>
        <w:t>If we underestimate the scope of work or the costs entailed in performing our contracts, or if we do not fully perform our contracts, our results of operations and financial condition could be materially adversely affected.</w:t>
      </w:r>
    </w:p>
    <w:p>
      <w:pPr>
        <w:spacing w:after="0" w:line="15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order to stay competitive in our industry, we must keep pace with changing technologies and customer preferences. Many of our contracts require us to design, develop and implement new technological and operating systems for our customers. Many of these systems involve detailed and complex computer source code which must be created and integrated into a working system that meets contract specifications. The accounting for these contracts requires judgment relative to assessing risks, estimating contract revenues and costs and making assumptions for schedule and technical issues. To varying degrees, each contract type involves some risk that we could underestimate the costs and resources necessary to fulfill the contract.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In addition, many of our contracts contain complicated performance obligations, including, without limitation, designing and building new integrated computer systems. These contracts carry potential financial penalties or could result in financial damages or exposures if we fail to properly perform those obligations and have in the past resulted in and in the future could result in our results of operations and financial condition being materially adversely affected.</w:t>
      </w:r>
    </w:p>
    <w:p>
      <w:pPr>
        <w:spacing w:after="0" w:line="171" w:lineRule="exact"/>
        <w:rPr>
          <w:sz w:val="20"/>
          <w:szCs w:val="20"/>
          <w:color w:val="auto"/>
        </w:rPr>
      </w:pPr>
    </w:p>
    <w:p>
      <w:pPr>
        <w:ind w:right="380"/>
        <w:spacing w:after="0" w:line="296" w:lineRule="auto"/>
        <w:rPr>
          <w:sz w:val="20"/>
          <w:szCs w:val="20"/>
          <w:color w:val="auto"/>
        </w:rPr>
      </w:pPr>
      <w:r>
        <w:rPr>
          <w:rFonts w:ascii="Arial" w:cs="Arial" w:eastAsia="Arial" w:hAnsi="Arial"/>
          <w:sz w:val="14"/>
          <w:szCs w:val="14"/>
          <w:b w:val="1"/>
          <w:bCs w:val="1"/>
          <w:i w:val="1"/>
          <w:iCs w:val="1"/>
          <w:color w:val="0066CC"/>
        </w:rPr>
        <w:t>Our continuing emphasis and shift toward technology-led digital transactions, rather than more labor intensive commoditized services, could impact our type and timing of the customer contracts that we enter into, particularly in the short-term.</w:t>
      </w:r>
    </w:p>
    <w:p>
      <w:pPr>
        <w:spacing w:after="0" w:line="157"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color w:val="auto"/>
        </w:rPr>
        <w:t>We have made the strategic decision to increase our focus on technology-led digital transactions and focus less on historic labor-intensive commoditized services and customer contracts. We believe technology-led digital transactions are becoming, and will become, the type of services required by many of our customers and those in the industry. We believe that our continuing focus on digital transactions will better create long-term value and increased profitability. However, this increased emphasis on technology-led digital transactions has resulted in and will continue to result in our exiting certain services and contracts, and could adversely impact our revenues and our results of operations, particularly in the short-term.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customers’ decision-making cycles are changing and the lead time for customers to commit to contracts with us has been lengthening.</w:t>
      </w:r>
    </w:p>
    <w:p>
      <w:pPr>
        <w:spacing w:after="0" w:line="221"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As our services industry and our service offerings change and evolve, particularly with our customers increasing their focus on digital offerings, our customers are spending increased time and resources evaluating technology and other investments needed to obtain optimal results and performance, including from their outsourcing providers including the Company. This has led to longer sales lead time cycles for contract commitments from our customers, which can adversely affect the timing of customer commitments and our revenues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If we are unable to collect our receivables for billed or unbilled services, our results of operations and financial condition could be materially adversely affected.</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profitability of certain of our large contracts depends on our ability to successfully obtain payment from our clients of the amounts they owe us for work performed. Actual losses on client balances could differ from current estimates and, as a result, may require adjustment of our receivables for unbilled services. Our receivables include long-term contracts. Over the course of a long-term contract, our customers’ financial condition may change such that their ability to pay their obligations, and our ability to collect our fees for services rendered, is adversely affected. Additionally, we may perform work for the federal, state and local governments, with respect to which we must file requests for equitable adjustment or claims with the proper agency to seek recovery in whole or in part, for out-of-scope work directed or caused by the government customer in support of its project, and the amounts of such recoveries may not meet our expectations or cover our costs. Timely collection of client balances also depends on our ability to complete our contractual commitments (such as our ability to achieve specified milestones in percentage-of-completion contracts)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ind w:right="4360"/>
        <w:spacing w:after="0" w:line="296" w:lineRule="auto"/>
        <w:rPr>
          <w:sz w:val="20"/>
          <w:szCs w:val="20"/>
          <w:color w:val="auto"/>
        </w:rPr>
      </w:pPr>
      <w:r>
        <w:rPr>
          <w:rFonts w:ascii="Arial" w:cs="Arial" w:eastAsia="Arial" w:hAnsi="Arial"/>
          <w:sz w:val="14"/>
          <w:szCs w:val="14"/>
          <w:b w:val="1"/>
          <w:bCs w:val="1"/>
          <w:i w:val="1"/>
          <w:iCs w:val="1"/>
          <w:color w:val="0066CC"/>
        </w:rPr>
        <w:t>A decline in revenues from or a loss or failure of significant clients could materially adversely affect our results of operations and financial condition.</w:t>
      </w:r>
    </w:p>
    <w:p>
      <w:pPr>
        <w:spacing w:after="0" w:line="15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Our results of operations and financial condition could be materially adversely affected by the loss or failure of significant clients or any significant reduction in revenue volumes from our significant customers, which has occurred in the past and could occur in the future. Some of our clients are in business sectors which have experienced significant financial difficulties or consolidation, and/or the reduction of volumes or their inability to make payments to us, as a result of, among other things, their merger or acquisition, divestiture of assets or businesses, contract expiration, nonrenewal or early termination (including termination for convenience) or business or financial failure or deterioration. Economic and political conditions could affect our clients’ businesses and the markets they serve. Competition from other service providers and bringing these services in-house could also be expected to adversely impact out services revenues.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non-recurring revenue, which subjects us to a risk that our revenues and cash flows from operations may fluctuate from period to period.</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Revenue generated from our non-recurring services may fluctuate due to factors both within and outside of our control. Our mix of non-recurring and recurring revenues is impacted by acquisitions as well as growth in our non-recurring lines of business, as well as our strategic decisions to exit or reduce our services in particular service areas. There is less predictability and certainty in the timing and amount of revenues generated by our non-recurring services and, accordingly, our results of operations and financial condition could be materially adversely affected by the timing and amount of revenues generated from our non-recurring services.</w:t>
      </w:r>
    </w:p>
    <w:p>
      <w:pPr>
        <w:spacing w:after="0" w:line="164" w:lineRule="exact"/>
        <w:rPr>
          <w:sz w:val="20"/>
          <w:szCs w:val="20"/>
          <w:color w:val="auto"/>
        </w:rPr>
      </w:pPr>
    </w:p>
    <w:p>
      <w:pPr>
        <w:ind w:right="120"/>
        <w:spacing w:after="0" w:line="296" w:lineRule="auto"/>
        <w:rPr>
          <w:sz w:val="20"/>
          <w:szCs w:val="20"/>
          <w:color w:val="auto"/>
        </w:rPr>
      </w:pPr>
      <w:r>
        <w:rPr>
          <w:rFonts w:ascii="Arial" w:cs="Arial" w:eastAsia="Arial" w:hAnsi="Arial"/>
          <w:sz w:val="14"/>
          <w:szCs w:val="14"/>
          <w:b w:val="1"/>
          <w:bCs w:val="1"/>
          <w:i w:val="1"/>
          <w:iCs w:val="1"/>
          <w:color w:val="0066CC"/>
        </w:rPr>
        <w:t>The failure to obtain or maintain a satisfactory credit rating could adversely affect our liquidity, capital position, borrowing costs, access to capital markets and ability to post surety or performance bonds to support clients’ contracts.</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Any future downgrades to our credit rating could negatively impact our ability to renew contracts with our existing clients, limit our ability to compete for new clients, result in increased premiums for surety or performance bonds to support our clients’ contracts and/or result in a requirement that we provide collateral to secure our surety or performance bonds. Further, certain of our commercial outsourcing contracts provide that, in the event our credit ratings are downgraded to specified levels, the client may elect to terminate its contract with us and either pay a reduced termination fee or, in some limited instances, no termination fee. Such a credit rating downgrade could adversely affect these client relationships.</w:t>
      </w:r>
    </w:p>
    <w:p>
      <w:pPr>
        <w:spacing w:after="0" w:line="35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There can be no assurance that we will be able to maintain our credit ratings. Any additional actual or anticipated downgrades of our credit ratings, including any announcement that our ratings are under review for a downgrade, may have a negative impact on our liquidity, capital position and access to capital markets.</w:t>
      </w:r>
    </w:p>
    <w:p>
      <w:pPr>
        <w:spacing w:after="0" w:line="156"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b w:val="1"/>
          <w:bCs w:val="1"/>
          <w:i w:val="1"/>
          <w:iCs w:val="1"/>
          <w:color w:val="0066CC"/>
        </w:rPr>
        <w:t>The loss of key senior management or the failure to attract and retain necessary technical personnel and qualified subcontractors could materially adversely affect our results of operations and financial condition.</w:t>
      </w:r>
    </w:p>
    <w:p>
      <w:pPr>
        <w:spacing w:after="0" w:line="157"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Our success depends, in part, upon key managerial and technical personnel, including our ability to attract and retain additional qualified personnel, as well as qualified subcontractors. The loss of certain key personnel, such as our Chief Executive Officer (CEO), could materially adversely affect our results of operations and financial condition. On May 8, 2019, we announced Ashok Vemuri’s plan to step down as CEO. On August 6, 2019, our Board of Directors transitioned Mr. Vemuri out as CEO and he resigned as a Director. Also, on August 6, 2019, the Board of Directors appointed Clifford Skelton to serve as CEO and as a Director on the Board to fill the vacancy created by Mr. Vemuri’s departure. There is no assurance that we can retain our key managerial personnel, or that we can attract similar employees, in the future.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because we operate in intensely competitive markets, our success depends to a significant extent upon our ability to attract, retain and motivate highly skilled and qualified technical personnel and to subcontract with qualified, competent subcontractors. If we fail to attract, train and retain sufficient numbers of qualified engineers, technical staff and sales and marketing representatives, or if we are unable to contract with qualified, competent subcontractors, our results of operations and financial condition could be materially adversely affected. Experienced and capable personnel in the services industry remain in high demand, and there is continual competition for their talents. Our ability to renegotiate certain of our legacy third-party contracts which we view as unfavorable, or to improve the service levels we expect from these contracts and third-party providers, is key to our ability to timely, efficiently and profitably deliver our services to our customers. Additionally, we have increased and expect to continue to increase our hiring in geographic areas outside of the United States, which could subject us to increased geopolitical and exchange rate risk. The loss of any key technical employee, the loss of a key subcontractor relationship or our inability to renegotiate or obtain required service levels from legacy and other third-party providers, could materially adversely affect our results of operations and financial condition.</w:t>
      </w:r>
    </w:p>
    <w:p>
      <w:pPr>
        <w:spacing w:after="0" w:line="338" w:lineRule="exact"/>
        <w:rPr>
          <w:sz w:val="20"/>
          <w:szCs w:val="20"/>
          <w:color w:val="auto"/>
        </w:rPr>
      </w:pPr>
    </w:p>
    <w:p>
      <w:pPr>
        <w:ind w:right="4460"/>
        <w:spacing w:after="0" w:line="296" w:lineRule="auto"/>
        <w:rPr>
          <w:sz w:val="20"/>
          <w:szCs w:val="20"/>
          <w:color w:val="auto"/>
        </w:rPr>
      </w:pPr>
      <w:r>
        <w:rPr>
          <w:rFonts w:ascii="Arial" w:cs="Arial" w:eastAsia="Arial" w:hAnsi="Arial"/>
          <w:sz w:val="14"/>
          <w:szCs w:val="14"/>
          <w:b w:val="1"/>
          <w:bCs w:val="1"/>
          <w:i w:val="1"/>
          <w:iCs w:val="1"/>
          <w:color w:val="0066CC"/>
        </w:rPr>
        <w:t>Increases in the cost of telephone and data services or significant interruptions in such services could materially adversely affect our results of operations and financial condition.</w:t>
      </w:r>
    </w:p>
    <w:p>
      <w:pPr>
        <w:spacing w:after="0" w:line="15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Our business is significantly dependent on telephone and data service provided by various local and long distance telephone and data service providers around the world. Accordingly, any disruption of these services could materially adversely affect our results of operations and financial condition. We have taken steps to mitigate our exposure to service disruptions by investing in redundant circuits, although there is no assurance that the redundant circuits would not also suffer disruption. Any inability to obtain telephone or data services at favorable rates could materially adversely affect our results of operations and financial condition. Where possible, we have entered into long-term contracts with various providers to mitigate short-term rate increases and fluctuations. There is no obligation, however, for the vendors to renew their contracts with us, or to offer the same or lower rates in the future, and such contracts are subject to termination or modification for various reasons outside of our control. A significant increase in the cost of telephone or data services that is not recoverable through an increase in the price of our services could materially adversely affect our results of operations and financial condition. In addition, a number of our facilities are located in jurisdictions outside of the United States where the provision of utility services, including electricity and water, may not be consistently reliable, and while there are backup systems in many of our operating facilities, an extended outage of utility or network services could materially adversely affect our results of operations and financial condition.</w:t>
      </w:r>
    </w:p>
    <w:p>
      <w:pPr>
        <w:spacing w:after="0" w:line="343" w:lineRule="exact"/>
        <w:rPr>
          <w:sz w:val="20"/>
          <w:szCs w:val="20"/>
          <w:color w:val="auto"/>
        </w:rPr>
      </w:pPr>
    </w:p>
    <w:p>
      <w:pPr>
        <w:ind w:right="100"/>
        <w:spacing w:after="0" w:line="296" w:lineRule="auto"/>
        <w:rPr>
          <w:sz w:val="20"/>
          <w:szCs w:val="20"/>
          <w:color w:val="auto"/>
        </w:rPr>
      </w:pPr>
      <w:r>
        <w:rPr>
          <w:rFonts w:ascii="Arial" w:cs="Arial" w:eastAsia="Arial" w:hAnsi="Arial"/>
          <w:sz w:val="14"/>
          <w:szCs w:val="14"/>
          <w:b w:val="1"/>
          <w:bCs w:val="1"/>
          <w:i w:val="1"/>
          <w:iCs w:val="1"/>
          <w:color w:val="0066CC"/>
        </w:rPr>
        <w:t>If we fail to successfully develop new service offerings, including new technology components, and protect our intellectual property rights, we may be unable to retain current customers and gain new customers and our revenues would decline.</w:t>
      </w:r>
    </w:p>
    <w:p>
      <w:pPr>
        <w:spacing w:after="0" w:line="15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process of developing new service offerings, including new technology components, is inherently complex and uncertain. It requires accurate anticipation of customers’ changing needs and emerging technological trends. We must make long-term investments and commit significant resources before knowing whether these investments will eventually result in service offerings that achieve customer acceptance and generate the revenues required to provide desired returns. For example, establishing internal automation processes to help us develop new service offerings will require significant up-front costs and resources, which, if not monetized effectively, could materially adversely affect our revenues. In addition, some of our service offerings rely on technologies developed by and licensed from third-parties. We may not be able to obtain or continue to obtain licenses and technologies from these third-parties at all or on reasonable terms, or such third-parties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service offerings comply with both existing and newly enacted regulatory requirements in the countries in which they are sold. If we fail to accurately anticipate and meet our customers’ needs through the development of new service offerings (including technology components) or if we fail to adequately protect our intellectual property rights or if our new service offerings are not widely accepted or if our current or future service offerings fail to meet applicable worldwide regulatory requirements, we could lose market share and customers to our competitors and that could materially adversely affect our results of operations and financial condition.</w:t>
      </w:r>
    </w:p>
    <w:p>
      <w:pPr>
        <w:spacing w:after="0" w:line="200" w:lineRule="exact"/>
        <w:rPr>
          <w:sz w:val="20"/>
          <w:szCs w:val="20"/>
          <w:color w:val="auto"/>
        </w:rPr>
      </w:pPr>
    </w:p>
    <w:p>
      <w:pPr>
        <w:spacing w:after="0" w:line="243"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ind w:right="320"/>
        <w:spacing w:after="0" w:line="296" w:lineRule="auto"/>
        <w:rPr>
          <w:sz w:val="20"/>
          <w:szCs w:val="20"/>
          <w:color w:val="auto"/>
        </w:rPr>
      </w:pPr>
      <w:r>
        <w:rPr>
          <w:rFonts w:ascii="Arial" w:cs="Arial" w:eastAsia="Arial" w:hAnsi="Arial"/>
          <w:sz w:val="14"/>
          <w:szCs w:val="14"/>
          <w:b w:val="1"/>
          <w:bCs w:val="1"/>
          <w:i w:val="1"/>
          <w:iCs w:val="1"/>
          <w:color w:val="0066CC"/>
        </w:rPr>
        <w:t>The Company’s business, operating results and reputation may be negatively impacted by failures or delays in our efforts to modernize our information technology infrastructure and to consolidate to fewer data centers.</w:t>
      </w:r>
    </w:p>
    <w:p>
      <w:pPr>
        <w:spacing w:after="0" w:line="15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have experienced certain disruptions in our operations and service delivery performance issues as a result of some of our information technology infrastructure that is outdated and needs to be enhanced and updated, which disruptions have adversely impacted client and delivery performance. As a result, we are investing in modernizing a significant portion of our information technology infrastructure with new systems and processes and consolidating our data centers as part of our transformation initiatives. This also includes investments in our data center and networks, enhancement, modernization and consolidation of our IT infrastructure and customer-facing technologies, enhanced cybersecurity and movement to cloud-based technology. We expect that these changes will provide greater strategic and operational flexibility and efficiency and better control of our systems and processes. There is a risk, however, that our modernization efforts and data center consolidations could materially and adversely disrupt our operations and our service delivery to customers, could result in contractual penalties or damage claims from customers, could occur over a period longer than planned, and could require greater than expected investment and other internal and external resources. It may also take longer to realize the intended favorable benefits from an enhanced technology infrastructure than we expected, or that disruptions may continue to occur while we enhance this infrastructure.</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process of consolidating our data center involves inherent risks and may cause disruptions to our operations. In October 2018, we suffered a significant outage as a result of a data center migration, which resulted in unplanned system unavailability and disruption for our customers. We plan to undertake several data center migrations in the future and, in the course of these data migrations, could potentially experience significant service outages. Future service disruptions could hinder our ability to attract new customers, cause us to incur legal liability, contractual penalties or issue service credits to our customers and cause us to lose current customers, each of which could have a material adverse effect on our business, financial condition and results of operations.</w:t>
      </w:r>
    </w:p>
    <w:p>
      <w:pPr>
        <w:spacing w:after="0" w:line="167" w:lineRule="exact"/>
        <w:rPr>
          <w:sz w:val="20"/>
          <w:szCs w:val="20"/>
          <w:color w:val="auto"/>
        </w:rPr>
      </w:pPr>
    </w:p>
    <w:p>
      <w:pPr>
        <w:ind w:right="380"/>
        <w:spacing w:after="0" w:line="296" w:lineRule="auto"/>
        <w:rPr>
          <w:sz w:val="20"/>
          <w:szCs w:val="20"/>
          <w:color w:val="auto"/>
        </w:rPr>
      </w:pPr>
      <w:r>
        <w:rPr>
          <w:rFonts w:ascii="Arial" w:cs="Arial" w:eastAsia="Arial" w:hAnsi="Arial"/>
          <w:sz w:val="14"/>
          <w:szCs w:val="14"/>
          <w:b w:val="1"/>
          <w:bCs w:val="1"/>
          <w:i w:val="1"/>
          <w:iCs w:val="1"/>
          <w:color w:val="0066CC"/>
        </w:rPr>
        <w:t>If we fail to meet industry data security standards, our ability to meet contractual obligations may be impaired and result in contractual damage or contract breach claims.</w:t>
      </w:r>
    </w:p>
    <w:p>
      <w:pPr>
        <w:spacing w:after="0" w:line="15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some of our services lines, we are contractually subject to industry data security standards. These industry data security standards include Card Brand (Visa, Mastercard, American Express, Discover and JCB) operating rules, certification requirements and rules governing electronic funds transfers, including the Payment Card Industry Data Security Standard (PCI DSS), a data security standard applicable to companies that collect, store or transmit payment card data. Another industry standard is the Health Information Trust Alliance (HITRUST) which applies to aspects of the healthcare industry and in addition to other industries. While we are taking steps to achieve future compliance and/or certification for our systems, we may not be compliant now, and in the future we may not be able to maintain compliance with PCI DSS, HITRUST and other applicable industry standards. We are taking steps to achieve compliance and/or certification for our systems, but we cannot assure that these efforts will be successful in the time period required or at all. Any failure to comply fully or materially with PCI DSS, HITRUST and other applicable industry standards now or at any point in the future may provide customers the right to terminate contracts with us or to enforce provisions obligating us to reimburse them for any penalties or costs incurred by them as a result of our non-compliance, or subject us to other fines, penalties, damages or civil liability, each of which could have a material adverse effect on our business, financial condition and results of operations. In addition, failure to meet PCI DSS standards could result in the loss of our ability to accept credit card payments and the failure to meet HITRUST standards could impact our ability to service customers in the healthcare and other industries, both of which could have a material adverse impact on our business, financial condition and results of operations.</w:t>
      </w:r>
    </w:p>
    <w:p>
      <w:pPr>
        <w:spacing w:after="0" w:line="200" w:lineRule="exact"/>
        <w:rPr>
          <w:sz w:val="20"/>
          <w:szCs w:val="20"/>
          <w:color w:val="auto"/>
        </w:rPr>
      </w:pPr>
    </w:p>
    <w:p>
      <w:pPr>
        <w:spacing w:after="0" w:line="243"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ind w:right="4580"/>
        <w:spacing w:after="0" w:line="296" w:lineRule="auto"/>
        <w:rPr>
          <w:sz w:val="20"/>
          <w:szCs w:val="20"/>
          <w:color w:val="auto"/>
        </w:rPr>
      </w:pPr>
      <w:r>
        <w:rPr>
          <w:rFonts w:ascii="Arial" w:cs="Arial" w:eastAsia="Arial" w:hAnsi="Arial"/>
          <w:sz w:val="14"/>
          <w:szCs w:val="14"/>
          <w:b w:val="1"/>
          <w:bCs w:val="1"/>
          <w:i w:val="1"/>
          <w:iCs w:val="1"/>
          <w:color w:val="0066CC"/>
        </w:rPr>
        <w:t>We are a holding company and, therefore, may not be able to receive dividends or other payments in needed amounts from our subsidiaries.</w:t>
      </w:r>
    </w:p>
    <w:p>
      <w:pPr>
        <w:spacing w:after="0" w:line="157"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Our principal assets are the shares of capital stock and indebtedness of our subsidiaries. We rely on dividends, interest and other payments from these subsidiaries to meet our obligations for paying principal and interest on outstanding debt obligations, paying corporate expenses and, if determined by our Board, paying dividends to shareholders and repurchasing common shares. Certain of our subsidiaries are subject to regulatory requirements of the jurisdictions in which they operate or other restrictions that may limit the amounts that these subsidiaries can pay in dividends or other payments to us. No assurance can be given that there will not be further changes in law, regulatory actions or other circumstances that could restrict the ability of our subsidiaries to pay dividends to us. In addition, due to differences in tax rates, repatriation of funds from certain countries into the United States could have unfavorable tax ramifications for us.</w:t>
      </w:r>
    </w:p>
    <w:p>
      <w:pPr>
        <w:spacing w:after="0" w:line="165" w:lineRule="exact"/>
        <w:rPr>
          <w:sz w:val="20"/>
          <w:szCs w:val="20"/>
          <w:color w:val="auto"/>
        </w:rPr>
      </w:pPr>
    </w:p>
    <w:p>
      <w:pPr>
        <w:ind w:right="4620"/>
        <w:spacing w:after="0" w:line="296" w:lineRule="auto"/>
        <w:rPr>
          <w:sz w:val="20"/>
          <w:szCs w:val="20"/>
          <w:color w:val="auto"/>
        </w:rPr>
      </w:pPr>
      <w:r>
        <w:rPr>
          <w:rFonts w:ascii="Arial" w:cs="Arial" w:eastAsia="Arial" w:hAnsi="Arial"/>
          <w:sz w:val="14"/>
          <w:szCs w:val="14"/>
          <w:b w:val="1"/>
          <w:bCs w:val="1"/>
          <w:i w:val="1"/>
          <w:iCs w:val="1"/>
          <w:color w:val="0066CC"/>
        </w:rPr>
        <w:t>Our results of operations and financial condition could be materially adversely affected by legal and regulatory matters.</w:t>
      </w:r>
    </w:p>
    <w:p>
      <w:pPr>
        <w:spacing w:after="0" w:line="15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are potentially subject to various contingent liabilities that are not reflected on our balance sheet, including those arising as a result of being involved in a variety of claims, lawsuits, investigations and proceedings concerning: securities laws; governmental and non-governmental entity contracting, servicing and governmental entity procurement laws; intellectual property laws; environmental laws; employment laws; the Employee Retirement Income Security Act of 1974 (ERISA); and other laws, regulations and contractual undertakings, as discussed under Note 16 – Contingencies and Litigation to our Consolidated Financial Statements. If developments in any of these matters cause a change in our determination as to an unfavorable outcome and result in the need to recognize a material accrual or materially increase an existing accrual, or if any of these matters result in an adverse judgment or are settled for significant amounts above any existing accruals, it could materially adversely affect our results of operations and financial condition in the period or periods in which such change in determination, judgment or settlement occurs. There can be no assurances as to the favorable outcome of any claim, lawsuit, investigation or proceeding. It is possible that a resolution of one or more such proceedings, through judgment, settlement or otherwise, could require us to make substantial payments to satisfy judgments, fines or penalties or settlement amounts, any of which could materially adversely affect our results of operations and financial condition. Additionally, the terms of dismissal, settlement, release or other resolution may permit certain claims to be reopened under certain conditions. Claims, lawsuits investigations and proceedings involving the Company could also result in reputational harm, criminal sanctions, consent decrees or orders preventing us from offering certain services, requiring a change in our business practices in costly ways or requiring development of non-infringing or otherwise altered products or technologies. In addition, it can be very costly to defend litigation and these costs could materially adversely affect our results of operations and financial condition. Refer to Note 16 – Contingencies and Litigation to our Consolidated Financial Statements.</w:t>
      </w:r>
    </w:p>
    <w:p>
      <w:pPr>
        <w:spacing w:after="0" w:line="167" w:lineRule="exact"/>
        <w:rPr>
          <w:sz w:val="20"/>
          <w:szCs w:val="20"/>
          <w:color w:val="auto"/>
        </w:rPr>
      </w:pPr>
    </w:p>
    <w:p>
      <w:pPr>
        <w:ind w:right="580"/>
        <w:spacing w:after="0" w:line="296" w:lineRule="auto"/>
        <w:rPr>
          <w:sz w:val="20"/>
          <w:szCs w:val="20"/>
          <w:color w:val="auto"/>
        </w:rPr>
      </w:pPr>
      <w:r>
        <w:rPr>
          <w:rFonts w:ascii="Arial" w:cs="Arial" w:eastAsia="Arial" w:hAnsi="Arial"/>
          <w:sz w:val="14"/>
          <w:szCs w:val="14"/>
          <w:b w:val="1"/>
          <w:bCs w:val="1"/>
          <w:i w:val="1"/>
          <w:iCs w:val="1"/>
          <w:color w:val="0066CC"/>
        </w:rPr>
        <w:t>Our results of operations and financial condition may be materially adversely affected by conditions abroad, including local economics, political environments, fluctuating foreign currencies and shifting regulatory schemes.</w:t>
      </w:r>
    </w:p>
    <w:p>
      <w:pPr>
        <w:spacing w:after="0" w:line="15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 portion of our revenues is generated from operations outside the United States. In addition, we maintain significant operations outside the United States. Our results of operations and financial condition could be materially adversely affected by changes in foreign currency exchange rates, as well as by a number of other factors, including, without limitation, changes in economic conditions from country to country, changes in a country’s political conditions, trade controls and protection measures, financial sanctions, licensing requirements, local tax issues, capitalization and other related legal matters. The withdrawal of the United Kingdom from the European Union, and the resulting impact on cross-border transactions and operations between the United Kingdom and the European Union member states, could materially and adversely affect our operations and financial condition. We generally hedge foreign currency denominated assets, liabilities and anticipated transactions primarily through the use of currency derivative contracts. The use of derivative contracts is intended to mitigate or reduce transactional level volatility in the results of foreign operations but does not completely eliminate volatility. We do not hedge the translation effect of international revenues and expenses, which are denominated in currencies other than our U.S. parent functional currency, within our Consolidated Financial Statements. If we are unable to effectively hedge these risks, our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7" w:name="page28"/>
    <w:bookmarkEnd w:id="2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1B. UNRESOLVED STAFF COMMENTS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2. PROPERTIES</w:t>
      </w:r>
    </w:p>
    <w:p>
      <w:pPr>
        <w:spacing w:after="0" w:line="219"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We lease and own numerous facilities worldwide with larger concentrations of space in Kentucky, New Jersey, California, Mexico, Guatemala, the Philippines, Jamaica, Romania and India. Our owned and leased facilities house general offices, sales offices, service locations, call centers and distribution centers. The size of our property portfolio as of December 31, 2019 was approximately 6.6 million square feet at an annual operating cost (lease costs and expenses) of approximately $157 million and comprised 206 leased properties and 4 owned properties. We believe that our current facilities are suitable and adequate for our current businesses. Because of the interrelation of our business segments, each of the segments uses substantially all of these properties at least in part.</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had 1.8 million square feet of our leased and owned properties that became surplus in 2019 due to the implementation of our strategic transformation program as well as various productivity initiatives to consolidate our real estate footprint. We aggressively managed our surplus properties through early terminations and subleasing of leased properties and the sale of owned properties. As a result, approximately 1.6 million square feet of the surplus property portfolio were resolved as of December 31, 2019. Additional leased and owned properties may become surplus in the future as we continue the strategic transformation program. We are obligated to maintain our leased surplus properties through required contractual lease periods and plan to dispose of or sublease these properties.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3.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Note 16 – Contingencies and Litigation to the Consolidated Financial Statements in Part II, Item 8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4. MINE SAFETY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w:t>
      </w:r>
    </w:p>
    <w:p>
      <w:pPr>
        <w:spacing w:after="0" w:line="203"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color w:val="0066CC"/>
        </w:rPr>
        <w:t>ITEM 5. MARKET FOR THE REGISTRANT'S COMMON EQUITY, RELATED STOCKHOLDER MATTERS AND ISSUER PURCHASES OF EQUITY SECURITIES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Exchange Information</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common stock of Conduent Incorporated began trading on January 3, 2017, on the New York Stock Exchange, under the ticker "CNDT". In December 2019, Conduent changed the listing of its publicly traded common stock from the New York Stock Exchange to the NASDAQ, where it remains listed under the ticker "CNDT".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Shareholders of Record</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Refer to Item 6. Selected Financial Data – Five Years in Review for common shareholders of record at year-end, which is incorporated here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Common Stock Dividends</w:t>
      </w:r>
    </w:p>
    <w:p>
      <w:pPr>
        <w:spacing w:after="0" w:line="223"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We did not pay any dividends on our common stock in 2019. We intend to retain future earnings for use in the operation of our business and to fund future growth. We do not anticipate paying any dividends on our common stock for the foreseeable future.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4676140" cy="2317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6140"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Unregistered Securities During the Quarter Ended December 31, 2019</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6. SELECTED FINANCIAL DATA</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FIVE YEARS IN REVIEW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100" w:type="dxa"/>
            <w:vAlign w:val="bottom"/>
            <w:gridSpan w:val="2"/>
          </w:tcPr>
          <w:p>
            <w:pPr>
              <w:spacing w:after="0"/>
              <w:rPr>
                <w:sz w:val="20"/>
                <w:szCs w:val="20"/>
                <w:color w:val="auto"/>
              </w:rPr>
            </w:pPr>
            <w:r>
              <w:rPr>
                <w:rFonts w:ascii="Arial" w:cs="Arial" w:eastAsia="Arial" w:hAnsi="Arial"/>
                <w:sz w:val="10"/>
                <w:szCs w:val="10"/>
                <w:color w:val="0066CC"/>
              </w:rPr>
              <w:t>(in millions, except per-share and common shareholders of record data)</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92"/>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2019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403"/>
              <w:spacing w:after="0"/>
              <w:rPr>
                <w:sz w:val="20"/>
                <w:szCs w:val="20"/>
                <w:color w:val="auto"/>
              </w:rPr>
            </w:pPr>
            <w:r>
              <w:rPr>
                <w:rFonts w:ascii="Arial" w:cs="Arial" w:eastAsia="Arial" w:hAnsi="Arial"/>
                <w:sz w:val="11"/>
                <w:szCs w:val="11"/>
                <w:color w:val="auto"/>
              </w:rPr>
              <w:t>2017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03"/>
              <w:spacing w:after="0"/>
              <w:rPr>
                <w:sz w:val="20"/>
                <w:szCs w:val="20"/>
                <w:color w:val="auto"/>
              </w:rPr>
            </w:pPr>
            <w:r>
              <w:rPr>
                <w:rFonts w:ascii="Arial" w:cs="Arial" w:eastAsia="Arial" w:hAnsi="Arial"/>
                <w:sz w:val="11"/>
                <w:szCs w:val="11"/>
                <w:color w:val="auto"/>
              </w:rPr>
              <w:t>2015</w:t>
            </w:r>
          </w:p>
        </w:tc>
      </w:tr>
      <w:tr>
        <w:trPr>
          <w:trHeight w:val="163"/>
        </w:trPr>
        <w:tc>
          <w:tcPr>
            <w:tcW w:w="20" w:type="dxa"/>
            <w:vAlign w:val="bottom"/>
          </w:tcPr>
          <w:p>
            <w:pPr>
              <w:spacing w:after="0"/>
              <w:rPr>
                <w:sz w:val="14"/>
                <w:szCs w:val="14"/>
                <w:color w:val="auto"/>
              </w:rPr>
            </w:pPr>
          </w:p>
        </w:tc>
        <w:tc>
          <w:tcPr>
            <w:tcW w:w="50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Operations</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820" w:type="dxa"/>
            <w:vAlign w:val="bottom"/>
            <w:gridSpan w:val="2"/>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4,467</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5,393</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6,022</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6,408</w:t>
            </w:r>
          </w:p>
        </w:tc>
        <w:tc>
          <w:tcPr>
            <w:tcW w:w="100" w:type="dxa"/>
            <w:vAlign w:val="bottom"/>
          </w:tcPr>
          <w:p>
            <w:pPr>
              <w:spacing w:after="0"/>
              <w:rPr>
                <w:sz w:val="14"/>
                <w:szCs w:val="14"/>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6,662</w:t>
            </w:r>
          </w:p>
        </w:tc>
      </w:tr>
      <w:tr>
        <w:trPr>
          <w:trHeight w:val="177"/>
        </w:trPr>
        <w:tc>
          <w:tcPr>
            <w:tcW w:w="20" w:type="dxa"/>
            <w:vAlign w:val="bottom"/>
          </w:tcPr>
          <w:p>
            <w:pPr>
              <w:spacing w:after="0"/>
              <w:rPr>
                <w:sz w:val="15"/>
                <w:szCs w:val="15"/>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income from continuing operations</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(336)</w:t>
            </w:r>
          </w:p>
        </w:tc>
      </w:tr>
      <w:tr>
        <w:trPr>
          <w:trHeight w:val="172"/>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Net income (loss)</w:t>
            </w:r>
            <w:r>
              <w:rPr>
                <w:rFonts w:ascii="Arial" w:cs="Arial" w:eastAsia="Arial" w:hAnsi="Arial"/>
                <w:sz w:val="14"/>
                <w:szCs w:val="14"/>
                <w:color w:val="auto"/>
                <w:vertAlign w:val="superscript"/>
              </w:rPr>
              <w:t>(1)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181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(983)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(414)</w:t>
            </w:r>
          </w:p>
        </w:tc>
      </w:tr>
      <w:tr>
        <w:trPr>
          <w:trHeight w:val="168"/>
        </w:trPr>
        <w:tc>
          <w:tcPr>
            <w:tcW w:w="20" w:type="dxa"/>
            <w:vAlign w:val="bottom"/>
          </w:tcPr>
          <w:p>
            <w:pPr>
              <w:spacing w:after="0"/>
              <w:rPr>
                <w:sz w:val="14"/>
                <w:szCs w:val="14"/>
                <w:color w:val="auto"/>
              </w:rPr>
            </w:pPr>
          </w:p>
        </w:tc>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Per-Share Data</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Income (loss) from continuing operations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Basic</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(1.65)</w:t>
            </w:r>
          </w:p>
        </w:tc>
      </w:tr>
      <w:tr>
        <w:trPr>
          <w:trHeight w:val="168"/>
        </w:trPr>
        <w:tc>
          <w:tcPr>
            <w:tcW w:w="20" w:type="dxa"/>
            <w:vAlign w:val="bottom"/>
          </w:tcPr>
          <w:p>
            <w:pPr>
              <w:spacing w:after="0"/>
              <w:rPr>
                <w:sz w:val="14"/>
                <w:szCs w:val="14"/>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Diluted</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83"/>
              <w:spacing w:after="0"/>
              <w:rPr>
                <w:sz w:val="20"/>
                <w:szCs w:val="20"/>
                <w:color w:val="auto"/>
              </w:rPr>
            </w:pPr>
            <w:r>
              <w:rPr>
                <w:rFonts w:ascii="Arial" w:cs="Arial" w:eastAsia="Arial" w:hAnsi="Arial"/>
                <w:sz w:val="11"/>
                <w:szCs w:val="11"/>
                <w:color w:val="auto"/>
              </w:rPr>
              <w:t>0.81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(4.85)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63"/>
              <w:spacing w:after="0"/>
              <w:rPr>
                <w:sz w:val="20"/>
                <w:szCs w:val="20"/>
                <w:color w:val="auto"/>
              </w:rPr>
            </w:pPr>
            <w:r>
              <w:rPr>
                <w:rFonts w:ascii="Arial" w:cs="Arial" w:eastAsia="Arial" w:hAnsi="Arial"/>
                <w:sz w:val="11"/>
                <w:szCs w:val="11"/>
                <w:color w:val="auto"/>
              </w:rPr>
              <w:t>(1.65)</w:t>
            </w:r>
          </w:p>
        </w:tc>
      </w:tr>
      <w:tr>
        <w:trPr>
          <w:trHeight w:val="168"/>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Conduent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160"/>
              <w:spacing w:after="0"/>
              <w:rPr>
                <w:sz w:val="20"/>
                <w:szCs w:val="20"/>
                <w:color w:val="auto"/>
              </w:rPr>
            </w:pPr>
            <w:r>
              <w:rPr>
                <w:rFonts w:ascii="Arial" w:cs="Arial" w:eastAsia="Arial" w:hAnsi="Arial"/>
                <w:sz w:val="11"/>
                <w:szCs w:val="11"/>
                <w:color w:val="auto"/>
              </w:rPr>
              <w:t>Basic</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0.84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(4.85)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(2.04)</w:t>
            </w:r>
          </w:p>
        </w:tc>
      </w:tr>
      <w:tr>
        <w:trPr>
          <w:trHeight w:val="177"/>
        </w:trPr>
        <w:tc>
          <w:tcPr>
            <w:tcW w:w="20" w:type="dxa"/>
            <w:vAlign w:val="bottom"/>
          </w:tcPr>
          <w:p>
            <w:pPr>
              <w:spacing w:after="0"/>
              <w:rPr>
                <w:sz w:val="15"/>
                <w:szCs w:val="15"/>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Diluted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(2.04)</w:t>
            </w:r>
          </w:p>
        </w:tc>
      </w:tr>
      <w:tr>
        <w:trPr>
          <w:trHeight w:val="168"/>
        </w:trPr>
        <w:tc>
          <w:tcPr>
            <w:tcW w:w="20" w:type="dxa"/>
            <w:vAlign w:val="bottom"/>
          </w:tcPr>
          <w:p>
            <w:pPr>
              <w:spacing w:after="0"/>
              <w:rPr>
                <w:sz w:val="14"/>
                <w:szCs w:val="1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Financial Position</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Working capital</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(867)</w:t>
            </w:r>
          </w:p>
        </w:tc>
      </w:tr>
      <w:tr>
        <w:trPr>
          <w:trHeight w:val="168"/>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4,514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6,680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7,548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7,709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9,058</w:t>
            </w:r>
          </w:p>
        </w:tc>
      </w:tr>
      <w:tr>
        <w:trPr>
          <w:trHeight w:val="172"/>
        </w:trPr>
        <w:tc>
          <w:tcPr>
            <w:tcW w:w="20" w:type="dxa"/>
            <w:vAlign w:val="bottom"/>
          </w:tcPr>
          <w:p>
            <w:pPr>
              <w:spacing w:after="0"/>
              <w:rPr>
                <w:sz w:val="14"/>
                <w:szCs w:val="14"/>
                <w:color w:val="auto"/>
              </w:rPr>
            </w:pPr>
          </w:p>
        </w:tc>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Consolidated Capitalization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Current portion of long-term debt</w:t>
            </w:r>
          </w:p>
        </w:tc>
        <w:tc>
          <w:tcPr>
            <w:tcW w:w="820" w:type="dxa"/>
            <w:vAlign w:val="bottom"/>
            <w:gridSpan w:val="2"/>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4"/>
                <w:szCs w:val="14"/>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24</w:t>
            </w:r>
          </w:p>
        </w:tc>
      </w:tr>
      <w:tr>
        <w:trPr>
          <w:trHeight w:val="172"/>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debt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1,512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1,979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1,913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37</w:t>
            </w:r>
          </w:p>
        </w:tc>
      </w:tr>
      <w:tr>
        <w:trPr>
          <w:trHeight w:val="168"/>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1"/>
                <w:szCs w:val="11"/>
                <w:color w:val="auto"/>
              </w:rPr>
              <w:t>Total Debt</w:t>
            </w:r>
            <w:r>
              <w:rPr>
                <w:rFonts w:ascii="Arial" w:cs="Arial" w:eastAsia="Arial" w:hAnsi="Arial"/>
                <w:sz w:val="14"/>
                <w:szCs w:val="14"/>
                <w:color w:val="auto"/>
                <w:vertAlign w:val="superscript"/>
              </w:rPr>
              <w:t>(2)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1,514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1,567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2,061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1,941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61</w:t>
            </w:r>
          </w:p>
        </w:tc>
      </w:tr>
      <w:tr>
        <w:trPr>
          <w:trHeight w:val="172"/>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Series A preferred stock</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n/a</w:t>
            </w:r>
          </w:p>
        </w:tc>
      </w:tr>
      <w:tr>
        <w:trPr>
          <w:trHeight w:val="172"/>
        </w:trPr>
        <w:tc>
          <w:tcPr>
            <w:tcW w:w="20" w:type="dxa"/>
            <w:vAlign w:val="bottom"/>
          </w:tcPr>
          <w:p>
            <w:pPr>
              <w:spacing w:after="0"/>
              <w:rPr>
                <w:sz w:val="14"/>
                <w:szCs w:val="14"/>
                <w:color w:val="auto"/>
              </w:rPr>
            </w:pPr>
          </w:p>
        </w:tc>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Conduent shareholders' equity/former parent investment</w:t>
            </w:r>
            <w:r>
              <w:rPr>
                <w:rFonts w:ascii="Arial" w:cs="Arial" w:eastAsia="Arial" w:hAnsi="Arial"/>
                <w:sz w:val="14"/>
                <w:szCs w:val="14"/>
                <w:color w:val="auto"/>
                <w:vertAlign w:val="superscript"/>
              </w:rPr>
              <w:t>(3)</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1,300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3,529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3,288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5,162</w:t>
            </w:r>
          </w:p>
        </w:tc>
      </w:tr>
      <w:tr>
        <w:trPr>
          <w:trHeight w:val="163"/>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Consolidated Capitalization</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5,732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5,371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5,223</w:t>
            </w:r>
          </w:p>
        </w:tc>
      </w:tr>
      <w:tr>
        <w:trPr>
          <w:trHeight w:val="163"/>
        </w:trPr>
        <w:tc>
          <w:tcPr>
            <w:tcW w:w="20" w:type="dxa"/>
            <w:vAlign w:val="bottom"/>
          </w:tcPr>
          <w:p>
            <w:pPr>
              <w:spacing w:after="0"/>
              <w:rPr>
                <w:sz w:val="14"/>
                <w:szCs w:val="1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Selected Data and Ratios</w:t>
            </w:r>
            <w:r>
              <w:rPr>
                <w:rFonts w:ascii="Arial" w:cs="Arial" w:eastAsia="Arial" w:hAnsi="Arial"/>
                <w:sz w:val="14"/>
                <w:szCs w:val="14"/>
                <w:b w:val="1"/>
                <w:bCs w:val="1"/>
                <w:color w:val="auto"/>
                <w:vertAlign w:val="superscript"/>
              </w:rPr>
              <w:t>(4)</w:t>
            </w:r>
          </w:p>
        </w:tc>
        <w:tc>
          <w:tcPr>
            <w:tcW w:w="10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CCEEFF"/>
            </w:tcBorders>
          </w:tcPr>
          <w:p>
            <w:pPr>
              <w:spacing w:after="0"/>
              <w:rPr>
                <w:sz w:val="14"/>
                <w:szCs w:val="14"/>
                <w:color w:val="auto"/>
              </w:rPr>
            </w:pPr>
          </w:p>
        </w:tc>
        <w:tc>
          <w:tcPr>
            <w:tcW w:w="8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CCEEFF"/>
            </w:tcBorders>
          </w:tcPr>
          <w:p>
            <w:pPr>
              <w:spacing w:after="0"/>
              <w:rPr>
                <w:sz w:val="14"/>
                <w:szCs w:val="14"/>
                <w:color w:val="auto"/>
              </w:rPr>
            </w:pPr>
          </w:p>
        </w:tc>
        <w:tc>
          <w:tcPr>
            <w:tcW w:w="92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CCEEFF"/>
            </w:tcBorders>
          </w:tcPr>
          <w:p>
            <w:pPr>
              <w:spacing w:after="0"/>
              <w:rPr>
                <w:sz w:val="14"/>
                <w:szCs w:val="14"/>
                <w:color w:val="auto"/>
              </w:rPr>
            </w:pPr>
          </w:p>
        </w:tc>
        <w:tc>
          <w:tcPr>
            <w:tcW w:w="8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CCEEFF"/>
            </w:tcBorders>
          </w:tcPr>
          <w:p>
            <w:pPr>
              <w:spacing w:after="0"/>
              <w:rPr>
                <w:sz w:val="14"/>
                <w:szCs w:val="14"/>
                <w:color w:val="auto"/>
              </w:rPr>
            </w:pPr>
          </w:p>
        </w:tc>
        <w:tc>
          <w:tcPr>
            <w:tcW w:w="920" w:type="dxa"/>
            <w:vAlign w:val="bottom"/>
            <w:tcBorders>
              <w:top w:val="single" w:sz="8" w:color="auto"/>
              <w:bottom w:val="single" w:sz="8" w:color="CCEEFF"/>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080" w:type="dxa"/>
            <w:vAlign w:val="bottom"/>
            <w:shd w:val="clear" w:color="auto" w:fill="CCEEFF"/>
          </w:tcPr>
          <w:p>
            <w:pPr>
              <w:ind w:left="20"/>
              <w:spacing w:after="0" w:line="152" w:lineRule="exact"/>
              <w:rPr>
                <w:sz w:val="20"/>
                <w:szCs w:val="20"/>
                <w:color w:val="auto"/>
              </w:rPr>
            </w:pPr>
            <w:r>
              <w:rPr>
                <w:rFonts w:ascii="Arial" w:cs="Arial" w:eastAsia="Arial" w:hAnsi="Arial"/>
                <w:sz w:val="11"/>
                <w:szCs w:val="11"/>
                <w:color w:val="auto"/>
              </w:rPr>
              <w:t>Common shareholders of record at year-end</w:t>
            </w:r>
            <w:r>
              <w:rPr>
                <w:rFonts w:ascii="Arial" w:cs="Arial" w:eastAsia="Arial" w:hAnsi="Arial"/>
                <w:sz w:val="14"/>
                <w:szCs w:val="14"/>
                <w:color w:val="auto"/>
                <w:vertAlign w:val="superscript"/>
              </w:rPr>
              <w:t>(4)</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25,660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26,226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26,936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n/a</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n/a</w:t>
            </w:r>
          </w:p>
        </w:tc>
      </w:tr>
      <w:tr>
        <w:trPr>
          <w:trHeight w:val="172"/>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Book value per common share</w:t>
            </w:r>
            <w:r>
              <w:rPr>
                <w:rFonts w:ascii="Arial" w:cs="Arial" w:eastAsia="Arial" w:hAnsi="Arial"/>
                <w:sz w:val="14"/>
                <w:szCs w:val="14"/>
                <w:color w:val="auto"/>
                <w:vertAlign w:val="superscript"/>
              </w:rPr>
              <w:t>(4)</w:t>
            </w:r>
          </w:p>
        </w:tc>
        <w:tc>
          <w:tcPr>
            <w:tcW w:w="820" w:type="dxa"/>
            <w:vAlign w:val="bottom"/>
            <w:gridSpan w:val="2"/>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6.60</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15.68</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16.77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580"/>
              <w:spacing w:after="0"/>
              <w:rPr>
                <w:sz w:val="20"/>
                <w:szCs w:val="20"/>
                <w:color w:val="auto"/>
              </w:rPr>
            </w:pPr>
            <w:r>
              <w:rPr>
                <w:rFonts w:ascii="Arial" w:cs="Arial" w:eastAsia="Arial" w:hAnsi="Arial"/>
                <w:sz w:val="11"/>
                <w:szCs w:val="11"/>
                <w:color w:val="auto"/>
              </w:rPr>
              <w:t>n/a</w:t>
            </w:r>
          </w:p>
        </w:tc>
        <w:tc>
          <w:tcPr>
            <w:tcW w:w="28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n/a</w:t>
            </w:r>
          </w:p>
        </w:tc>
      </w:tr>
      <w:tr>
        <w:trPr>
          <w:trHeight w:val="172"/>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Year-end common stock market price</w:t>
            </w:r>
            <w:r>
              <w:rPr>
                <w:rFonts w:ascii="Arial" w:cs="Arial" w:eastAsia="Arial" w:hAnsi="Arial"/>
                <w:sz w:val="14"/>
                <w:szCs w:val="14"/>
                <w:color w:val="auto"/>
                <w:vertAlign w:val="superscript"/>
              </w:rPr>
              <w:t>(4)</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n/a</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n/a</w:t>
            </w:r>
          </w:p>
        </w:tc>
      </w:tr>
      <w:tr>
        <w:trPr>
          <w:trHeight w:val="163"/>
        </w:trPr>
        <w:tc>
          <w:tcPr>
            <w:tcW w:w="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1"/>
                <w:szCs w:val="11"/>
                <w:color w:val="auto"/>
              </w:rPr>
              <w:t>Cash dividends paid - preferred stock, $80/per share</w:t>
            </w:r>
          </w:p>
        </w:tc>
        <w:tc>
          <w:tcPr>
            <w:tcW w:w="820" w:type="dxa"/>
            <w:vAlign w:val="bottom"/>
            <w:gridSpan w:val="2"/>
          </w:tcPr>
          <w:p>
            <w:pPr>
              <w:jc w:val="right"/>
              <w:ind w:right="6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__________</w:t>
      </w:r>
    </w:p>
    <w:p>
      <w:pPr>
        <w:spacing w:after="0" w:line="233" w:lineRule="exact"/>
        <w:rPr>
          <w:sz w:val="20"/>
          <w:szCs w:val="20"/>
          <w:color w:val="auto"/>
        </w:rPr>
      </w:pPr>
    </w:p>
    <w:p>
      <w:pPr>
        <w:ind w:left="260" w:right="40" w:hanging="254"/>
        <w:spacing w:after="0" w:line="286" w:lineRule="auto"/>
        <w:tabs>
          <w:tab w:leader="none" w:pos="249"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The 2019 amounts include goodwill impairment charge of approximately $2.0 billion. Refer to Note 8 – Goodwill and Intangible Assets, Net to the Consolidated Financial Statements included in Item 8 of this Form 10-K for further discussion.</w:t>
      </w:r>
    </w:p>
    <w:p>
      <w:pPr>
        <w:ind w:left="260" w:right="40" w:hanging="254"/>
        <w:spacing w:after="0" w:line="286" w:lineRule="auto"/>
        <w:tabs>
          <w:tab w:leader="none" w:pos="249"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Includes finance lease obligations. Refer to Note 1 – Basis of Presentation and Summary of Significant Accounting Policies and Note 11 – Debt to the Consolidated Financial Statements included in Item 8 of this Form 10-K for a discussion concerning finance lease obligations.</w:t>
      </w:r>
    </w:p>
    <w:p>
      <w:pPr>
        <w:ind w:left="260" w:hanging="254"/>
        <w:spacing w:after="0"/>
        <w:tabs>
          <w:tab w:leader="none" w:pos="260"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The amount for 2015 represents former parent company's investments.</w:t>
      </w:r>
    </w:p>
    <w:p>
      <w:pPr>
        <w:spacing w:after="0" w:line="45" w:lineRule="exact"/>
        <w:rPr>
          <w:rFonts w:ascii="Arial" w:cs="Arial" w:eastAsia="Arial" w:hAnsi="Arial"/>
          <w:sz w:val="11"/>
          <w:szCs w:val="11"/>
          <w:i w:val="1"/>
          <w:iCs w:val="1"/>
          <w:color w:val="auto"/>
        </w:rPr>
      </w:pPr>
    </w:p>
    <w:p>
      <w:pPr>
        <w:ind w:left="260" w:right="120" w:hanging="254"/>
        <w:spacing w:after="0" w:line="289" w:lineRule="auto"/>
        <w:tabs>
          <w:tab w:leader="none" w:pos="249"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Common stock of Conduent Incorporated began trading on the NYSE on January 3, 2017; therefore, selected data and ratios are not available for years prior to 2017. In December 2019, Conduent changed the listing of its publicly traded common stock from the New York Stock Exchange to NASDAQ, where it remains listed under the ticker "CNDT".</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QUARTERLY RESULTS OF OPERATIONS (Unaudit</w:t>
      </w:r>
      <w:r>
        <w:rPr>
          <w:rFonts w:ascii="Arial" w:cs="Arial" w:eastAsia="Arial" w:hAnsi="Arial"/>
          <w:sz w:val="17"/>
          <w:szCs w:val="17"/>
          <w:b w:val="1"/>
          <w:bCs w:val="1"/>
          <w:color w:val="0066CC"/>
        </w:rPr>
        <w: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color w:val="auto"/>
              </w:rPr>
              <w:t>First</w:t>
            </w:r>
          </w:p>
        </w:tc>
        <w:tc>
          <w:tcPr>
            <w:tcW w:w="20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color w:val="auto"/>
              </w:rPr>
              <w:t>Second</w:t>
            </w:r>
          </w:p>
        </w:tc>
        <w:tc>
          <w:tcPr>
            <w:tcW w:w="200" w:type="dxa"/>
            <w:vAlign w:val="bottom"/>
          </w:tcPr>
          <w:p>
            <w:pPr>
              <w:spacing w:after="0"/>
              <w:rPr>
                <w:sz w:val="11"/>
                <w:szCs w:val="11"/>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1"/>
                <w:szCs w:val="11"/>
                <w:color w:val="auto"/>
              </w:rPr>
              <w:t>Third</w:t>
            </w:r>
          </w:p>
        </w:tc>
        <w:tc>
          <w:tcPr>
            <w:tcW w:w="200" w:type="dxa"/>
            <w:vAlign w:val="bottom"/>
          </w:tcPr>
          <w:p>
            <w:pPr>
              <w:spacing w:after="0"/>
              <w:rPr>
                <w:sz w:val="11"/>
                <w:szCs w:val="11"/>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1"/>
                <w:szCs w:val="11"/>
                <w:color w:val="auto"/>
              </w:rPr>
              <w:t>Fourth</w:t>
            </w:r>
          </w:p>
        </w:tc>
        <w:tc>
          <w:tcPr>
            <w:tcW w:w="240" w:type="dxa"/>
            <w:vAlign w:val="bottom"/>
          </w:tcPr>
          <w:p>
            <w:pPr>
              <w:spacing w:after="0"/>
              <w:rPr>
                <w:sz w:val="11"/>
                <w:szCs w:val="11"/>
                <w:color w:val="auto"/>
              </w:rPr>
            </w:pPr>
          </w:p>
        </w:tc>
        <w:tc>
          <w:tcPr>
            <w:tcW w:w="840" w:type="dxa"/>
            <w:vAlign w:val="bottom"/>
          </w:tcPr>
          <w:p>
            <w:pPr>
              <w:jc w:val="right"/>
              <w:ind w:right="383"/>
              <w:spacing w:after="0"/>
              <w:rPr>
                <w:sz w:val="20"/>
                <w:szCs w:val="20"/>
                <w:color w:val="auto"/>
              </w:rPr>
            </w:pPr>
            <w:r>
              <w:rPr>
                <w:rFonts w:ascii="Arial" w:cs="Arial" w:eastAsia="Arial" w:hAnsi="Arial"/>
                <w:sz w:val="11"/>
                <w:szCs w:val="11"/>
                <w:color w:val="auto"/>
              </w:rPr>
              <w:t>Full</w:t>
            </w:r>
          </w:p>
        </w:tc>
      </w:tr>
      <w:tr>
        <w:trPr>
          <w:trHeight w:val="115"/>
        </w:trPr>
        <w:tc>
          <w:tcPr>
            <w:tcW w:w="20" w:type="dxa"/>
            <w:vAlign w:val="bottom"/>
          </w:tcPr>
          <w:p>
            <w:pPr>
              <w:spacing w:after="0"/>
              <w:rPr>
                <w:sz w:val="9"/>
                <w:szCs w:val="9"/>
                <w:color w:val="auto"/>
              </w:rPr>
            </w:pPr>
          </w:p>
        </w:tc>
        <w:tc>
          <w:tcPr>
            <w:tcW w:w="5800" w:type="dxa"/>
            <w:vAlign w:val="bottom"/>
            <w:gridSpan w:val="3"/>
          </w:tcPr>
          <w:p>
            <w:pPr>
              <w:spacing w:after="0"/>
              <w:rPr>
                <w:sz w:val="20"/>
                <w:szCs w:val="20"/>
                <w:color w:val="auto"/>
              </w:rPr>
            </w:pPr>
            <w:r>
              <w:rPr>
                <w:rFonts w:ascii="Arial" w:cs="Arial" w:eastAsia="Arial" w:hAnsi="Arial"/>
                <w:sz w:val="10"/>
                <w:szCs w:val="10"/>
                <w:color w:val="auto"/>
              </w:rPr>
              <w:t>(in millions, except per-share data)</w:t>
            </w:r>
          </w:p>
        </w:tc>
        <w:tc>
          <w:tcPr>
            <w:tcW w:w="200" w:type="dxa"/>
            <w:vAlign w:val="bottom"/>
          </w:tcPr>
          <w:p>
            <w:pPr>
              <w:spacing w:after="0"/>
              <w:rPr>
                <w:sz w:val="9"/>
                <w:szCs w:val="9"/>
                <w:color w:val="auto"/>
              </w:rPr>
            </w:pPr>
          </w:p>
        </w:tc>
        <w:tc>
          <w:tcPr>
            <w:tcW w:w="94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rPr>
              <w:t>Quarter</w:t>
            </w:r>
          </w:p>
        </w:tc>
        <w:tc>
          <w:tcPr>
            <w:tcW w:w="200" w:type="dxa"/>
            <w:vAlign w:val="bottom"/>
          </w:tcPr>
          <w:p>
            <w:pPr>
              <w:spacing w:after="0"/>
              <w:rPr>
                <w:sz w:val="9"/>
                <w:szCs w:val="9"/>
                <w:color w:val="auto"/>
              </w:rPr>
            </w:pPr>
          </w:p>
        </w:tc>
        <w:tc>
          <w:tcPr>
            <w:tcW w:w="940" w:type="dxa"/>
            <w:vAlign w:val="bottom"/>
            <w:gridSpan w:val="2"/>
          </w:tcPr>
          <w:p>
            <w:pPr>
              <w:ind w:left="140"/>
              <w:spacing w:after="0" w:line="115" w:lineRule="exact"/>
              <w:rPr>
                <w:sz w:val="20"/>
                <w:szCs w:val="20"/>
                <w:color w:val="auto"/>
              </w:rPr>
            </w:pPr>
            <w:r>
              <w:rPr>
                <w:rFonts w:ascii="Arial" w:cs="Arial" w:eastAsia="Arial" w:hAnsi="Arial"/>
                <w:sz w:val="11"/>
                <w:szCs w:val="11"/>
                <w:color w:val="auto"/>
              </w:rPr>
              <w:t>Quarter</w:t>
            </w:r>
          </w:p>
        </w:tc>
        <w:tc>
          <w:tcPr>
            <w:tcW w:w="200" w:type="dxa"/>
            <w:vAlign w:val="bottom"/>
          </w:tcPr>
          <w:p>
            <w:pPr>
              <w:spacing w:after="0"/>
              <w:rPr>
                <w:sz w:val="9"/>
                <w:szCs w:val="9"/>
                <w:color w:val="auto"/>
              </w:rPr>
            </w:pPr>
          </w:p>
        </w:tc>
        <w:tc>
          <w:tcPr>
            <w:tcW w:w="92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rPr>
              <w:t>Quarter</w:t>
            </w:r>
          </w:p>
        </w:tc>
        <w:tc>
          <w:tcPr>
            <w:tcW w:w="200" w:type="dxa"/>
            <w:vAlign w:val="bottom"/>
          </w:tcPr>
          <w:p>
            <w:pPr>
              <w:spacing w:after="0"/>
              <w:rPr>
                <w:sz w:val="9"/>
                <w:szCs w:val="9"/>
                <w:color w:val="auto"/>
              </w:rPr>
            </w:pPr>
          </w:p>
        </w:tc>
        <w:tc>
          <w:tcPr>
            <w:tcW w:w="94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rPr>
              <w:t>Quarter</w:t>
            </w:r>
          </w:p>
        </w:tc>
        <w:tc>
          <w:tcPr>
            <w:tcW w:w="240" w:type="dxa"/>
            <w:vAlign w:val="bottom"/>
          </w:tcPr>
          <w:p>
            <w:pPr>
              <w:spacing w:after="0"/>
              <w:rPr>
                <w:sz w:val="9"/>
                <w:szCs w:val="9"/>
                <w:color w:val="auto"/>
              </w:rPr>
            </w:pPr>
          </w:p>
        </w:tc>
        <w:tc>
          <w:tcPr>
            <w:tcW w:w="840" w:type="dxa"/>
            <w:vAlign w:val="bottom"/>
          </w:tcPr>
          <w:p>
            <w:pPr>
              <w:jc w:val="right"/>
              <w:ind w:right="383"/>
              <w:spacing w:after="0" w:line="115" w:lineRule="exact"/>
              <w:rPr>
                <w:sz w:val="20"/>
                <w:szCs w:val="20"/>
                <w:color w:val="auto"/>
              </w:rPr>
            </w:pPr>
            <w:r>
              <w:rPr>
                <w:rFonts w:ascii="Arial" w:cs="Arial" w:eastAsia="Arial" w:hAnsi="Arial"/>
                <w:sz w:val="11"/>
                <w:szCs w:val="11"/>
                <w:color w:val="auto"/>
              </w:rPr>
              <w:t>Year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1"/>
        </w:trPr>
        <w:tc>
          <w:tcPr>
            <w:tcW w:w="1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2019</w:t>
            </w:r>
          </w:p>
        </w:tc>
        <w:tc>
          <w:tcPr>
            <w:tcW w:w="41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5800" w:type="dxa"/>
            <w:vAlign w:val="bottom"/>
            <w:gridSpan w:val="3"/>
          </w:tcPr>
          <w:p>
            <w:pPr>
              <w:ind w:left="140"/>
              <w:spacing w:after="0"/>
              <w:rPr>
                <w:sz w:val="20"/>
                <w:szCs w:val="20"/>
                <w:color w:val="auto"/>
              </w:rPr>
            </w:pPr>
            <w:r>
              <w:rPr>
                <w:rFonts w:ascii="Arial" w:cs="Arial" w:eastAsia="Arial" w:hAnsi="Arial"/>
                <w:sz w:val="11"/>
                <w:szCs w:val="11"/>
                <w:b w:val="1"/>
                <w:bCs w:val="1"/>
                <w:color w:val="auto"/>
              </w:rPr>
              <w:t>Revenues</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1,158</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1,112</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1,098</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1,099</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103"/>
              <w:spacing w:after="0"/>
              <w:rPr>
                <w:sz w:val="20"/>
                <w:szCs w:val="20"/>
                <w:color w:val="auto"/>
              </w:rPr>
            </w:pPr>
            <w:r>
              <w:rPr>
                <w:rFonts w:ascii="Arial" w:cs="Arial" w:eastAsia="Arial" w:hAnsi="Arial"/>
                <w:sz w:val="11"/>
                <w:szCs w:val="11"/>
                <w:color w:val="auto"/>
              </w:rPr>
              <w:t>4,467</w:t>
            </w:r>
          </w:p>
        </w:tc>
      </w:tr>
      <w:tr>
        <w:trPr>
          <w:trHeight w:val="177"/>
        </w:trPr>
        <w:tc>
          <w:tcPr>
            <w:tcW w:w="20" w:type="dxa"/>
            <w:vAlign w:val="bottom"/>
            <w:shd w:val="clear" w:color="auto" w:fill="CCEEFF"/>
          </w:tcPr>
          <w:p>
            <w:pPr>
              <w:spacing w:after="0"/>
              <w:rPr>
                <w:sz w:val="15"/>
                <w:szCs w:val="15"/>
                <w:color w:val="auto"/>
              </w:rPr>
            </w:pPr>
          </w:p>
        </w:tc>
        <w:tc>
          <w:tcPr>
            <w:tcW w:w="580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Costs and Expenses</w:t>
            </w:r>
            <w:r>
              <w:rPr>
                <w:rFonts w:ascii="Arial" w:cs="Arial" w:eastAsia="Arial" w:hAnsi="Arial"/>
                <w:sz w:val="14"/>
                <w:szCs w:val="14"/>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1,112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1,734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6,573</w:t>
            </w:r>
          </w:p>
        </w:tc>
      </w:tr>
      <w:tr>
        <w:trPr>
          <w:trHeight w:val="158"/>
        </w:trPr>
        <w:tc>
          <w:tcPr>
            <w:tcW w:w="20" w:type="dxa"/>
            <w:vAlign w:val="bottom"/>
          </w:tcPr>
          <w:p>
            <w:pPr>
              <w:spacing w:after="0"/>
              <w:rPr>
                <w:sz w:val="13"/>
                <w:szCs w:val="13"/>
                <w:color w:val="auto"/>
              </w:rPr>
            </w:pPr>
          </w:p>
        </w:tc>
        <w:tc>
          <w:tcPr>
            <w:tcW w:w="5800" w:type="dxa"/>
            <w:vAlign w:val="bottom"/>
            <w:gridSpan w:val="3"/>
          </w:tcPr>
          <w:p>
            <w:pPr>
              <w:spacing w:after="0"/>
              <w:rPr>
                <w:sz w:val="20"/>
                <w:szCs w:val="20"/>
                <w:color w:val="auto"/>
              </w:rPr>
            </w:pPr>
            <w:r>
              <w:rPr>
                <w:rFonts w:ascii="Arial" w:cs="Arial" w:eastAsia="Arial" w:hAnsi="Arial"/>
                <w:sz w:val="11"/>
                <w:szCs w:val="11"/>
                <w:b w:val="1"/>
                <w:bCs w:val="1"/>
                <w:color w:val="auto"/>
              </w:rPr>
              <w:t>(Loss) Income before Income Taxes</w:t>
            </w: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(1,119)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(635)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(2,106)</w:t>
            </w:r>
          </w:p>
        </w:tc>
      </w:tr>
      <w:tr>
        <w:trPr>
          <w:trHeight w:val="172"/>
        </w:trPr>
        <w:tc>
          <w:tcPr>
            <w:tcW w:w="20" w:type="dxa"/>
            <w:vAlign w:val="bottom"/>
            <w:shd w:val="clear" w:color="auto" w:fill="CCEEFF"/>
          </w:tcPr>
          <w:p>
            <w:pPr>
              <w:spacing w:after="0"/>
              <w:rPr>
                <w:sz w:val="14"/>
                <w:szCs w:val="14"/>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Income tax (benefit) expense</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(172)</w:t>
            </w:r>
          </w:p>
        </w:tc>
      </w:tr>
      <w:tr>
        <w:trPr>
          <w:trHeight w:val="168"/>
        </w:trPr>
        <w:tc>
          <w:tcPr>
            <w:tcW w:w="20" w:type="dxa"/>
            <w:vAlign w:val="bottom"/>
          </w:tcPr>
          <w:p>
            <w:pPr>
              <w:spacing w:after="0"/>
              <w:rPr>
                <w:sz w:val="14"/>
                <w:szCs w:val="14"/>
                <w:color w:val="auto"/>
              </w:rPr>
            </w:pPr>
          </w:p>
        </w:tc>
        <w:tc>
          <w:tcPr>
            <w:tcW w:w="5800" w:type="dxa"/>
            <w:vAlign w:val="bottom"/>
            <w:gridSpan w:val="3"/>
          </w:tcPr>
          <w:p>
            <w:pPr>
              <w:spacing w:after="0"/>
              <w:rPr>
                <w:sz w:val="20"/>
                <w:szCs w:val="20"/>
                <w:color w:val="auto"/>
              </w:rPr>
            </w:pPr>
            <w:r>
              <w:rPr>
                <w:rFonts w:ascii="Arial" w:cs="Arial" w:eastAsia="Arial" w:hAnsi="Arial"/>
                <w:sz w:val="11"/>
                <w:szCs w:val="11"/>
                <w:b w:val="1"/>
                <w:bCs w:val="1"/>
                <w:color w:val="auto"/>
              </w:rPr>
              <w:t>Net (Loss) Income</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(1,029)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(581)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(1,934)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82"/>
        </w:trPr>
        <w:tc>
          <w:tcPr>
            <w:tcW w:w="2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1"/>
                <w:szCs w:val="11"/>
                <w:b w:val="1"/>
                <w:bCs w:val="1"/>
                <w:color w:val="auto"/>
              </w:rPr>
              <w:t>Earnings (Loss) per Share</w:t>
            </w:r>
            <w:r>
              <w:rPr>
                <w:rFonts w:ascii="Arial" w:cs="Arial" w:eastAsia="Arial" w:hAnsi="Arial"/>
                <w:sz w:val="14"/>
                <w:szCs w:val="14"/>
                <w:b w:val="1"/>
                <w:bCs w:val="1"/>
                <w:color w:val="auto"/>
                <w:vertAlign w:val="superscript"/>
              </w:rPr>
              <w:t>(2)</w:t>
            </w:r>
            <w:r>
              <w:rPr>
                <w:rFonts w:ascii="Arial" w:cs="Arial" w:eastAsia="Arial" w:hAnsi="Arial"/>
                <w:sz w:val="11"/>
                <w:szCs w:val="11"/>
                <w:b w:val="1"/>
                <w:bCs w:val="1"/>
                <w:color w:val="auto"/>
              </w:rPr>
              <w: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1"/>
        </w:trPr>
        <w:tc>
          <w:tcPr>
            <w:tcW w:w="20" w:type="dxa"/>
            <w:vAlign w:val="bottom"/>
            <w:shd w:val="clear" w:color="auto" w:fill="CCEEFF"/>
          </w:tcPr>
          <w:p>
            <w:pPr>
              <w:spacing w:after="0"/>
              <w:rPr>
                <w:sz w:val="15"/>
                <w:szCs w:val="15"/>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(9.29)</w:t>
            </w:r>
          </w:p>
        </w:tc>
      </w:tr>
      <w:tr>
        <w:trPr>
          <w:trHeight w:val="75"/>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172"/>
        </w:trPr>
        <w:tc>
          <w:tcPr>
            <w:tcW w:w="20" w:type="dxa"/>
            <w:vAlign w:val="bottom"/>
            <w:shd w:val="clear" w:color="auto" w:fill="CCEEFF"/>
          </w:tcPr>
          <w:p>
            <w:pPr>
              <w:spacing w:after="0"/>
              <w:rPr>
                <w:sz w:val="14"/>
                <w:szCs w:val="14"/>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(9.29)</w:t>
            </w:r>
          </w:p>
        </w:tc>
      </w:tr>
      <w:tr>
        <w:trPr>
          <w:trHeight w:val="205"/>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8"/>
        </w:trPr>
        <w:tc>
          <w:tcPr>
            <w:tcW w:w="1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2018</w:t>
            </w:r>
          </w:p>
        </w:tc>
        <w:tc>
          <w:tcPr>
            <w:tcW w:w="41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800" w:type="dxa"/>
            <w:vAlign w:val="bottom"/>
            <w:gridSpan w:val="3"/>
          </w:tcPr>
          <w:p>
            <w:pPr>
              <w:ind w:left="140"/>
              <w:spacing w:after="0"/>
              <w:rPr>
                <w:sz w:val="20"/>
                <w:szCs w:val="20"/>
                <w:color w:val="auto"/>
              </w:rPr>
            </w:pPr>
            <w:r>
              <w:rPr>
                <w:rFonts w:ascii="Arial" w:cs="Arial" w:eastAsia="Arial" w:hAnsi="Arial"/>
                <w:sz w:val="11"/>
                <w:szCs w:val="11"/>
                <w:b w:val="1"/>
                <w:bCs w:val="1"/>
                <w:color w:val="auto"/>
              </w:rPr>
              <w:t>Revenues</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1,420</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1,387</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1,304</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1,282</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103"/>
              <w:spacing w:after="0"/>
              <w:rPr>
                <w:sz w:val="20"/>
                <w:szCs w:val="20"/>
                <w:color w:val="auto"/>
              </w:rPr>
            </w:pPr>
            <w:r>
              <w:rPr>
                <w:rFonts w:ascii="Arial" w:cs="Arial" w:eastAsia="Arial" w:hAnsi="Arial"/>
                <w:sz w:val="11"/>
                <w:szCs w:val="11"/>
                <w:color w:val="auto"/>
              </w:rPr>
              <w:t>5,393</w:t>
            </w:r>
          </w:p>
        </w:tc>
      </w:tr>
      <w:tr>
        <w:trPr>
          <w:trHeight w:val="177"/>
        </w:trPr>
        <w:tc>
          <w:tcPr>
            <w:tcW w:w="20" w:type="dxa"/>
            <w:vAlign w:val="bottom"/>
            <w:shd w:val="clear" w:color="auto" w:fill="CCEEFF"/>
          </w:tcPr>
          <w:p>
            <w:pPr>
              <w:spacing w:after="0"/>
              <w:rPr>
                <w:sz w:val="15"/>
                <w:szCs w:val="15"/>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Costs and Expenses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1,474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1,333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1,556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5,788</w:t>
            </w:r>
          </w:p>
        </w:tc>
      </w:tr>
      <w:tr>
        <w:trPr>
          <w:trHeight w:val="159"/>
        </w:trPr>
        <w:tc>
          <w:tcPr>
            <w:tcW w:w="20" w:type="dxa"/>
            <w:vAlign w:val="bottom"/>
          </w:tcPr>
          <w:p>
            <w:pPr>
              <w:spacing w:after="0"/>
              <w:rPr>
                <w:sz w:val="13"/>
                <w:szCs w:val="13"/>
                <w:color w:val="auto"/>
              </w:rPr>
            </w:pPr>
          </w:p>
        </w:tc>
        <w:tc>
          <w:tcPr>
            <w:tcW w:w="5800" w:type="dxa"/>
            <w:vAlign w:val="bottom"/>
            <w:gridSpan w:val="3"/>
          </w:tcPr>
          <w:p>
            <w:pPr>
              <w:spacing w:after="0"/>
              <w:rPr>
                <w:sz w:val="20"/>
                <w:szCs w:val="20"/>
                <w:color w:val="auto"/>
              </w:rPr>
            </w:pPr>
            <w:r>
              <w:rPr>
                <w:rFonts w:ascii="Arial" w:cs="Arial" w:eastAsia="Arial" w:hAnsi="Arial"/>
                <w:sz w:val="11"/>
                <w:szCs w:val="11"/>
                <w:b w:val="1"/>
                <w:bCs w:val="1"/>
                <w:color w:val="auto"/>
              </w:rPr>
              <w:t>(Loss) Income before Income Taxes</w:t>
            </w: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(395)</w:t>
            </w:r>
          </w:p>
        </w:tc>
      </w:tr>
      <w:tr>
        <w:trPr>
          <w:trHeight w:val="172"/>
        </w:trPr>
        <w:tc>
          <w:tcPr>
            <w:tcW w:w="20" w:type="dxa"/>
            <w:vAlign w:val="bottom"/>
            <w:shd w:val="clear" w:color="auto" w:fill="CCEEFF"/>
          </w:tcPr>
          <w:p>
            <w:pPr>
              <w:spacing w:after="0"/>
              <w:rPr>
                <w:sz w:val="14"/>
                <w:szCs w:val="14"/>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Income tax (benefit) expense</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21</w:t>
            </w:r>
          </w:p>
        </w:tc>
      </w:tr>
      <w:tr>
        <w:trPr>
          <w:trHeight w:val="168"/>
        </w:trPr>
        <w:tc>
          <w:tcPr>
            <w:tcW w:w="20" w:type="dxa"/>
            <w:vAlign w:val="bottom"/>
          </w:tcPr>
          <w:p>
            <w:pPr>
              <w:spacing w:after="0"/>
              <w:rPr>
                <w:sz w:val="14"/>
                <w:szCs w:val="14"/>
                <w:color w:val="auto"/>
              </w:rPr>
            </w:pPr>
          </w:p>
        </w:tc>
        <w:tc>
          <w:tcPr>
            <w:tcW w:w="5800" w:type="dxa"/>
            <w:vAlign w:val="bottom"/>
            <w:gridSpan w:val="3"/>
          </w:tcPr>
          <w:p>
            <w:pPr>
              <w:spacing w:after="0"/>
              <w:rPr>
                <w:sz w:val="20"/>
                <w:szCs w:val="20"/>
                <w:color w:val="auto"/>
              </w:rPr>
            </w:pPr>
            <w:r>
              <w:rPr>
                <w:rFonts w:ascii="Arial" w:cs="Arial" w:eastAsia="Arial" w:hAnsi="Arial"/>
                <w:sz w:val="11"/>
                <w:szCs w:val="11"/>
                <w:b w:val="1"/>
                <w:bCs w:val="1"/>
                <w:color w:val="auto"/>
              </w:rPr>
              <w:t>Net (Loss) Income</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82"/>
        </w:trPr>
        <w:tc>
          <w:tcPr>
            <w:tcW w:w="2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1"/>
                <w:szCs w:val="11"/>
                <w:b w:val="1"/>
                <w:bCs w:val="1"/>
                <w:color w:val="auto"/>
              </w:rPr>
              <w:t>Earnings (Loss) per Share</w:t>
            </w:r>
            <w:r>
              <w:rPr>
                <w:rFonts w:ascii="Arial" w:cs="Arial" w:eastAsia="Arial" w:hAnsi="Arial"/>
                <w:sz w:val="14"/>
                <w:szCs w:val="14"/>
                <w:b w:val="1"/>
                <w:bCs w:val="1"/>
                <w:color w:val="auto"/>
                <w:vertAlign w:val="superscript"/>
              </w:rPr>
              <w:t>(2)</w:t>
            </w:r>
            <w:r>
              <w:rPr>
                <w:rFonts w:ascii="Arial" w:cs="Arial" w:eastAsia="Arial" w:hAnsi="Arial"/>
                <w:sz w:val="11"/>
                <w:szCs w:val="11"/>
                <w:b w:val="1"/>
                <w:bCs w:val="1"/>
                <w:color w:val="auto"/>
              </w:rPr>
              <w: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1"/>
        </w:trPr>
        <w:tc>
          <w:tcPr>
            <w:tcW w:w="20" w:type="dxa"/>
            <w:vAlign w:val="bottom"/>
            <w:shd w:val="clear" w:color="auto" w:fill="CCEEFF"/>
          </w:tcPr>
          <w:p>
            <w:pPr>
              <w:spacing w:after="0"/>
              <w:rPr>
                <w:sz w:val="15"/>
                <w:szCs w:val="15"/>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(2.06)</w:t>
            </w:r>
          </w:p>
        </w:tc>
      </w:tr>
      <w:tr>
        <w:trPr>
          <w:trHeight w:val="75"/>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172"/>
        </w:trPr>
        <w:tc>
          <w:tcPr>
            <w:tcW w:w="20" w:type="dxa"/>
            <w:vAlign w:val="bottom"/>
            <w:shd w:val="clear" w:color="auto" w:fill="CCEEFF"/>
          </w:tcPr>
          <w:p>
            <w:pPr>
              <w:spacing w:after="0"/>
              <w:rPr>
                <w:sz w:val="14"/>
                <w:szCs w:val="14"/>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(2.06)</w:t>
            </w:r>
          </w:p>
        </w:tc>
      </w:tr>
      <w:tr>
        <w:trPr>
          <w:trHeight w:val="187"/>
        </w:trPr>
        <w:tc>
          <w:tcPr>
            <w:tcW w:w="1560" w:type="dxa"/>
            <w:vAlign w:val="bottom"/>
            <w:gridSpan w:val="2"/>
          </w:tcPr>
          <w:p>
            <w:pPr>
              <w:jc w:val="right"/>
              <w:ind w:right="683"/>
              <w:spacing w:after="0"/>
              <w:rPr>
                <w:sz w:val="20"/>
                <w:szCs w:val="20"/>
                <w:color w:val="auto"/>
              </w:rPr>
            </w:pPr>
            <w:r>
              <w:rPr>
                <w:rFonts w:ascii="Arial" w:cs="Arial" w:eastAsia="Arial" w:hAnsi="Arial"/>
                <w:sz w:val="9"/>
                <w:szCs w:val="9"/>
                <w:i w:val="1"/>
                <w:iCs w:val="1"/>
                <w:color w:val="auto"/>
                <w:w w:val="93"/>
              </w:rPr>
              <w:t>_________________</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30" w:lineRule="exact"/>
        <w:rPr>
          <w:sz w:val="20"/>
          <w:szCs w:val="20"/>
          <w:color w:val="auto"/>
        </w:rPr>
      </w:pPr>
    </w:p>
    <w:p>
      <w:pPr>
        <w:ind w:left="260" w:right="100" w:hanging="254"/>
        <w:spacing w:after="0" w:line="286" w:lineRule="auto"/>
        <w:tabs>
          <w:tab w:leader="none" w:pos="249" w:val="left"/>
        </w:tabs>
        <w:numPr>
          <w:ilvl w:val="0"/>
          <w:numId w:val="18"/>
        </w:numPr>
        <w:rPr>
          <w:rFonts w:ascii="Arial" w:cs="Arial" w:eastAsia="Arial" w:hAnsi="Arial"/>
          <w:sz w:val="11"/>
          <w:szCs w:val="11"/>
          <w:i w:val="1"/>
          <w:iCs w:val="1"/>
          <w:color w:val="auto"/>
        </w:rPr>
      </w:pPr>
      <w:r>
        <w:rPr>
          <w:rFonts w:ascii="Arial" w:cs="Arial" w:eastAsia="Arial" w:hAnsi="Arial"/>
          <w:sz w:val="11"/>
          <w:szCs w:val="11"/>
          <w:i w:val="1"/>
          <w:iCs w:val="1"/>
          <w:color w:val="auto"/>
        </w:rPr>
        <w:t>First quarter, second quarter, fourth quarter and full year include goodwill impairment charge of $284 million, $1.1 billion, $601 million and approximately $2.0 billion, respectively. Refer to Note 8 – Goodwill and Intangible Assets, Net to the Consolidated Financial Statements included in Item 8 of this Form 10-K for further discussion.</w:t>
      </w:r>
    </w:p>
    <w:p>
      <w:pPr>
        <w:ind w:left="260" w:right="340" w:hanging="254"/>
        <w:spacing w:after="0" w:line="289" w:lineRule="auto"/>
        <w:tabs>
          <w:tab w:leader="none" w:pos="249" w:val="left"/>
        </w:tabs>
        <w:numPr>
          <w:ilvl w:val="0"/>
          <w:numId w:val="18"/>
        </w:numPr>
        <w:rPr>
          <w:rFonts w:ascii="Arial" w:cs="Arial" w:eastAsia="Arial" w:hAnsi="Arial"/>
          <w:sz w:val="11"/>
          <w:szCs w:val="11"/>
          <w:i w:val="1"/>
          <w:iCs w:val="1"/>
          <w:color w:val="auto"/>
        </w:rPr>
      </w:pPr>
      <w:r>
        <w:rPr>
          <w:rFonts w:ascii="Arial" w:cs="Arial" w:eastAsia="Arial" w:hAnsi="Arial"/>
          <w:sz w:val="11"/>
          <w:szCs w:val="11"/>
          <w:i w:val="1"/>
          <w:iCs w:val="1"/>
          <w:color w:val="auto"/>
        </w:rPr>
        <w:t>The sum of quarterly earnings per share may differ from the full-year amounts due to rounding, or in the case of diluted earnings per share, because securities that are anti-dilutive in certain quarters may not be anti-dilutive on a full-year basis.</w:t>
      </w:r>
    </w:p>
    <w:p>
      <w:pPr>
        <w:spacing w:after="0" w:line="200" w:lineRule="exact"/>
        <w:rPr>
          <w:sz w:val="20"/>
          <w:szCs w:val="20"/>
          <w:color w:val="auto"/>
        </w:rPr>
      </w:pPr>
    </w:p>
    <w:p>
      <w:pPr>
        <w:spacing w:after="0" w:line="257"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 MANAGEMENT'S DISCUSSION AND ANALYSIS OF FINANCIAL CONDITION AND RESULTS OF OPERATIONS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following Management’s Discussion and Analysis (MD&amp;A) is intended to help the reader understand the results of operations and financial condition of Conduent Incorporated. This MD&amp;A is provided as a supplement to, and should be read in conjunction with, our Consolidated Financial Statements and the accompanying notes in this Form 10-K for the year ended December 31, 2019. This MD&amp;A provides additional information about our operations, current developments, financial condition, cash flows and results of operations.</w:t>
      </w:r>
    </w:p>
    <w:p>
      <w:pPr>
        <w:spacing w:after="0" w:line="115"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Throughout the MD&amp;A, we refer to various notes to our Consolidated Financial Statements which appear in Item 8 of this Form 10-K, and the information contained in such notes is incorporated by reference into the MD&amp;A in the places where such references are made.</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Overview</w:t>
      </w:r>
    </w:p>
    <w:p>
      <w:pPr>
        <w:spacing w:after="0" w:line="223"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With revenues of $4.5 billion, 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172" w:lineRule="exact"/>
        <w:rPr>
          <w:sz w:val="20"/>
          <w:szCs w:val="20"/>
          <w:color w:val="auto"/>
        </w:rPr>
      </w:pPr>
    </w:p>
    <w:p>
      <w:pPr>
        <w:ind w:right="780"/>
        <w:spacing w:after="0" w:line="273" w:lineRule="auto"/>
        <w:rPr>
          <w:sz w:val="20"/>
          <w:szCs w:val="20"/>
          <w:color w:val="auto"/>
        </w:rPr>
      </w:pPr>
      <w:r>
        <w:rPr>
          <w:rFonts w:ascii="Arial" w:cs="Arial" w:eastAsia="Arial" w:hAnsi="Arial"/>
          <w:sz w:val="14"/>
          <w:szCs w:val="14"/>
          <w:color w:val="auto"/>
        </w:rPr>
        <w:t>Headquartered in Florham Park, New Jersey, we have a team of approximately 67,000 people as of December 31, 2019, servicing customers from service centers in 23 countries. In 2019, 10% of our revenue was generated outside the U.S.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Our reportable segments correspond to how we organize and manage the business and are aligned to the industries in which our clients operate.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organize and manage our businesses through three reportable segments, Other operations and Shared IT / Infrastructure &amp; Corporate Costs.</w:t>
      </w:r>
    </w:p>
    <w:p>
      <w:pPr>
        <w:spacing w:after="0" w:line="122" w:lineRule="exact"/>
        <w:rPr>
          <w:sz w:val="20"/>
          <w:szCs w:val="20"/>
          <w:color w:val="auto"/>
        </w:rPr>
      </w:pPr>
    </w:p>
    <w:p>
      <w:pPr>
        <w:jc w:val="both"/>
        <w:ind w:left="260" w:right="300" w:hanging="254"/>
        <w:spacing w:after="0" w:line="278" w:lineRule="auto"/>
        <w:tabs>
          <w:tab w:leader="none" w:pos="25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0066CC"/>
        </w:rPr>
        <w:t xml:space="preserve">Commercial Industries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Commercial Industries segment provides business process services and customized solutions to clients in a variety of industries. Across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Commercial Industries segment, we operate on our clients’ behalf to deliver mission-critical solutions and services to reduce costs, improve efficiencies and enable revenue growth for our clients and their consumers and employees.</w:t>
      </w:r>
    </w:p>
    <w:p>
      <w:pPr>
        <w:spacing w:after="0" w:line="86" w:lineRule="exact"/>
        <w:rPr>
          <w:rFonts w:ascii="Arial" w:cs="Arial" w:eastAsia="Arial" w:hAnsi="Arial"/>
          <w:sz w:val="14"/>
          <w:szCs w:val="14"/>
          <w:color w:val="auto"/>
        </w:rPr>
      </w:pPr>
    </w:p>
    <w:p>
      <w:pPr>
        <w:ind w:left="260" w:right="140" w:hanging="254"/>
        <w:spacing w:after="0" w:line="278" w:lineRule="auto"/>
        <w:tabs>
          <w:tab w:leader="none" w:pos="25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0066CC"/>
        </w:rPr>
        <w:t xml:space="preserve">Government Services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Government Services segment provides government-centric business process services to U.S. federal, state and local and foreign governments</w:t>
      </w:r>
      <w:r>
        <w:rPr>
          <w:rFonts w:ascii="Arial" w:cs="Arial" w:eastAsia="Arial" w:hAnsi="Arial"/>
          <w:sz w:val="14"/>
          <w:szCs w:val="14"/>
          <w:b w:val="1"/>
          <w:bCs w:val="1"/>
          <w:color w:val="0066CC"/>
        </w:rPr>
        <w:t xml:space="preserve"> </w:t>
      </w:r>
      <w:r>
        <w:rPr>
          <w:rFonts w:ascii="Arial" w:cs="Arial" w:eastAsia="Arial" w:hAnsi="Arial"/>
          <w:sz w:val="14"/>
          <w:szCs w:val="14"/>
          <w:color w:val="000000"/>
        </w:rPr>
        <w:t>for public assistance, program administration, transaction processing and payment services. Our solutions in this segment help governments respond to changing rules for eligibility and increasing citizen expectations.</w:t>
      </w:r>
    </w:p>
    <w:p>
      <w:pPr>
        <w:spacing w:after="0" w:line="86" w:lineRule="exact"/>
        <w:rPr>
          <w:rFonts w:ascii="Arial" w:cs="Arial" w:eastAsia="Arial" w:hAnsi="Arial"/>
          <w:sz w:val="14"/>
          <w:szCs w:val="14"/>
          <w:color w:val="auto"/>
        </w:rPr>
      </w:pPr>
    </w:p>
    <w:p>
      <w:pPr>
        <w:ind w:left="260" w:hanging="254"/>
        <w:spacing w:after="0" w:line="278" w:lineRule="auto"/>
        <w:tabs>
          <w:tab w:leader="none" w:pos="25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Transportation segment provides systems and support, as well as revenue-generating services, to government clients. On behalf of government agencies</w:t>
      </w:r>
      <w:r>
        <w:rPr>
          <w:rFonts w:ascii="Arial" w:cs="Arial" w:eastAsia="Arial" w:hAnsi="Arial"/>
          <w:sz w:val="14"/>
          <w:szCs w:val="14"/>
          <w:b w:val="1"/>
          <w:bCs w:val="1"/>
          <w:color w:val="0066CC"/>
        </w:rPr>
        <w:t xml:space="preserve"> </w:t>
      </w:r>
      <w:r>
        <w:rPr>
          <w:rFonts w:ascii="Arial" w:cs="Arial" w:eastAsia="Arial" w:hAnsi="Arial"/>
          <w:sz w:val="14"/>
          <w:szCs w:val="14"/>
          <w:color w:val="000000"/>
        </w:rPr>
        <w:t>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Other operations include our divestitures, our Student Loan business, which the Company exited in the third quarter of 2018.</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Shared IT / Infrastructure &amp; Corporate Costs includes both normal ongoing IT infrastructure costs and costs related to modernization of a significant portion of our infrastructure with new systems and processes and consolidation of our data centers as part of our transformation initiatives. It also includes costs related to corporate overhead functions and shared real estate costs. These costs are not allocated to the reportable segments. We expect that our transformation initiatives will provide greater strategic and operational flexibility and efficiency and better control of our systems and processes. There is a risk, however, that our efforts, plans and transactions related to our strategic and operational review, as well as our modernization efforts and data center consolidations could materially and adversely disrupt our operations. Refer to Part I, Item 1A – Risk Factors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2019 Actions</w:t>
      </w:r>
    </w:p>
    <w:p>
      <w:pPr>
        <w:spacing w:after="0" w:line="205" w:lineRule="exact"/>
        <w:rPr>
          <w:sz w:val="20"/>
          <w:szCs w:val="20"/>
          <w:color w:val="auto"/>
        </w:rPr>
      </w:pPr>
    </w:p>
    <w:p>
      <w:pPr>
        <w:ind w:left="260" w:right="200" w:hanging="254"/>
        <w:spacing w:after="0" w:line="278"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0066CC"/>
        </w:rPr>
        <w:t xml:space="preserve">Business Acquisition </w:t>
      </w:r>
      <w:r>
        <w:rPr>
          <w:rFonts w:ascii="Arial" w:cs="Arial" w:eastAsia="Arial" w:hAnsi="Arial"/>
          <w:sz w:val="14"/>
          <w:szCs w:val="14"/>
          <w:color w:val="000000"/>
        </w:rPr>
        <w:t>– In January 2019, we acquired Health Solution Plus, a software provider of healthcare payer administration solutions for a total base consideration of</w:t>
      </w:r>
      <w:r>
        <w:rPr>
          <w:rFonts w:ascii="Arial" w:cs="Arial" w:eastAsia="Arial" w:hAnsi="Arial"/>
          <w:sz w:val="14"/>
          <w:szCs w:val="14"/>
          <w:b w:val="1"/>
          <w:bCs w:val="1"/>
          <w:color w:val="0066CC"/>
        </w:rPr>
        <w:t xml:space="preserve"> </w:t>
      </w:r>
      <w:r>
        <w:rPr>
          <w:rFonts w:ascii="Arial" w:cs="Arial" w:eastAsia="Arial" w:hAnsi="Arial"/>
          <w:sz w:val="14"/>
          <w:szCs w:val="14"/>
          <w:color w:val="000000"/>
        </w:rPr>
        <w:t>$90 million. This acquisition is part of the Commercial Industries segment. Refer to Note 5 – Business Acquisition to the Consolidated Financial Statements for additional information regarding this acquisition.</w:t>
      </w:r>
    </w:p>
    <w:p>
      <w:pPr>
        <w:spacing w:after="0" w:line="151" w:lineRule="exact"/>
        <w:rPr>
          <w:rFonts w:ascii="Arial" w:cs="Arial" w:eastAsia="Arial" w:hAnsi="Arial"/>
          <w:sz w:val="14"/>
          <w:szCs w:val="14"/>
          <w:color w:val="auto"/>
        </w:rPr>
      </w:pPr>
    </w:p>
    <w:p>
      <w:pPr>
        <w:ind w:left="260" w:right="220" w:hanging="254"/>
        <w:spacing w:after="0" w:line="291"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0066CC"/>
        </w:rPr>
        <w:t xml:space="preserve">Disposition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In February 2019, we completed the sale of a portfolio of select standalone customer care contracts for $25 million. The business sold represented $36 million</w:t>
      </w:r>
      <w:r>
        <w:rPr>
          <w:rFonts w:ascii="Arial" w:cs="Arial" w:eastAsia="Arial" w:hAnsi="Arial"/>
          <w:sz w:val="14"/>
          <w:szCs w:val="14"/>
          <w:b w:val="1"/>
          <w:bCs w:val="1"/>
          <w:color w:val="0066CC"/>
        </w:rPr>
        <w:t xml:space="preserve"> </w:t>
      </w:r>
      <w:r>
        <w:rPr>
          <w:rFonts w:ascii="Arial" w:cs="Arial" w:eastAsia="Arial" w:hAnsi="Arial"/>
          <w:sz w:val="14"/>
          <w:szCs w:val="14"/>
          <w:color w:val="000000"/>
        </w:rPr>
        <w:t>and $439 million of revenues in 2019 and 2018, respectively. Refer to Note 4 – Divestiture to the Consolidated Financial Statements for additional information regarding this sale.</w:t>
      </w:r>
    </w:p>
    <w:p>
      <w:pPr>
        <w:spacing w:after="0" w:line="320" w:lineRule="exact"/>
        <w:rPr>
          <w:rFonts w:ascii="Arial" w:cs="Arial" w:eastAsia="Arial" w:hAnsi="Arial"/>
          <w:sz w:val="14"/>
          <w:szCs w:val="14"/>
          <w:color w:val="auto"/>
        </w:rPr>
      </w:pPr>
    </w:p>
    <w:p>
      <w:pPr>
        <w:ind w:left="260" w:right="180" w:hanging="254"/>
        <w:spacing w:after="0" w:line="271"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0066CC"/>
        </w:rPr>
        <w:t xml:space="preserve">Litigation Settlement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In February 2019, we reached a settlement agreement and release with the State of Texas ("State") and the Texas Department of Health and Human</w:t>
      </w:r>
      <w:r>
        <w:rPr>
          <w:rFonts w:ascii="Arial" w:cs="Arial" w:eastAsia="Arial" w:hAnsi="Arial"/>
          <w:sz w:val="14"/>
          <w:szCs w:val="14"/>
          <w:b w:val="1"/>
          <w:bCs w:val="1"/>
          <w:color w:val="0066CC"/>
        </w:rPr>
        <w:t xml:space="preserve"> </w:t>
      </w:r>
      <w:r>
        <w:rPr>
          <w:rFonts w:ascii="Arial" w:cs="Arial" w:eastAsia="Arial" w:hAnsi="Arial"/>
          <w:sz w:val="14"/>
          <w:szCs w:val="14"/>
          <w:color w:val="000000"/>
        </w:rPr>
        <w:t>Services, which was amended in May 2019 ("Texas Agreement"). Pursuant to the terms of the Texas Agreement, the Company was required to pay the State $236 million, of which $118 million was paid in 2019 and the remaining $118 million paid in January 2020. Refer to Note 16 – Contingencies and Litigation to the Consolidated Financial Statements for additional information regarding this litigation settlement.</w:t>
      </w:r>
    </w:p>
    <w:p>
      <w:pPr>
        <w:spacing w:after="0" w:line="155" w:lineRule="exact"/>
        <w:rPr>
          <w:rFonts w:ascii="Arial" w:cs="Arial" w:eastAsia="Arial" w:hAnsi="Arial"/>
          <w:sz w:val="14"/>
          <w:szCs w:val="14"/>
          <w:color w:val="auto"/>
        </w:rPr>
      </w:pPr>
    </w:p>
    <w:p>
      <w:pPr>
        <w:ind w:left="260" w:right="40" w:hanging="254"/>
        <w:spacing w:after="0" w:line="260"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0066CC"/>
        </w:rPr>
        <w:t xml:space="preserve">Goodwill Impairment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During the first quarter of 2019, we recorded a pre-tax impairment charge of $284 million related to our Transportation reporting unit. Also, during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second quarter of 2019, we performed an interim goodwill impairment assessment for all reporting units and recognized a total pre-tax impairment charge of $1.1 billion. No impairment was identified during our annual impairment test performed as of October 1, 2019. Subsequent to completing the annual impairment test, the Company experienced further unanticipated contract losses within the Government Services reporting unit, and as result, management performed a goodwill impairment assessment for this reporting unit as of December 31, 2019 which resulted in a pre-tax impairment charge of $512 million. In addition, in the fourth quarter we recorded an immaterial correction to the impairment charges recorded in the first and second quarters to properly reflect the impact of tax deductible goodwill on the previous impairments as well as the related income tax benefit. The impairment adjustment and related income tax benefit to the first quarter charge for the Transportation reporting unit totaled $20 million and $1 million, respectively. The impairment adjustment and related income tax benefit to the second quarter charge totaled $69 million and $6 million, respectively. The second quarter impairment and income tax benefit adjustments corrected the combined Commercial Industries reporting units by $53 million and $5 million, respectively, and the Government Services reporting unit by $16 million and $1 million, respectively. We believe these adjustments are not material to the current period or any prior period. The cumulative impairment charge for the year ended December 31, 2019 was approximately $2.0 billion. Refer to Note 8 – Goodwill and Intangible Assets, Net to the Consolidated Financial Statements and MD&amp;A – Critical Accounting Policies – Goodwill for additional information regarding the goodwill impairment assessment and resulting charges.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2018 Actions</w:t>
      </w:r>
    </w:p>
    <w:p>
      <w:pPr>
        <w:spacing w:after="0" w:line="205" w:lineRule="exact"/>
        <w:rPr>
          <w:sz w:val="20"/>
          <w:szCs w:val="20"/>
          <w:color w:val="auto"/>
        </w:rPr>
      </w:pPr>
    </w:p>
    <w:p>
      <w:pPr>
        <w:ind w:left="260" w:right="800" w:hanging="254"/>
        <w:spacing w:after="0" w:line="299"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0066CC"/>
        </w:rPr>
        <w:t xml:space="preserve">Loan Redemption </w:t>
      </w:r>
      <w:r>
        <w:rPr>
          <w:rFonts w:ascii="Arial" w:cs="Arial" w:eastAsia="Arial" w:hAnsi="Arial"/>
          <w:sz w:val="14"/>
          <w:szCs w:val="14"/>
          <w:color w:val="000000"/>
        </w:rPr>
        <w:t>– In July 2018, we redeemed $476 million of our $510 million Senior Notes due 2024 at a premium of $95 million. Refer to Note 11 – Debt to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Consolidated Financial Statements for additional information regarding this redemption.</w:t>
      </w:r>
    </w:p>
    <w:p>
      <w:pPr>
        <w:spacing w:after="0" w:line="137" w:lineRule="exact"/>
        <w:rPr>
          <w:rFonts w:ascii="Arial" w:cs="Arial" w:eastAsia="Arial" w:hAnsi="Arial"/>
          <w:sz w:val="14"/>
          <w:szCs w:val="14"/>
          <w:color w:val="auto"/>
        </w:rPr>
      </w:pPr>
    </w:p>
    <w:p>
      <w:pPr>
        <w:ind w:left="260" w:hanging="254"/>
        <w:spacing w:after="0" w:line="271"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0066CC"/>
        </w:rPr>
        <w:t xml:space="preserve">Dispositions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In 2018, we completed divestitures of: (1) our Commercial Vehicle Operations business; (2) our off-street parking business; (3) our U.S. human resource</w:t>
      </w:r>
      <w:r>
        <w:rPr>
          <w:rFonts w:ascii="Arial" w:cs="Arial" w:eastAsia="Arial" w:hAnsi="Arial"/>
          <w:sz w:val="14"/>
          <w:szCs w:val="14"/>
          <w:b w:val="1"/>
          <w:bCs w:val="1"/>
          <w:color w:val="0066CC"/>
        </w:rPr>
        <w:t xml:space="preserve"> </w:t>
      </w:r>
      <w:r>
        <w:rPr>
          <w:rFonts w:ascii="Arial" w:cs="Arial" w:eastAsia="Arial" w:hAnsi="Arial"/>
          <w:sz w:val="14"/>
          <w:szCs w:val="14"/>
          <w:color w:val="000000"/>
        </w:rPr>
        <w:t>consulting and actuarial business and the human resource consulting and outsourcing business located in Canada and the United Kingdom; and (4) our local and municipal constituent government software solutions business. The aggregate proceeds for these divestitures was $703 million in cash. The businesses sold represented $304 million and $500 million of 2018 and 2017 revenue, respectively. We recorded a pre-tax gain of $78 million on these divestitures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Critical Accounting Policies</w:t>
      </w:r>
    </w:p>
    <w:p>
      <w:pPr>
        <w:spacing w:after="0" w:line="22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Consolidated Financial Statements and notes thereto. In preparing our Consolidated Financial Statements, we have made our best estimates and judgments of certain amounts included in the Consolidated Financial Statements giving due consideration to materiality. However, application of these accounting policies involves the exercise of judgment and use of assumptions as to future uncertainties and, as a result, actual results could differ from these estimates. Senior management has discussed the development and selection of the critical accounting policies, estimates and related disclosures included herein with the Audit Committee of the Board of Directors. We consider these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 the impact of these different estimates on our operations. In certain instances,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86" w:lineRule="exact"/>
        <w:rPr>
          <w:sz w:val="20"/>
          <w:szCs w:val="20"/>
          <w:color w:val="auto"/>
        </w:rPr>
      </w:pPr>
    </w:p>
    <w:p>
      <w:pPr>
        <w:ind w:right="260"/>
        <w:spacing w:after="0" w:line="264" w:lineRule="auto"/>
        <w:rPr>
          <w:sz w:val="20"/>
          <w:szCs w:val="20"/>
          <w:color w:val="auto"/>
        </w:rPr>
      </w:pPr>
      <w:r>
        <w:rPr>
          <w:rFonts w:ascii="Arial" w:cs="Arial" w:eastAsia="Arial" w:hAnsi="Arial"/>
          <w:sz w:val="14"/>
          <w:szCs w:val="14"/>
          <w:color w:val="auto"/>
        </w:rPr>
        <w:t>Specific risks associated with these critical accounting policies are discussed throughout the MD&amp;A, where such policies affect our reported and expected financial results. For a detailed discussion of the application of these and other accounting policies, refer to Note 1 – Basis of Presentation and Summary of Significant Accounting Policies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Leases</w:t>
      </w:r>
    </w:p>
    <w:p>
      <w:pPr>
        <w:spacing w:after="0" w:line="223"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Company determines if an arrangement is a lease at the inception of the contract and whether that lease meets the classification criteria of a finance or operating lease. The Company accounts for lease and non-lease components separately for its equipment leases, based on the estimated standalone price of each component, and combines lease and non-lease components for its real estate leases. The Company's leases generally do not provide an implicit rate,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 Refer to Note 1 – Basis of Presentation and Summary of Significant Accounting Policies for additional information regarding our lease accounting policies.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Refer to Note 1 – Basis of Presentation and Summary of Significant Accounting Policies and Note 2 – Revenue to the Consolidated Financial Statements for additional information regarding our revenue recognition policies.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Held for Sale</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classify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 Upon determining that a long-lived asset (disposal group) meets the criteria to be classified as held for sale, the Company reports the assets and liabilities of the disposal group in the line items Assets held for sale and Liabilities held for sale, respectively, in the Consolidated Balance Sheets.</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In 2018, management approved the disposal through sale of certain assets and businesses, which were a mix of Commercial Industries, Government Services and Transportation businesses. This action was taken as a result of our evaluation of these businesses as they represent businesses in markets or with services that we did not see as strategic or core. As of December 31, 2019, all of these businesses have been sold. Refer to Note 4 – Divestiture to the Consolidated Financial Statements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Intangible Assets</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fair values of identifiable intangible assets are primarily estimated using an income approach. These estimates include market participant assumptions and require projected financial information, including assumptions about future revenue growth and costs necessary to facilitate the projected growth. Other key inputs include assumptions about technological obsolescence, customer attrition rates, brand recognition, the allocation of projected cash flows to identifiable intangible assets and discount rates. We regularly review intangible assets with finite lives for impairment whenever events or changes in circumstances indicate the carrying amount of an asset may not be recoverable. Factors we consider important which could trigger an impairment review include the following:</w:t>
      </w:r>
    </w:p>
    <w:p>
      <w:pPr>
        <w:spacing w:after="0" w:line="65" w:lineRule="exact"/>
        <w:rPr>
          <w:sz w:val="20"/>
          <w:szCs w:val="20"/>
          <w:color w:val="auto"/>
        </w:rPr>
      </w:pPr>
    </w:p>
    <w:p>
      <w:pPr>
        <w:ind w:left="260" w:hanging="254"/>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significant underperformance relative to historical or projected future operating results;</w:t>
      </w:r>
    </w:p>
    <w:p>
      <w:pPr>
        <w:spacing w:after="0" w:line="75" w:lineRule="exact"/>
        <w:rPr>
          <w:rFonts w:ascii="Arial" w:cs="Arial" w:eastAsia="Arial" w:hAnsi="Arial"/>
          <w:sz w:val="14"/>
          <w:szCs w:val="14"/>
          <w:color w:val="auto"/>
        </w:rPr>
      </w:pPr>
    </w:p>
    <w:p>
      <w:pPr>
        <w:ind w:left="260" w:hanging="254"/>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significant changes in the manner of our use of the acquired assets or the strategy for our overall business; and</w:t>
      </w:r>
    </w:p>
    <w:p>
      <w:pPr>
        <w:spacing w:after="0" w:line="86" w:lineRule="exact"/>
        <w:rPr>
          <w:rFonts w:ascii="Arial" w:cs="Arial" w:eastAsia="Arial" w:hAnsi="Arial"/>
          <w:sz w:val="14"/>
          <w:szCs w:val="14"/>
          <w:color w:val="auto"/>
        </w:rPr>
      </w:pPr>
    </w:p>
    <w:p>
      <w:pPr>
        <w:ind w:left="260" w:hanging="254"/>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significant negative industry or economic trends.</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When we determine that the carrying value of intangibles and long-lived assets may not be recoverable based upon the existence of one or more of the above indicators of potential impairment, we assess whether an impairment has occurred based on whether net book value of the assets exceeds the related projected undiscounted cash flows from these assets groups. We consider a number of factors, including past operating results, budgets, economic projections, market trends and product development cycles in estimating future cash flows. Differing estimates and assumptions as to any of the factors described above could result in a materially different impairment charge, if any, and thus materially different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223"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In January 2017, the FASB issued updated accounting guidance for simplifying the goodwill impairment test. We early adopted this guidance for our goodwill impairment tests performed after January 1, 2017.</w:t>
      </w:r>
    </w:p>
    <w:p>
      <w:pPr>
        <w:spacing w:after="0" w:line="172"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Goodwill is not amortized but rather tested for impairment annually, or more frequently if an event or circumstance indicates that impairment may have been incurred. Events or circumstances that might indicate an interim evaluation is warranted include, among other things, unexpected adverse business conditions, macro and reporting unit specific economic factors, supply costs, unanticipated adverse events or conditions impacting revenues, cash flows or profitability, unanticipated competitive activities and acts by governments and courts.</w:t>
      </w:r>
    </w:p>
    <w:p>
      <w:pPr>
        <w:spacing w:after="0" w:line="200" w:lineRule="exact"/>
        <w:rPr>
          <w:sz w:val="20"/>
          <w:szCs w:val="20"/>
          <w:color w:val="auto"/>
        </w:rPr>
      </w:pPr>
    </w:p>
    <w:p>
      <w:pPr>
        <w:spacing w:after="0" w:line="40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jc w:val="both"/>
        <w:ind w:right="60"/>
        <w:spacing w:after="0" w:line="256" w:lineRule="auto"/>
        <w:rPr>
          <w:sz w:val="20"/>
          <w:szCs w:val="20"/>
          <w:color w:val="auto"/>
        </w:rPr>
      </w:pPr>
      <w:r>
        <w:rPr>
          <w:rFonts w:ascii="Arial" w:cs="Arial" w:eastAsia="Arial" w:hAnsi="Arial"/>
          <w:sz w:val="14"/>
          <w:szCs w:val="14"/>
          <w:color w:val="auto"/>
        </w:rPr>
        <w:t>Application of the interim and annual goodwill impairment test requires judgment, including the identification of reporting units, assignment of assets and liabilities to reporting units, assignment of goodwill to reporting units and the assessment of the fair value of each reporting unit. We determined during the first three quarters of 2019 that we had five reporting units (Financial Services &amp; Healthcare (FS&amp;H), Consumer &amp; Industrial (C&amp;I), Europe (together comprising Commercial Industries), Government Services and Transportation).</w:t>
      </w:r>
    </w:p>
    <w:p>
      <w:pPr>
        <w:spacing w:after="0" w:line="2" w:lineRule="exact"/>
        <w:rPr>
          <w:sz w:val="20"/>
          <w:szCs w:val="20"/>
          <w:color w:val="auto"/>
        </w:rPr>
      </w:pPr>
    </w:p>
    <w:p>
      <w:pPr>
        <w:jc w:val="both"/>
        <w:ind w:right="520"/>
        <w:spacing w:after="0" w:line="264" w:lineRule="auto"/>
        <w:rPr>
          <w:sz w:val="20"/>
          <w:szCs w:val="20"/>
          <w:color w:val="auto"/>
        </w:rPr>
      </w:pPr>
      <w:r>
        <w:rPr>
          <w:rFonts w:ascii="Arial" w:cs="Arial" w:eastAsia="Arial" w:hAnsi="Arial"/>
          <w:sz w:val="14"/>
          <w:szCs w:val="14"/>
          <w:color w:val="auto"/>
        </w:rPr>
        <w:t>During the fourth quarter of 2019, we changed our reporting units within the Commercial Industries reportable segment to reflect how we currently manage our business. We currently have six reporting units (End-User Customer Experience (EUCE), Transaction Processing (TP), Commercial Healthcare (CH) and Human Resources and Learning Services (HRL) (together comprising Commercial Industries), Government Services and Transportation), which support our three reportable segments.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Interim Goodwill Impairment Evaluation</w:t>
      </w:r>
    </w:p>
    <w:p>
      <w:pPr>
        <w:spacing w:after="0" w:line="22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During the first quarter of 2019, the Transportation reporting unit experienced unanticipated losses of certain customer contracts, lower than expected new customer contracts and higher costs of delivery (all subsequent to February 2019), and as a result, the expected growth of this reporting unit decreased resulting in its fair value being below its carrying value by an estimated $284 million. Accordingly, the Company recorded a pre-tax impairment charge of $284 million for the three months ended March 31, 2019.</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the second quarter of 2019, there were further unanticipated losses of certain customer contracts, lower potential future volumes and lower than expected new customer contracts (all subsequent to May 9, 2019). This led to actual results being below budget and a further downward revision of the long-term forecast across all of the Company’s former reporting units (FS&amp;H, C&amp;I, Europe, Government Services, and Transportation). As a consequence of the business performance and the strategy pivot due to changes in management that occurred in the second quarter of 2019, we lowered our sales outlook, average margin expectation for the future years, and increased our weighted average cost of capital.</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key factors (by reporting unit) impacting our revised forecast within the second quarter of 2019 goodwill assessment.</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Key Factors</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FS&amp;H</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C&amp;I</w:t>
            </w: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Europe</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Government Services</w:t>
            </w:r>
          </w:p>
        </w:tc>
        <w:tc>
          <w:tcPr>
            <w:tcW w:w="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Transportation</w:t>
            </w:r>
          </w:p>
        </w:tc>
      </w:tr>
      <w:tr>
        <w:trPr>
          <w:trHeight w:val="168"/>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Lower anticipated new business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1"/>
              </w:rPr>
              <w:t>X</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X</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X</w:t>
            </w:r>
          </w:p>
        </w:tc>
        <w:tc>
          <w:tcPr>
            <w:tcW w:w="14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r>
      <w:tr>
        <w:trPr>
          <w:trHeight w:val="168"/>
        </w:trPr>
        <w:tc>
          <w:tcPr>
            <w:tcW w:w="4060" w:type="dxa"/>
            <w:vAlign w:val="bottom"/>
            <w:gridSpan w:val="2"/>
          </w:tcPr>
          <w:p>
            <w:pPr>
              <w:ind w:left="20"/>
              <w:spacing w:after="0"/>
              <w:rPr>
                <w:sz w:val="20"/>
                <w:szCs w:val="20"/>
                <w:color w:val="auto"/>
              </w:rPr>
            </w:pPr>
            <w:r>
              <w:rPr>
                <w:rFonts w:ascii="Arial" w:cs="Arial" w:eastAsia="Arial" w:hAnsi="Arial"/>
                <w:sz w:val="11"/>
                <w:szCs w:val="11"/>
                <w:color w:val="auto"/>
              </w:rPr>
              <w:t>Potential higher than anticipated contract losses</w:t>
            </w: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color w:val="auto"/>
                <w:w w:val="81"/>
              </w:rPr>
              <w:t>X</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480" w:type="dxa"/>
            <w:vAlign w:val="bottom"/>
            <w:gridSpan w:val="2"/>
          </w:tcPr>
          <w:p>
            <w:pPr>
              <w:jc w:val="center"/>
              <w:ind w:right="80"/>
              <w:spacing w:after="0"/>
              <w:rPr>
                <w:sz w:val="20"/>
                <w:szCs w:val="20"/>
                <w:color w:val="auto"/>
              </w:rPr>
            </w:pPr>
            <w:r>
              <w:rPr>
                <w:rFonts w:ascii="Arial" w:cs="Arial" w:eastAsia="Arial" w:hAnsi="Arial"/>
                <w:sz w:val="11"/>
                <w:szCs w:val="11"/>
                <w:color w:val="auto"/>
              </w:rPr>
              <w:t>X</w:t>
            </w:r>
          </w:p>
        </w:tc>
        <w:tc>
          <w:tcPr>
            <w:tcW w:w="1420" w:type="dxa"/>
            <w:vAlign w:val="bottom"/>
          </w:tcPr>
          <w:p>
            <w:pPr>
              <w:jc w:val="center"/>
              <w:spacing w:after="0"/>
              <w:rPr>
                <w:sz w:val="20"/>
                <w:szCs w:val="20"/>
                <w:color w:val="auto"/>
              </w:rPr>
            </w:pPr>
            <w:r>
              <w:rPr>
                <w:rFonts w:ascii="Arial" w:cs="Arial" w:eastAsia="Arial" w:hAnsi="Arial"/>
                <w:sz w:val="11"/>
                <w:szCs w:val="11"/>
                <w:color w:val="auto"/>
              </w:rPr>
              <w:t>X</w:t>
            </w:r>
          </w:p>
        </w:tc>
      </w:tr>
      <w:tr>
        <w:trPr>
          <w:trHeight w:val="17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Potential volume pressures</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X</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r>
      <w:tr>
        <w:trPr>
          <w:trHeight w:val="163"/>
        </w:trPr>
        <w:tc>
          <w:tcPr>
            <w:tcW w:w="4060" w:type="dxa"/>
            <w:vAlign w:val="bottom"/>
            <w:gridSpan w:val="2"/>
          </w:tcPr>
          <w:p>
            <w:pPr>
              <w:ind w:left="20"/>
              <w:spacing w:after="0"/>
              <w:rPr>
                <w:sz w:val="20"/>
                <w:szCs w:val="20"/>
                <w:color w:val="auto"/>
              </w:rPr>
            </w:pPr>
            <w:r>
              <w:rPr>
                <w:rFonts w:ascii="Arial" w:cs="Arial" w:eastAsia="Arial" w:hAnsi="Arial"/>
                <w:sz w:val="11"/>
                <w:szCs w:val="11"/>
                <w:color w:val="auto"/>
              </w:rPr>
              <w:t>Strategic pivot</w:t>
            </w: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color w:val="auto"/>
                <w:w w:val="81"/>
              </w:rPr>
              <w:t>X</w:t>
            </w:r>
          </w:p>
        </w:tc>
        <w:tc>
          <w:tcPr>
            <w:tcW w:w="1480" w:type="dxa"/>
            <w:vAlign w:val="bottom"/>
            <w:gridSpan w:val="2"/>
          </w:tcPr>
          <w:p>
            <w:pPr>
              <w:jc w:val="center"/>
              <w:ind w:right="80"/>
              <w:spacing w:after="0"/>
              <w:rPr>
                <w:sz w:val="20"/>
                <w:szCs w:val="20"/>
                <w:color w:val="auto"/>
              </w:rPr>
            </w:pPr>
            <w:r>
              <w:rPr>
                <w:rFonts w:ascii="Arial" w:cs="Arial" w:eastAsia="Arial" w:hAnsi="Arial"/>
                <w:sz w:val="11"/>
                <w:szCs w:val="11"/>
                <w:color w:val="auto"/>
              </w:rPr>
              <w:t>X</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480" w:type="dxa"/>
            <w:vAlign w:val="bottom"/>
            <w:gridSpan w:val="2"/>
          </w:tcPr>
          <w:p>
            <w:pPr>
              <w:jc w:val="center"/>
              <w:ind w:right="80"/>
              <w:spacing w:after="0"/>
              <w:rPr>
                <w:sz w:val="20"/>
                <w:szCs w:val="20"/>
                <w:color w:val="auto"/>
              </w:rPr>
            </w:pPr>
            <w:r>
              <w:rPr>
                <w:rFonts w:ascii="Arial" w:cs="Arial" w:eastAsia="Arial" w:hAnsi="Arial"/>
                <w:sz w:val="11"/>
                <w:szCs w:val="11"/>
                <w:color w:val="auto"/>
              </w:rPr>
              <w:t>X</w:t>
            </w:r>
          </w:p>
        </w:tc>
        <w:tc>
          <w:tcPr>
            <w:tcW w:w="1420" w:type="dxa"/>
            <w:vAlign w:val="bottom"/>
          </w:tcPr>
          <w:p>
            <w:pPr>
              <w:jc w:val="center"/>
              <w:spacing w:after="0"/>
              <w:rPr>
                <w:sz w:val="20"/>
                <w:szCs w:val="20"/>
                <w:color w:val="auto"/>
              </w:rPr>
            </w:pPr>
            <w:r>
              <w:rPr>
                <w:rFonts w:ascii="Arial" w:cs="Arial" w:eastAsia="Arial" w:hAnsi="Arial"/>
                <w:sz w:val="11"/>
                <w:szCs w:val="11"/>
                <w:color w:val="auto"/>
              </w:rPr>
              <w:t>X</w:t>
            </w:r>
          </w:p>
        </w:tc>
      </w:tr>
    </w:tbl>
    <w:p>
      <w:pPr>
        <w:spacing w:after="0" w:line="288"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Based upon the information identified in the second quarter of 2019, we performed an interim goodwill impairment assessment for all our reporting units which resulted in a pre-tax impairment charge of $1.1 billion for the three months ended June 30, 2019.</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Annual Goodwill Impairment Evaluation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Our annual quantitative impairment test of goodwill was performed as of October 1, 2019.</w:t>
      </w:r>
    </w:p>
    <w:p>
      <w:pPr>
        <w:spacing w:after="0" w:line="205"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In our quantitative test, we estimate the fair value of each reporting unit by weighting the results from the income approach (discounted cash flow methodology) and market approach. These valuation approaches require significant judgment and consider several factors that include, but are not limited to, expected future cash flows, growth rates and discount rates and comparable multiples from publicly traded companies in our industry. In addition, we are required to make certain assumptions and estimates regarding the current economic environment, industry factors and the future profitability of our businesses.</w:t>
      </w:r>
    </w:p>
    <w:p>
      <w:pPr>
        <w:spacing w:after="0" w:line="200" w:lineRule="exact"/>
        <w:rPr>
          <w:sz w:val="20"/>
          <w:szCs w:val="20"/>
          <w:color w:val="auto"/>
        </w:rPr>
      </w:pPr>
    </w:p>
    <w:p>
      <w:pPr>
        <w:spacing w:after="0" w:line="40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When performing our discounted cash flow analysis for each reporting unit, we incorporate the use of projected financial information and discount rates that are developed using market participant-based assumptions. The cash-flow projections are based on three-year financial forecasts developed by management that include revenue and expense projections, restructuring and strategic transformation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spacing w:after="0" w:line="183"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We believe these assumptions are appropriate and reflect our forecasted long-term business model and consider our historical results as well as the current economic environment and markets that we serve.</w:t>
      </w:r>
    </w:p>
    <w:p>
      <w:pPr>
        <w:spacing w:after="0" w:line="172" w:lineRule="exact"/>
        <w:rPr>
          <w:sz w:val="20"/>
          <w:szCs w:val="20"/>
          <w:color w:val="auto"/>
        </w:rPr>
      </w:pPr>
    </w:p>
    <w:p>
      <w:pPr>
        <w:ind w:right="420"/>
        <w:spacing w:after="0" w:line="273" w:lineRule="auto"/>
        <w:rPr>
          <w:sz w:val="20"/>
          <w:szCs w:val="20"/>
          <w:color w:val="auto"/>
        </w:rPr>
      </w:pPr>
      <w:r>
        <w:rPr>
          <w:rFonts w:ascii="Arial" w:cs="Arial" w:eastAsia="Arial" w:hAnsi="Arial"/>
          <w:sz w:val="14"/>
          <w:szCs w:val="14"/>
          <w:color w:val="auto"/>
        </w:rPr>
        <w:t>Based on our quantitative assessments, we concluded that the fair value of our reporting units exceeded their respective carrying values by approximately $100 million (for all Commercial Industries), $21 million for Government Services and $24 million for Transportation, respectively.</w:t>
      </w:r>
    </w:p>
    <w:p>
      <w:pPr>
        <w:spacing w:after="0" w:line="172"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The most significant assumption used in the goodwill analysis relates to the discount rates (ranging from 8.75% to 12.75%) and long-term organic growth rates (ranging from 2.5% to 3.0%) for the reporting units comprising the Commercial Industries, Government Services and Transportation reporting units.</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Subsequent to completing the annual impairment test, the Company experienced further unanticipated contract losses within the Government Services reporting unit, and as result, management performed a goodwill impairment assessment for this reporting unit as of December 31, 2019, which resulted in a pre-tax impairment charge of $512 million. In addition, in the fourth quarter we recorded an immaterial correction to the impairment charges recorded in the first and second quarters to properly reflect the impact of tax deductible goodwill on the previous impairments as well as the related income tax benefit. The impairment adjustment and related income tax benefit to the first quarter charge for the Transportation reporting unit totaled $20 million and $1 million, respectively. The impairment adjustment and related income tax benefit to the second quarter charge totaled $69 million and $6 million, respectively. The second quarter impairment and income tax benefit adjustments corrected the combined Commercial Industries reporting units by</w:t>
      </w:r>
    </w:p>
    <w:p>
      <w:pPr>
        <w:spacing w:after="0" w:line="3"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$53 million and $5 million, respectively, and the Government Services reporting unit by $16 million and $1 million, respectively. We believe these adjustments are not material to the current period or any prior period. The cumulative impairment charge for the year ended December 31, 2019 was approximately $2.0 billion.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to the Consolidated Financial Statements for additional information regarding goodwill by reportable segment.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are subject to income taxes in the United States and numerous foreign jurisdictions. The determination of our provision for income taxes requires significant judgment, the use of estimates and the interpretation and application of complex tax laws. Our provision is based on nonrecurring events as well as recurring factors, including the taxation of foreign income. In addition, our provision will change based on discrete or other nonrecurring events such as audit settlements, tax law changes, changes in valuation allowances and other factors, that may not be predictable. In the event that there is a significant unusual or one-time item recognized in our operating results, the taxes attributable to that item would be separately calculated and recorded at the same time as an unusual or one-time item.</w:t>
      </w:r>
    </w:p>
    <w:p>
      <w:pPr>
        <w:spacing w:after="0" w:line="18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Gross deferred tax assets of $309 million and $210 million had valuation allowances of $72 million and $44 million at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have been recognized for the year ended December 31, 2019.</w:t>
      </w:r>
    </w:p>
    <w:p>
      <w:pPr>
        <w:spacing w:after="0" w:line="179"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are subject to ongoing tax examinations and assessments in various jurisdictions. Accordingly, we may incur additional tax expense based upon our assessment of the more-likely-than-not outcomes of such matters. In addition, when applicable, we adjust previously recorded tax expense to reflect examination results. Our ongoing assessments of the more-likely-than-not outcomes of examinations and related tax positions require judgment and can materially increase or decrease our effective tax rate, as well as impact our operating results. Unrecognized tax benefits were $24 million, $20 million and $15 million at December 31, 2019, 2018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to the Consolidated Financial Statements for additional information regarding deferred income taxes and unrecognized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Loss Contingencies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currently involved in various claims and legal proceedings. At least quarterly, we review the status of each significant matter and assess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estimates. These revisions in the estimates of the potential liabilities could have a material impact on the results of operations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 regarding loss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Recent Accounting Changes</w:t>
      </w:r>
    </w:p>
    <w:p>
      <w:pPr>
        <w:spacing w:after="0" w:line="223" w:lineRule="exact"/>
        <w:rPr>
          <w:sz w:val="20"/>
          <w:szCs w:val="20"/>
          <w:color w:val="auto"/>
        </w:rPr>
      </w:pPr>
    </w:p>
    <w:p>
      <w:pPr>
        <w:jc w:val="both"/>
        <w:ind w:right="200"/>
        <w:spacing w:after="0" w:line="262" w:lineRule="auto"/>
        <w:rPr>
          <w:sz w:val="20"/>
          <w:szCs w:val="20"/>
          <w:color w:val="auto"/>
        </w:rPr>
      </w:pPr>
      <w:r>
        <w:rPr>
          <w:rFonts w:ascii="Arial" w:cs="Arial" w:eastAsia="Arial" w:hAnsi="Arial"/>
          <w:sz w:val="14"/>
          <w:szCs w:val="14"/>
          <w:color w:val="auto"/>
        </w:rPr>
        <w:t>See Note 1 – Basis of Presentation and Summary of Significant Accounting Policies for information on accounting standards adopted during the current year, as well as recently issued accounting standards not yet required to be adopted and the expected impact of the adoption of these accounting standards. To the extent we believe the adoption of new accounting standards has had or will have a material impact on our consolidated results of operations, financial condition or liquidity, we also discuss the impact in the applicable section(s) of this MD&amp;A.</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Developments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 Rule—FAST Act Modernization and Simplification of Regulation S-K</w:t>
      </w:r>
    </w:p>
    <w:p>
      <w:pPr>
        <w:spacing w:after="0" w:line="21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March 2019, the SEC adopted amendments to modernize and simplify certain disclosure requirements in Regulation S-K as part of modernization and simplification of Regulation S-K and related rules and forms. The amendments, which, among other things, change the requirements for the content of MD&amp;A and change the process for redacting confidential information in certain exhibits, are intended to improve the readability and navigability of disclosure documents and discourage repetition and disclosure of immaterial information. The final rule became effective May 2, 2019.</w:t>
      </w:r>
    </w:p>
    <w:p>
      <w:pPr>
        <w:spacing w:after="0" w:line="180" w:lineRule="exact"/>
        <w:rPr>
          <w:sz w:val="20"/>
          <w:szCs w:val="20"/>
          <w:color w:val="auto"/>
        </w:rPr>
      </w:pPr>
    </w:p>
    <w:p>
      <w:pPr>
        <w:ind w:right="340"/>
        <w:spacing w:after="0" w:line="264" w:lineRule="auto"/>
        <w:rPr>
          <w:sz w:val="20"/>
          <w:szCs w:val="20"/>
          <w:color w:val="auto"/>
        </w:rPr>
      </w:pPr>
      <w:r>
        <w:rPr>
          <w:rFonts w:ascii="Arial" w:cs="Arial" w:eastAsia="Arial" w:hAnsi="Arial"/>
          <w:sz w:val="14"/>
          <w:szCs w:val="14"/>
          <w:color w:val="auto"/>
        </w:rPr>
        <w:t>The provisions of the rule that have the most significant impact on our disclosures under Regulation S-K and the content of this Form 10-K include: (i) the elimination, where appropriate, of the requirement to include in MD&amp;A a discussion of the earliest year for registrants that provide financial statements covering three years in their filings, as such discussion is already included in prior filings; and (ii) a requirement that registrants identify the location in the prior filing where the omitted discussion can be found.</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Financial Information</w:t>
      </w:r>
    </w:p>
    <w:p>
      <w:pPr>
        <w:spacing w:after="0" w:line="223" w:lineRule="exact"/>
        <w:rPr>
          <w:sz w:val="20"/>
          <w:szCs w:val="20"/>
          <w:color w:val="auto"/>
        </w:rPr>
      </w:pPr>
    </w:p>
    <w:p>
      <w:pPr>
        <w:ind w:right="260"/>
        <w:spacing w:after="0" w:line="264" w:lineRule="auto"/>
        <w:rPr>
          <w:sz w:val="20"/>
          <w:szCs w:val="20"/>
          <w:color w:val="auto"/>
        </w:rPr>
      </w:pPr>
      <w:r>
        <w:rPr>
          <w:rFonts w:ascii="Arial" w:cs="Arial" w:eastAsia="Arial" w:hAnsi="Arial"/>
          <w:sz w:val="14"/>
          <w:szCs w:val="14"/>
          <w:color w:val="auto"/>
        </w:rPr>
        <w:t>The section below provides a comparative discussion of our consolidated results of operations for the year ended December 31, 2019 and 2018. See Item 7. MD&amp;A–Financial Information in our Annual Report on Form 10-K for the year ended December 31, 2018, for a comparative discussion of our consolidated results of operations between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1"/>
                <w:szCs w:val="11"/>
                <w:color w:val="auto"/>
              </w:rPr>
              <w:t>Year Ended December 31,</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color w:val="auto"/>
              </w:rPr>
              <w:t>2019 vs. 2018</w:t>
            </w:r>
          </w:p>
        </w:tc>
        <w:tc>
          <w:tcPr>
            <w:tcW w:w="980" w:type="dxa"/>
            <w:vAlign w:val="bottom"/>
            <w:tcBorders>
              <w:bottom w:val="single" w:sz="8" w:color="auto"/>
            </w:tcBorders>
          </w:tcPr>
          <w:p>
            <w:pPr>
              <w:spacing w:after="0"/>
              <w:rPr>
                <w:sz w:val="12"/>
                <w:szCs w:val="12"/>
                <w:color w:val="auto"/>
              </w:rPr>
            </w:pPr>
          </w:p>
        </w:tc>
      </w:tr>
      <w:tr>
        <w:trPr>
          <w:trHeight w:val="135"/>
        </w:trPr>
        <w:tc>
          <w:tcPr>
            <w:tcW w:w="5840" w:type="dxa"/>
            <w:vAlign w:val="bottom"/>
            <w:gridSpan w:val="4"/>
          </w:tcPr>
          <w:p>
            <w:pPr>
              <w:ind w:left="20"/>
              <w:spacing w:after="0"/>
              <w:rPr>
                <w:sz w:val="20"/>
                <w:szCs w:val="20"/>
                <w:color w:val="auto"/>
              </w:rPr>
            </w:pPr>
            <w:r>
              <w:rPr>
                <w:rFonts w:ascii="Arial" w:cs="Arial" w:eastAsia="Arial" w:hAnsi="Arial"/>
                <w:sz w:val="9"/>
                <w:szCs w:val="9"/>
                <w:color w:val="auto"/>
              </w:rPr>
              <w:t>(in millions)</w:t>
            </w:r>
          </w:p>
        </w:tc>
        <w:tc>
          <w:tcPr>
            <w:tcW w:w="300" w:type="dxa"/>
            <w:vAlign w:val="bottom"/>
          </w:tcPr>
          <w:p>
            <w:pPr>
              <w:spacing w:after="0"/>
              <w:rPr>
                <w:sz w:val="11"/>
                <w:szCs w:val="11"/>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color w:val="auto"/>
              </w:rPr>
              <w:t>2019</w:t>
            </w:r>
          </w:p>
        </w:tc>
        <w:tc>
          <w:tcPr>
            <w:tcW w:w="120" w:type="dxa"/>
            <w:vAlign w:val="bottom"/>
          </w:tcPr>
          <w:p>
            <w:pPr>
              <w:spacing w:after="0"/>
              <w:rPr>
                <w:sz w:val="11"/>
                <w:szCs w:val="11"/>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2018</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300" w:type="dxa"/>
            <w:vAlign w:val="bottom"/>
            <w:gridSpan w:val="3"/>
          </w:tcPr>
          <w:p>
            <w:pPr>
              <w:ind w:left="20"/>
              <w:spacing w:after="0"/>
              <w:rPr>
                <w:sz w:val="20"/>
                <w:szCs w:val="20"/>
                <w:color w:val="auto"/>
              </w:rPr>
            </w:pPr>
            <w:r>
              <w:rPr>
                <w:rFonts w:ascii="Arial" w:cs="Arial" w:eastAsia="Arial" w:hAnsi="Arial"/>
                <w:sz w:val="11"/>
                <w:szCs w:val="11"/>
                <w:color w:val="auto"/>
              </w:rPr>
              <w:t>Change</w:t>
            </w:r>
          </w:p>
        </w:tc>
        <w:tc>
          <w:tcPr>
            <w:tcW w:w="980" w:type="dxa"/>
            <w:vAlign w:val="bottom"/>
          </w:tcPr>
          <w:p>
            <w:pPr>
              <w:jc w:val="right"/>
              <w:ind w:right="343"/>
              <w:spacing w:after="0"/>
              <w:rPr>
                <w:sz w:val="20"/>
                <w:szCs w:val="20"/>
                <w:color w:val="auto"/>
              </w:rPr>
            </w:pPr>
            <w:r>
              <w:rPr>
                <w:rFonts w:ascii="Arial" w:cs="Arial" w:eastAsia="Arial" w:hAnsi="Arial"/>
                <w:sz w:val="11"/>
                <w:szCs w:val="1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5"/>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4,467</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5,393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(926)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Costs and Expenses</w:t>
            </w:r>
          </w:p>
        </w:tc>
        <w:tc>
          <w:tcPr>
            <w:tcW w:w="4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68"/>
        </w:trPr>
        <w:tc>
          <w:tcPr>
            <w:tcW w:w="5840" w:type="dxa"/>
            <w:vAlign w:val="bottom"/>
            <w:gridSpan w:val="4"/>
          </w:tcPr>
          <w:p>
            <w:pPr>
              <w:ind w:left="20"/>
              <w:spacing w:after="0"/>
              <w:rPr>
                <w:sz w:val="20"/>
                <w:szCs w:val="20"/>
                <w:color w:val="auto"/>
              </w:rPr>
            </w:pPr>
            <w:r>
              <w:rPr>
                <w:rFonts w:ascii="Arial" w:cs="Arial" w:eastAsia="Arial" w:hAnsi="Arial"/>
                <w:sz w:val="11"/>
                <w:szCs w:val="11"/>
                <w:color w:val="auto"/>
              </w:rPr>
              <w:t>Cost of services (excluding depreciation and amortization)</w:t>
            </w:r>
          </w:p>
        </w:tc>
        <w:tc>
          <w:tcPr>
            <w:tcW w:w="30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3,494</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4,182</w:t>
            </w:r>
          </w:p>
        </w:tc>
        <w:tc>
          <w:tcPr>
            <w:tcW w:w="100" w:type="dxa"/>
            <w:vAlign w:val="bottom"/>
          </w:tcPr>
          <w:p>
            <w:pPr>
              <w:spacing w:after="0"/>
              <w:rPr>
                <w:sz w:val="14"/>
                <w:szCs w:val="14"/>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(688)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 %</w:t>
            </w:r>
          </w:p>
        </w:tc>
      </w:tr>
      <w:tr>
        <w:trPr>
          <w:trHeight w:val="177"/>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479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 %</w:t>
            </w:r>
          </w:p>
        </w:tc>
      </w:tr>
      <w:tr>
        <w:trPr>
          <w:trHeight w:val="168"/>
        </w:trPr>
        <w:tc>
          <w:tcPr>
            <w:tcW w:w="5840" w:type="dxa"/>
            <w:vAlign w:val="bottom"/>
            <w:gridSpan w:val="4"/>
          </w:tcPr>
          <w:p>
            <w:pPr>
              <w:ind w:left="20"/>
              <w:spacing w:after="0"/>
              <w:rPr>
                <w:sz w:val="20"/>
                <w:szCs w:val="20"/>
                <w:color w:val="auto"/>
              </w:rPr>
            </w:pPr>
            <w:r>
              <w:rPr>
                <w:rFonts w:ascii="Arial" w:cs="Arial" w:eastAsia="Arial" w:hAnsi="Arial"/>
                <w:sz w:val="11"/>
                <w:szCs w:val="11"/>
                <w:color w:val="auto"/>
              </w:rPr>
              <w:t>Research and development (excluding depreciation and amortization)</w:t>
            </w:r>
          </w:p>
        </w:tc>
        <w:tc>
          <w:tcPr>
            <w:tcW w:w="30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(27) %</w:t>
            </w:r>
          </w:p>
        </w:tc>
      </w:tr>
      <w:tr>
        <w:trPr>
          <w:trHeight w:val="177"/>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459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460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68"/>
        </w:trPr>
        <w:tc>
          <w:tcPr>
            <w:tcW w:w="5840" w:type="dxa"/>
            <w:vAlign w:val="bottom"/>
            <w:gridSpan w:val="4"/>
          </w:tcPr>
          <w:p>
            <w:pPr>
              <w:ind w:left="20"/>
              <w:spacing w:after="0"/>
              <w:rPr>
                <w:sz w:val="20"/>
                <w:szCs w:val="20"/>
                <w:color w:val="auto"/>
              </w:rPr>
            </w:pPr>
            <w:r>
              <w:rPr>
                <w:rFonts w:ascii="Arial" w:cs="Arial" w:eastAsia="Arial" w:hAnsi="Arial"/>
                <w:sz w:val="11"/>
                <w:szCs w:val="11"/>
                <w:color w:val="auto"/>
              </w:rPr>
              <w:t>Restructuring and related costs</w:t>
            </w:r>
          </w:p>
        </w:tc>
        <w:tc>
          <w:tcPr>
            <w:tcW w:w="30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 %</w:t>
            </w:r>
          </w:p>
        </w:tc>
      </w:tr>
      <w:tr>
        <w:trPr>
          <w:trHeight w:val="177"/>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 %</w:t>
            </w:r>
          </w:p>
        </w:tc>
      </w:tr>
      <w:tr>
        <w:trPr>
          <w:trHeight w:val="168"/>
        </w:trPr>
        <w:tc>
          <w:tcPr>
            <w:tcW w:w="5840" w:type="dxa"/>
            <w:vAlign w:val="bottom"/>
            <w:gridSpan w:val="4"/>
          </w:tcPr>
          <w:p>
            <w:pPr>
              <w:ind w:left="20"/>
              <w:spacing w:after="0"/>
              <w:rPr>
                <w:sz w:val="20"/>
                <w:szCs w:val="20"/>
                <w:color w:val="auto"/>
              </w:rPr>
            </w:pPr>
            <w:r>
              <w:rPr>
                <w:rFonts w:ascii="Arial" w:cs="Arial" w:eastAsia="Arial" w:hAnsi="Arial"/>
                <w:sz w:val="11"/>
                <w:szCs w:val="11"/>
                <w:color w:val="auto"/>
              </w:rPr>
              <w:t>(Gain) loss on extinguishment of debt</w:t>
            </w:r>
          </w:p>
        </w:tc>
        <w:tc>
          <w:tcPr>
            <w:tcW w:w="3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(100) %</w:t>
            </w:r>
          </w:p>
        </w:tc>
      </w:tr>
      <w:tr>
        <w:trPr>
          <w:trHeight w:val="177"/>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Goodwill impairment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1,952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8"/>
        </w:trPr>
        <w:tc>
          <w:tcPr>
            <w:tcW w:w="5840" w:type="dxa"/>
            <w:vAlign w:val="bottom"/>
            <w:gridSpan w:val="4"/>
          </w:tcPr>
          <w:p>
            <w:pPr>
              <w:ind w:left="20"/>
              <w:spacing w:after="0"/>
              <w:rPr>
                <w:sz w:val="20"/>
                <w:szCs w:val="20"/>
                <w:color w:val="auto"/>
              </w:rPr>
            </w:pPr>
            <w:r>
              <w:rPr>
                <w:rFonts w:ascii="Arial" w:cs="Arial" w:eastAsia="Arial" w:hAnsi="Arial"/>
                <w:sz w:val="11"/>
                <w:szCs w:val="11"/>
                <w:color w:val="auto"/>
              </w:rPr>
              <w:t>(Gain) loss on divestitures and transaction costs</w:t>
            </w:r>
          </w:p>
        </w:tc>
        <w:tc>
          <w:tcPr>
            <w:tcW w:w="30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 %</w:t>
            </w:r>
          </w:p>
        </w:tc>
      </w:tr>
      <w:tr>
        <w:trPr>
          <w:trHeight w:val="177"/>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Litigation costs (recoveries), net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 %</w:t>
            </w:r>
          </w:p>
        </w:tc>
      </w:tr>
      <w:tr>
        <w:trPr>
          <w:trHeight w:val="168"/>
        </w:trPr>
        <w:tc>
          <w:tcPr>
            <w:tcW w:w="5840" w:type="dxa"/>
            <w:vAlign w:val="bottom"/>
            <w:tcBorders>
              <w:bottom w:val="single" w:sz="8" w:color="CCEEFF"/>
            </w:tcBorders>
            <w:gridSpan w:val="4"/>
          </w:tcPr>
          <w:p>
            <w:pPr>
              <w:ind w:left="20"/>
              <w:spacing w:after="0"/>
              <w:rPr>
                <w:sz w:val="20"/>
                <w:szCs w:val="20"/>
                <w:color w:val="auto"/>
              </w:rPr>
            </w:pPr>
            <w:r>
              <w:rPr>
                <w:rFonts w:ascii="Arial" w:cs="Arial" w:eastAsia="Arial" w:hAnsi="Arial"/>
                <w:sz w:val="11"/>
                <w:szCs w:val="11"/>
                <w:color w:val="auto"/>
              </w:rPr>
              <w:t>Other (income) expenses, net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 %</w:t>
            </w:r>
          </w:p>
        </w:tc>
      </w:tr>
      <w:tr>
        <w:trPr>
          <w:trHeight w:val="168"/>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Total Operating Costs and Expenses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6,573</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5,788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785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72"/>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(2,106)</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5840" w:type="dxa"/>
            <w:vAlign w:val="bottom"/>
            <w:tcBorders>
              <w:bottom w:val="single" w:sz="8" w:color="CCEEFF"/>
            </w:tcBorders>
            <w:gridSpan w:val="4"/>
          </w:tcPr>
          <w:p>
            <w:pPr>
              <w:ind w:left="20"/>
              <w:spacing w:after="0"/>
              <w:rPr>
                <w:sz w:val="20"/>
                <w:szCs w:val="20"/>
                <w:color w:val="auto"/>
              </w:rPr>
            </w:pPr>
            <w:r>
              <w:rPr>
                <w:rFonts w:ascii="Arial" w:cs="Arial" w:eastAsia="Arial" w:hAnsi="Arial"/>
                <w:sz w:val="11"/>
                <w:szCs w:val="11"/>
                <w:color w:val="auto"/>
              </w:rPr>
              <w:t>Income tax expense (benefit)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(193)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93"/>
        </w:trPr>
        <w:tc>
          <w:tcPr>
            <w:tcW w:w="5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(1,934)</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(1,518)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w:t>
      </w:r>
    </w:p>
    <w:p>
      <w:pPr>
        <w:spacing w:after="0" w:line="223"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Revenue for 2019 decreased, compared to the prior year period, mainly due to the impact from divestitures completed in 2019 and 2018, lost business in the Commercial Industries and Government Services segments, price and volume pressure and currency fluctuations. Partially offsetting these declines were increases from the ramp of new business.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Cost of Services (excluding depreciation and amortization)</w:t>
      </w:r>
    </w:p>
    <w:p>
      <w:pPr>
        <w:spacing w:after="0" w:line="266"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Cost of services for 2019 decreased, compared to the prior year period, mainly driven by the divestitures completed in 2019 and 2018, reductions in real estate, IT and labor costs from our transformation initiatives, lost business and lower volumes.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Selling, General and Administrative (SG&amp;A) (excluding depreciation and amortization)</w:t>
      </w:r>
    </w:p>
    <w:p>
      <w:pPr>
        <w:spacing w:after="0" w:line="223"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Lower SG&amp;A for 2019, compared to the prior year period, was reflective of divested SG&amp;A expenses, reductions in real estate costs, lower corporate overhead costs and reductions labor costs, including reductions in 401(k) costs.</w:t>
      </w:r>
    </w:p>
    <w:p>
      <w:pPr>
        <w:spacing w:after="0" w:line="200" w:lineRule="exact"/>
        <w:rPr>
          <w:sz w:val="20"/>
          <w:szCs w:val="20"/>
          <w:color w:val="auto"/>
        </w:rPr>
      </w:pPr>
    </w:p>
    <w:p>
      <w:pPr>
        <w:spacing w:after="0" w:line="392"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Depreciation and Amortization</w:t>
      </w:r>
    </w:p>
    <w:p>
      <w:pPr>
        <w:spacing w:after="0" w:line="223"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Depreciation and amortization for 2019 decreased, compared to the prior year period, primarily due to the divestitures in 2019 and 2018, partially offset by the HSP acquisition and increased capitalized software amortization for new projects placed in service. Refer to Note 5 – Business Acquisition and Note 8 – Goodwill and Intangible Assets, Net to the Consolidated Financial Statements for additional information regarding the HSP acquisition and our intangible assets,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Restructuring and Related Costs</w:t>
      </w:r>
    </w:p>
    <w:p>
      <w:pPr>
        <w:spacing w:after="0" w:line="223"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We engage in a series of restructuring programs related to downsizing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227" w:lineRule="exact"/>
        <w:rPr>
          <w:sz w:val="20"/>
          <w:szCs w:val="20"/>
          <w:color w:val="auto"/>
        </w:rPr>
      </w:pPr>
    </w:p>
    <w:p>
      <w:pPr>
        <w:ind w:left="8940"/>
        <w:spacing w:after="0"/>
        <w:rPr>
          <w:sz w:val="20"/>
          <w:szCs w:val="20"/>
          <w:color w:val="auto"/>
        </w:rPr>
      </w:pPr>
      <w:r>
        <w:rPr>
          <w:rFonts w:ascii="Arial" w:cs="Arial" w:eastAsia="Arial" w:hAnsi="Arial"/>
          <w:sz w:val="11"/>
          <w:szCs w:val="1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12700</wp:posOffset>
            </wp:positionV>
            <wp:extent cx="234505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5055" cy="698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60" w:type="dxa"/>
            <w:vAlign w:val="bottom"/>
            <w:gridSpan w:val="3"/>
          </w:tcPr>
          <w:p>
            <w:pPr>
              <w:ind w:left="20"/>
              <w:spacing w:after="0"/>
              <w:rPr>
                <w:sz w:val="20"/>
                <w:szCs w:val="20"/>
                <w:color w:val="auto"/>
              </w:rPr>
            </w:pPr>
            <w:r>
              <w:rPr>
                <w:rFonts w:ascii="Arial" w:cs="Arial" w:eastAsia="Arial" w:hAnsi="Arial"/>
                <w:sz w:val="10"/>
                <w:szCs w:val="10"/>
                <w:color w:val="auto"/>
              </w:rPr>
              <w:t>(in millions, except headcount in whole numbers)</w:t>
            </w:r>
          </w:p>
        </w:tc>
        <w:tc>
          <w:tcPr>
            <w:tcW w:w="440" w:type="dxa"/>
            <w:vAlign w:val="bottom"/>
          </w:tcPr>
          <w:p>
            <w:pPr>
              <w:spacing w:after="0"/>
              <w:rPr>
                <w:sz w:val="10"/>
                <w:szCs w:val="10"/>
                <w:color w:val="auto"/>
              </w:rPr>
            </w:pPr>
          </w:p>
        </w:tc>
        <w:tc>
          <w:tcPr>
            <w:tcW w:w="1360" w:type="dxa"/>
            <w:vAlign w:val="bottom"/>
          </w:tcPr>
          <w:p>
            <w:pPr>
              <w:jc w:val="right"/>
              <w:ind w:right="70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jc w:val="right"/>
              <w:ind w:right="703"/>
              <w:spacing w:after="0"/>
              <w:rPr>
                <w:sz w:val="20"/>
                <w:szCs w:val="20"/>
                <w:color w:val="auto"/>
              </w:rPr>
            </w:pPr>
            <w:r>
              <w:rPr>
                <w:rFonts w:ascii="Arial" w:cs="Arial" w:eastAsia="Arial" w:hAnsi="Arial"/>
                <w:sz w:val="11"/>
                <w:szCs w:val="1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5"/>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Severance and related costs</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34</w:t>
            </w:r>
          </w:p>
        </w:tc>
      </w:tr>
      <w:tr>
        <w:trPr>
          <w:trHeight w:val="168"/>
        </w:trPr>
        <w:tc>
          <w:tcPr>
            <w:tcW w:w="7760" w:type="dxa"/>
            <w:vAlign w:val="bottom"/>
            <w:gridSpan w:val="3"/>
          </w:tcPr>
          <w:p>
            <w:pPr>
              <w:ind w:left="20"/>
              <w:spacing w:after="0"/>
              <w:rPr>
                <w:sz w:val="20"/>
                <w:szCs w:val="20"/>
                <w:color w:val="auto"/>
              </w:rPr>
            </w:pPr>
            <w:r>
              <w:rPr>
                <w:rFonts w:ascii="Arial" w:cs="Arial" w:eastAsia="Arial" w:hAnsi="Arial"/>
                <w:sz w:val="11"/>
                <w:szCs w:val="11"/>
                <w:color w:val="auto"/>
              </w:rPr>
              <w:t>Data center consolidation</w:t>
            </w:r>
          </w:p>
        </w:tc>
        <w:tc>
          <w:tcPr>
            <w:tcW w:w="44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4</w:t>
            </w:r>
          </w:p>
        </w:tc>
      </w:tr>
      <w:tr>
        <w:trPr>
          <w:trHeight w:val="177"/>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 contractual termination costs</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37</w:t>
            </w:r>
          </w:p>
        </w:tc>
      </w:tr>
      <w:tr>
        <w:trPr>
          <w:trHeight w:val="168"/>
        </w:trPr>
        <w:tc>
          <w:tcPr>
            <w:tcW w:w="776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Asset impairment</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w:t>
            </w:r>
          </w:p>
        </w:tc>
      </w:tr>
      <w:tr>
        <w:trPr>
          <w:trHeight w:val="168"/>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Net Current Period Charges</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78</w:t>
            </w:r>
          </w:p>
        </w:tc>
      </w:tr>
      <w:tr>
        <w:trPr>
          <w:trHeight w:val="172"/>
        </w:trPr>
        <w:tc>
          <w:tcPr>
            <w:tcW w:w="776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Consulting and other costs</w:t>
            </w:r>
            <w:r>
              <w:rPr>
                <w:rFonts w:ascii="Arial" w:cs="Arial" w:eastAsia="Arial" w:hAnsi="Arial"/>
                <w:sz w:val="14"/>
                <w:szCs w:val="14"/>
                <w:color w:val="auto"/>
                <w:vertAlign w:val="superscript"/>
              </w:rPr>
              <w:t>(1)</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w:t>
            </w:r>
          </w:p>
        </w:tc>
      </w:tr>
      <w:tr>
        <w:trPr>
          <w:trHeight w:val="188"/>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Restructuring and Related Costs</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7760" w:type="dxa"/>
            <w:vAlign w:val="bottom"/>
            <w:gridSpan w:val="3"/>
          </w:tcPr>
          <w:p>
            <w:pPr>
              <w:ind w:left="20"/>
              <w:spacing w:after="0"/>
              <w:rPr>
                <w:sz w:val="20"/>
                <w:szCs w:val="20"/>
                <w:color w:val="auto"/>
              </w:rPr>
            </w:pPr>
            <w:r>
              <w:rPr>
                <w:rFonts w:ascii="Arial" w:cs="Arial" w:eastAsia="Arial" w:hAnsi="Arial"/>
                <w:sz w:val="11"/>
                <w:szCs w:val="11"/>
                <w:color w:val="auto"/>
              </w:rPr>
              <w:t>Reduction in headcount</w:t>
            </w:r>
            <w:r>
              <w:rPr>
                <w:rFonts w:ascii="Arial" w:cs="Arial" w:eastAsia="Arial" w:hAnsi="Arial"/>
                <w:sz w:val="14"/>
                <w:szCs w:val="14"/>
                <w:color w:val="auto"/>
                <w:vertAlign w:val="superscript"/>
              </w:rPr>
              <w:t>(2)</w:t>
            </w:r>
          </w:p>
        </w:tc>
        <w:tc>
          <w:tcPr>
            <w:tcW w:w="440" w:type="dxa"/>
            <w:vAlign w:val="bottom"/>
          </w:tcPr>
          <w:p>
            <w:pPr>
              <w:spacing w:after="0"/>
              <w:rPr>
                <w:sz w:val="15"/>
                <w:szCs w:val="15"/>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1,300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3,300</w:t>
            </w:r>
          </w:p>
        </w:tc>
      </w:tr>
      <w:tr>
        <w:trPr>
          <w:trHeight w:val="180"/>
        </w:trPr>
        <w:tc>
          <w:tcPr>
            <w:tcW w:w="2200" w:type="dxa"/>
            <w:vAlign w:val="bottom"/>
            <w:gridSpan w:val="2"/>
          </w:tcPr>
          <w:p>
            <w:pPr>
              <w:spacing w:after="0"/>
              <w:rPr>
                <w:sz w:val="20"/>
                <w:szCs w:val="20"/>
                <w:color w:val="auto"/>
              </w:rPr>
            </w:pPr>
            <w:r>
              <w:rPr>
                <w:rFonts w:ascii="Arial" w:cs="Arial" w:eastAsia="Arial" w:hAnsi="Arial"/>
                <w:sz w:val="11"/>
                <w:szCs w:val="11"/>
                <w:color w:val="auto"/>
              </w:rPr>
              <w:t>__________</w:t>
            </w:r>
          </w:p>
        </w:tc>
        <w:tc>
          <w:tcPr>
            <w:tcW w:w="5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73" w:lineRule="exact"/>
        <w:rPr>
          <w:sz w:val="20"/>
          <w:szCs w:val="20"/>
          <w:color w:val="auto"/>
        </w:rPr>
      </w:pPr>
    </w:p>
    <w:p>
      <w:pPr>
        <w:ind w:left="260" w:hanging="254"/>
        <w:spacing w:after="0"/>
        <w:tabs>
          <w:tab w:leader="none" w:pos="26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professional support costs associated with our strategic transformation program.</w:t>
      </w:r>
    </w:p>
    <w:p>
      <w:pPr>
        <w:spacing w:after="0" w:line="14" w:lineRule="exact"/>
        <w:rPr>
          <w:rFonts w:ascii="Arial" w:cs="Arial" w:eastAsia="Arial" w:hAnsi="Arial"/>
          <w:sz w:val="11"/>
          <w:szCs w:val="11"/>
          <w:i w:val="1"/>
          <w:iCs w:val="1"/>
          <w:color w:val="auto"/>
        </w:rPr>
      </w:pPr>
    </w:p>
    <w:p>
      <w:pPr>
        <w:ind w:left="260" w:hanging="254"/>
        <w:spacing w:after="0"/>
        <w:tabs>
          <w:tab w:leader="none" w:pos="26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Relates to headcount reductions worldwide associated with Severance and related costs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 Restructuring Programs and Related Costs to the Consolidated Financial Statements for additional information regarding our restructuring programs.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Expense</w:t>
      </w:r>
    </w:p>
    <w:p>
      <w:pPr>
        <w:spacing w:after="0" w:line="223"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The decrease in Interest expense for 2019, compared to the prior year period, was driven primarily by lower average debt balances resulting mostly from the tender offer in 2018 and repricing. Refer to Note 11 – Debt to the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(Gain) Loss on Extinguishment of Debt</w:t>
      </w:r>
    </w:p>
    <w:p>
      <w:pPr>
        <w:spacing w:after="0" w:line="223" w:lineRule="exact"/>
        <w:rPr>
          <w:sz w:val="20"/>
          <w:szCs w:val="20"/>
          <w:color w:val="auto"/>
        </w:rPr>
      </w:pPr>
    </w:p>
    <w:p>
      <w:pPr>
        <w:ind w:right="840"/>
        <w:spacing w:after="0" w:line="273" w:lineRule="auto"/>
        <w:rPr>
          <w:sz w:val="20"/>
          <w:szCs w:val="20"/>
          <w:color w:val="auto"/>
        </w:rPr>
      </w:pPr>
      <w:r>
        <w:rPr>
          <w:rFonts w:ascii="Arial" w:cs="Arial" w:eastAsia="Arial" w:hAnsi="Arial"/>
          <w:sz w:val="14"/>
          <w:szCs w:val="14"/>
          <w:color w:val="auto"/>
        </w:rPr>
        <w:t>The loss on extinguishment of debt in 2018 related to the premium paid for the substantial buyback of the 10.5% Senior Notes due 2024. Refer to Note 11 – Debt to the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 Impairment</w:t>
      </w:r>
    </w:p>
    <w:p>
      <w:pPr>
        <w:spacing w:after="0" w:line="223"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goodwill impairment for 2019 related to the write-down of the carrying values of the reporting units. Refer to Note 8 – Goodwill and Intangible Assets, Net to the Consolidated Financial Statements and MD&amp;A–Overview–Significant 2019 Actions–Goodwill Impairment for additional information.</w:t>
      </w:r>
    </w:p>
    <w:p>
      <w:pPr>
        <w:spacing w:after="0" w:line="200" w:lineRule="exact"/>
        <w:rPr>
          <w:sz w:val="20"/>
          <w:szCs w:val="20"/>
          <w:color w:val="auto"/>
        </w:rPr>
      </w:pP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(Gain) Loss on Divestitures and Transaction Costs</w:t>
      </w:r>
    </w:p>
    <w:p>
      <w:pPr>
        <w:spacing w:after="0" w:line="22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loss in 2019 consists of $6 million of changes in estimates related to losses on divestitures, $2 million related to a loss on sale of assets and $17 million of transaction and related costs, $4 million of which related to costs to remediate Payment Card Industry Data Security Standards compliance issues related to the sale of select standalone customer care contracts to Skyview Capital LLC. The loss in 2018 was mainly related to the impairment charge on the anticipated sale of a portfolio of select standalone customer care contracts to Skyview Capital LLC.</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Litigation Costs (Recoveries), Net</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Net litigation costs for 2019 consist primarily of the recognition of the $13 million discount on the fair value of the Texas litigation liability established in 2018, due to the 2019 acceleration of the payment terms of the settlement. The 2018 expenses were primarily due to the increase in reserves for the Texas litigation and establishment of reserves for the Cognizant terminated contracts.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(Income) Expenses, Net</w:t>
      </w:r>
    </w:p>
    <w:p>
      <w:pPr>
        <w:spacing w:after="0" w:line="223"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Other (income) expenses, net primarily includes foreign currency transaction losses (gains), interest income, the Student Loan business shut-down costs and other deferred compensation investment results.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2019 effective tax rate was 8.2%, compared to (5.3)% for 2018. The 2019 rate was lower than the U.S. statutory rate of 21%, primarily due to the goodwill impairment charge being partially non-deductible for tax and the geographic mix of income, partially offset by U.S. federal tax credits and tax benefits recognized on the sale of a portfolio of select standalone customer care contracts to Skyview Capital LLC. The 2018 rate was lower than the U.S. statutory tax rate of 21%, primarily due to pre-tax loss and tax from the divestitures, partially offset by U.S. foreign tax credits.</w:t>
      </w:r>
    </w:p>
    <w:p>
      <w:pPr>
        <w:spacing w:after="0" w:line="180" w:lineRule="exact"/>
        <w:rPr>
          <w:sz w:val="20"/>
          <w:szCs w:val="20"/>
          <w:color w:val="auto"/>
        </w:rPr>
      </w:pPr>
    </w:p>
    <w:p>
      <w:pPr>
        <w:ind w:right="340"/>
        <w:spacing w:after="0" w:line="264" w:lineRule="auto"/>
        <w:rPr>
          <w:sz w:val="20"/>
          <w:szCs w:val="20"/>
          <w:color w:val="auto"/>
        </w:rPr>
      </w:pPr>
      <w:r>
        <w:rPr>
          <w:rFonts w:ascii="Arial" w:cs="Arial" w:eastAsia="Arial" w:hAnsi="Arial"/>
          <w:sz w:val="14"/>
          <w:szCs w:val="14"/>
          <w:color w:val="auto"/>
        </w:rPr>
        <w:t>Excluding the impact of goodwill impairment, divestitures, the Texas litigation reserve, amortization and restructuring, the normalized effective tax rate for 2019 was 30.0%. The normalized effective tax rate of 25.1% for 2018, was predominantly impacted by the exclusion of divestitures, the Texas litigation reserve, the loss on extinguishment of debt, amortization, restructuring and divestiture related costs.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1" w:name="page42"/>
    <w:bookmarkEnd w:id="4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Operations Review of Segments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Our reportable segments correspond to how we organize and manage the business and are aligned to the industries in which our clients operate.</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We organize and manage our businesses through three reportable segments (Commercial Industries, Government Services and Transportation), Other operations and Shared IT / Infrastructure &amp; Corporate Costs.</w:t>
      </w:r>
    </w:p>
    <w:p>
      <w:pPr>
        <w:spacing w:after="0" w:line="172"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The section below provides a comparative discussion of our financial performance by segment between the year ended December 31, 2019 and 2018. See Item 7. MD&amp;A– Operations Review of Segment in our Annual Report on Form 10-K for the year ended December 31, 2018, for a comparative discussion of our consolidated results of operations between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color w:val="auto"/>
              </w:rPr>
              <w:t>Shared IT /</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9"/>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color w:val="auto"/>
              </w:rPr>
              <w:t>Commercial</w:t>
            </w:r>
          </w:p>
        </w:tc>
        <w:tc>
          <w:tcPr>
            <w:tcW w:w="1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color w:val="auto"/>
              </w:rPr>
              <w:t>Government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color w:val="auto"/>
              </w:rPr>
              <w:t>Infrastructure &amp;</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2"/>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Industries</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Services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Transportation</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92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rPr>
              <w:t>Corporate Costs</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Total</w:t>
            </w:r>
          </w:p>
        </w:tc>
      </w:tr>
      <w:tr>
        <w:trPr>
          <w:trHeight w:val="168"/>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Ended Dec 31, 2019</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Divestitures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rPr>
              <w:t>Other</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8"/>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Total Revenue</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3"/>
              <w:spacing w:after="0"/>
              <w:rPr>
                <w:sz w:val="20"/>
                <w:szCs w:val="20"/>
                <w:color w:val="auto"/>
              </w:rPr>
            </w:pPr>
            <w:r>
              <w:rPr>
                <w:rFonts w:ascii="Arial" w:cs="Arial" w:eastAsia="Arial" w:hAnsi="Arial"/>
                <w:sz w:val="11"/>
                <w:szCs w:val="11"/>
                <w:color w:val="auto"/>
              </w:rPr>
              <w:t>2,385</w:t>
            </w:r>
          </w:p>
        </w:tc>
        <w:tc>
          <w:tcPr>
            <w:tcW w:w="24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1,263</w:t>
            </w:r>
          </w:p>
        </w:tc>
        <w:tc>
          <w:tcPr>
            <w:tcW w:w="26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781</w:t>
            </w:r>
          </w:p>
        </w:tc>
        <w:tc>
          <w:tcPr>
            <w:tcW w:w="2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color w:val="auto"/>
              </w:rPr>
              <w:t>36</w:t>
            </w:r>
          </w:p>
        </w:tc>
        <w:tc>
          <w:tcPr>
            <w:tcW w:w="260" w:type="dxa"/>
            <w:vAlign w:val="bottom"/>
          </w:tcPr>
          <w:p>
            <w:pPr>
              <w:spacing w:after="0"/>
              <w:rPr>
                <w:sz w:val="13"/>
                <w:szCs w:val="13"/>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ind w:right="123"/>
              <w:spacing w:after="0"/>
              <w:rPr>
                <w:sz w:val="20"/>
                <w:szCs w:val="20"/>
                <w:color w:val="auto"/>
              </w:rPr>
            </w:pPr>
            <w:r>
              <w:rPr>
                <w:rFonts w:ascii="Arial" w:cs="Arial" w:eastAsia="Arial" w:hAnsi="Arial"/>
                <w:sz w:val="11"/>
                <w:szCs w:val="11"/>
                <w:color w:val="auto"/>
              </w:rPr>
              <w:t>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3"/>
              <w:spacing w:after="0"/>
              <w:rPr>
                <w:sz w:val="20"/>
                <w:szCs w:val="20"/>
                <w:color w:val="auto"/>
              </w:rPr>
            </w:pPr>
            <w:r>
              <w:rPr>
                <w:rFonts w:ascii="Arial" w:cs="Arial" w:eastAsia="Arial" w:hAnsi="Arial"/>
                <w:sz w:val="11"/>
                <w:szCs w:val="11"/>
                <w:color w:val="auto"/>
              </w:rPr>
              <w:t>4,467</w:t>
            </w:r>
          </w:p>
        </w:tc>
      </w:tr>
      <w:tr>
        <w:trPr>
          <w:trHeight w:val="17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448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394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120</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(690)</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273</w:t>
            </w:r>
          </w:p>
        </w:tc>
      </w:tr>
      <w:tr>
        <w:trPr>
          <w:trHeight w:val="168"/>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Adjusted EBITDA</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3"/>
              <w:spacing w:after="0"/>
              <w:rPr>
                <w:sz w:val="20"/>
                <w:szCs w:val="20"/>
                <w:color w:val="auto"/>
              </w:rPr>
            </w:pPr>
            <w:r>
              <w:rPr>
                <w:rFonts w:ascii="Arial" w:cs="Arial" w:eastAsia="Arial" w:hAnsi="Arial"/>
                <w:sz w:val="11"/>
                <w:szCs w:val="11"/>
                <w:color w:val="auto"/>
              </w:rPr>
              <w:t>542</w:t>
            </w:r>
          </w:p>
        </w:tc>
        <w:tc>
          <w:tcPr>
            <w:tcW w:w="24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423</w:t>
            </w:r>
          </w:p>
        </w:tc>
        <w:tc>
          <w:tcPr>
            <w:tcW w:w="26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157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(629)</w:t>
            </w:r>
          </w:p>
        </w:tc>
        <w:tc>
          <w:tcPr>
            <w:tcW w:w="26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3"/>
              <w:spacing w:after="0"/>
              <w:rPr>
                <w:sz w:val="20"/>
                <w:szCs w:val="20"/>
                <w:color w:val="auto"/>
              </w:rPr>
            </w:pPr>
            <w:r>
              <w:rPr>
                <w:rFonts w:ascii="Arial" w:cs="Arial" w:eastAsia="Arial" w:hAnsi="Arial"/>
                <w:sz w:val="11"/>
                <w:szCs w:val="11"/>
                <w:color w:val="auto"/>
              </w:rPr>
              <w:t>494</w:t>
            </w:r>
          </w:p>
        </w:tc>
      </w:tr>
      <w:tr>
        <w:trPr>
          <w:trHeight w:val="134"/>
        </w:trPr>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8"/>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53.4 %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28.3 %</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17.5 %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0.8 %</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760"/>
              <w:spacing w:after="0"/>
              <w:rPr>
                <w:sz w:val="20"/>
                <w:szCs w:val="20"/>
                <w:color w:val="auto"/>
              </w:rPr>
            </w:pPr>
            <w:r>
              <w:rPr>
                <w:rFonts w:ascii="Arial" w:cs="Arial" w:eastAsia="Arial" w:hAnsi="Arial"/>
                <w:sz w:val="11"/>
                <w:szCs w:val="11"/>
                <w:color w:val="auto"/>
              </w:rPr>
              <w:t>— %</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7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22.7 %</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20.1 %</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 %</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11.1 %</w:t>
            </w:r>
          </w:p>
        </w:tc>
      </w:tr>
      <w:tr>
        <w:trPr>
          <w:trHeight w:val="129"/>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Ended Dec 31, 2018</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Total Revenue</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3"/>
              <w:spacing w:after="0"/>
              <w:rPr>
                <w:sz w:val="20"/>
                <w:szCs w:val="20"/>
                <w:color w:val="auto"/>
              </w:rPr>
            </w:pPr>
            <w:r>
              <w:rPr>
                <w:rFonts w:ascii="Arial" w:cs="Arial" w:eastAsia="Arial" w:hAnsi="Arial"/>
                <w:sz w:val="11"/>
                <w:szCs w:val="11"/>
                <w:color w:val="auto"/>
              </w:rPr>
              <w:t>2,550</w:t>
            </w:r>
          </w:p>
        </w:tc>
        <w:tc>
          <w:tcPr>
            <w:tcW w:w="24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1,351</w:t>
            </w:r>
          </w:p>
        </w:tc>
        <w:tc>
          <w:tcPr>
            <w:tcW w:w="26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729</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752</w:t>
            </w:r>
          </w:p>
        </w:tc>
        <w:tc>
          <w:tcPr>
            <w:tcW w:w="26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3"/>
              <w:spacing w:after="0"/>
              <w:rPr>
                <w:sz w:val="20"/>
                <w:szCs w:val="20"/>
                <w:color w:val="auto"/>
              </w:rPr>
            </w:pPr>
            <w:r>
              <w:rPr>
                <w:rFonts w:ascii="Arial" w:cs="Arial" w:eastAsia="Arial" w:hAnsi="Arial"/>
                <w:sz w:val="11"/>
                <w:szCs w:val="11"/>
                <w:color w:val="auto"/>
              </w:rPr>
              <w:t>5,393</w:t>
            </w:r>
          </w:p>
        </w:tc>
      </w:tr>
      <w:tr>
        <w:trPr>
          <w:trHeight w:val="17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501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424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98</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(695)</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422</w:t>
            </w:r>
          </w:p>
        </w:tc>
      </w:tr>
      <w:tr>
        <w:trPr>
          <w:trHeight w:val="168"/>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Adjusted EBITDA</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123"/>
              <w:spacing w:after="0"/>
              <w:rPr>
                <w:sz w:val="20"/>
                <w:szCs w:val="20"/>
                <w:color w:val="auto"/>
              </w:rPr>
            </w:pPr>
            <w:r>
              <w:rPr>
                <w:rFonts w:ascii="Arial" w:cs="Arial" w:eastAsia="Arial" w:hAnsi="Arial"/>
                <w:sz w:val="11"/>
                <w:szCs w:val="11"/>
                <w:color w:val="auto"/>
              </w:rPr>
              <w:t>598</w:t>
            </w:r>
          </w:p>
        </w:tc>
        <w:tc>
          <w:tcPr>
            <w:tcW w:w="24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451</w:t>
            </w:r>
          </w:p>
        </w:tc>
        <w:tc>
          <w:tcPr>
            <w:tcW w:w="26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149</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105</w:t>
            </w:r>
          </w:p>
        </w:tc>
        <w:tc>
          <w:tcPr>
            <w:tcW w:w="26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(647)</w:t>
            </w:r>
          </w:p>
        </w:tc>
        <w:tc>
          <w:tcPr>
            <w:tcW w:w="26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3"/>
              <w:spacing w:after="0"/>
              <w:rPr>
                <w:sz w:val="20"/>
                <w:szCs w:val="20"/>
                <w:color w:val="auto"/>
              </w:rPr>
            </w:pPr>
            <w:r>
              <w:rPr>
                <w:rFonts w:ascii="Arial" w:cs="Arial" w:eastAsia="Arial" w:hAnsi="Arial"/>
                <w:sz w:val="11"/>
                <w:szCs w:val="11"/>
                <w:color w:val="auto"/>
              </w:rPr>
              <w:t>640</w:t>
            </w:r>
          </w:p>
        </w:tc>
      </w:tr>
      <w:tr>
        <w:trPr>
          <w:trHeight w:val="134"/>
        </w:trPr>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8"/>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47.3 %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25.1 %</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13.5 %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13.9 %</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0.2 %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760"/>
              <w:spacing w:after="0"/>
              <w:rPr>
                <w:sz w:val="20"/>
                <w:szCs w:val="20"/>
                <w:color w:val="auto"/>
              </w:rPr>
            </w:pPr>
            <w:r>
              <w:rPr>
                <w:rFonts w:ascii="Arial" w:cs="Arial" w:eastAsia="Arial" w:hAnsi="Arial"/>
                <w:sz w:val="11"/>
                <w:szCs w:val="11"/>
                <w:color w:val="auto"/>
              </w:rPr>
              <w:t>— %</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7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23.5 %</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20.4 %</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14.0 %</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 %</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11.9 %</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Commercial Industries Segment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Commercial Industries revenue for 2019 decreased, compared to the prior year period, primarily driven by contract losses, volume pressure, price pressure upon renewals, strategic exits and currency fluctuations. These losses were partially offset by revenue from new contracts.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219"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Decreases in the Commercial Industries segment profit and adjusted EBITDA margin for 2019, compared to the prior year period, were mainly driven by the overall revenue declines, partially offset by reductions in labor, IT and real estate costs from our transformation initiatives.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Government Services Segment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19"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Government Services revenue for 2019 decreased, compared to the prior year period, primarily driven by contract losses and pricing and scope changes associated with a large renewal. These declines were partially offset by ramp of new business.</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2" w:name="page43"/>
    <w:bookmarkEnd w:id="4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219"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Decreases in the Government Services segment profit and adjusted EBITDA margin for 2019, compared to the prior year period, were mainly driven by lower revenue, partially offset by lower IT and delivery costs.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Transportation Segment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Transportation revenue for 2019 increased, compared to the prior year period, primarily driven by ramp of new business and volume increases.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219"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Transportation segment profit and adjusted EBITDA margin for 2019 increased, compared to the prior year period, mainly driven by increased revenue and reduced IT platform spend.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19"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Other revenue for 2019 decreased, compared to the prior year period, driven mainly by the divestitures completed in 2018 and 2019 and the run-off of our Student Loan Services business.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(Loss) and Adjusted EBITDA</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Decreases in Other segment profit and adjusted EBITDA for 2019, compared to the prior year period, were primarily due to divestitures completed in 2019 and 2018 and the run-off of our Student Loan Services business.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Shared IT / Infrastructure &amp; Corporate Costs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Improvements in Shared IT/Infrastructure and Corporate costs for 2019, compared to the prior year period, were mainly due to reductions in corporate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Metrics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Signings</w:t>
      </w: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Signings are defined as estimated future revenues from contracts signed during the period, including renewals of existing contracts. Total Contract Value (TCV) is the estimated total contractual revenue related to signed contracts. The amounts in the following table exclude divestitures.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00"/>
              <w:spacing w:after="0"/>
              <w:rPr>
                <w:sz w:val="20"/>
                <w:szCs w:val="20"/>
                <w:color w:val="auto"/>
              </w:rPr>
            </w:pPr>
            <w:r>
              <w:rPr>
                <w:rFonts w:ascii="Arial" w:cs="Arial" w:eastAsia="Arial" w:hAnsi="Arial"/>
                <w:sz w:val="13"/>
                <w:szCs w:val="13"/>
                <w:color w:val="auto"/>
              </w:rPr>
              <w:t>Year Ended December 31,</w:t>
            </w:r>
          </w:p>
        </w:tc>
        <w:tc>
          <w:tcPr>
            <w:tcW w:w="220" w:type="dxa"/>
            <w:vAlign w:val="bottom"/>
          </w:tcPr>
          <w:p>
            <w:pPr>
              <w:spacing w:after="0"/>
              <w:rPr>
                <w:sz w:val="14"/>
                <w:szCs w:val="14"/>
                <w:color w:val="auto"/>
              </w:rPr>
            </w:pPr>
          </w:p>
        </w:tc>
        <w:tc>
          <w:tcPr>
            <w:tcW w:w="2520" w:type="dxa"/>
            <w:vAlign w:val="bottom"/>
            <w:gridSpan w:val="3"/>
          </w:tcPr>
          <w:p>
            <w:pPr>
              <w:jc w:val="right"/>
              <w:ind w:right="895"/>
              <w:spacing w:after="0"/>
              <w:rPr>
                <w:sz w:val="20"/>
                <w:szCs w:val="20"/>
                <w:color w:val="auto"/>
              </w:rPr>
            </w:pPr>
            <w:r>
              <w:rPr>
                <w:rFonts w:ascii="Arial" w:cs="Arial" w:eastAsia="Arial" w:hAnsi="Arial"/>
                <w:sz w:val="13"/>
                <w:szCs w:val="13"/>
                <w:color w:val="auto"/>
              </w:rPr>
              <w:t>2019 vs. 2018</w:t>
            </w:r>
          </w:p>
        </w:tc>
      </w:tr>
      <w:tr>
        <w:trPr>
          <w:trHeight w:val="160"/>
        </w:trPr>
        <w:tc>
          <w:tcPr>
            <w:tcW w:w="584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3"/>
                <w:szCs w:val="13"/>
                <w:color w:val="auto"/>
              </w:rPr>
              <w:t>2019</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95"/>
              <w:spacing w:after="0"/>
              <w:rPr>
                <w:sz w:val="20"/>
                <w:szCs w:val="20"/>
                <w:color w:val="auto"/>
              </w:rPr>
            </w:pPr>
            <w:r>
              <w:rPr>
                <w:rFonts w:ascii="Arial" w:cs="Arial" w:eastAsia="Arial" w:hAnsi="Arial"/>
                <w:sz w:val="13"/>
                <w:szCs w:val="13"/>
                <w:color w:val="auto"/>
              </w:rPr>
              <w:t>$ Change</w:t>
            </w: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7"/>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New business TCV</w:t>
            </w:r>
          </w:p>
        </w:tc>
        <w:tc>
          <w:tcPr>
            <w:tcW w:w="3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1,598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86"/>
        </w:trPr>
        <w:tc>
          <w:tcPr>
            <w:tcW w:w="584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Renewals TCV</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2,230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3,847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(1,617)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(42)%</w:t>
            </w:r>
          </w:p>
        </w:tc>
      </w:tr>
      <w:tr>
        <w:trPr>
          <w:trHeight w:val="217"/>
        </w:trPr>
        <w:tc>
          <w:tcPr>
            <w:tcW w:w="5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Total Signings</w:t>
            </w: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3,226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5,445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(2,219)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Annual recurring revenue signings</w:t>
            </w:r>
            <w:r>
              <w:rPr>
                <w:rFonts w:ascii="Arial" w:cs="Arial" w:eastAsia="Arial" w:hAnsi="Arial"/>
                <w:sz w:val="16"/>
                <w:szCs w:val="16"/>
                <w:color w:val="auto"/>
                <w:vertAlign w:val="superscript"/>
              </w:rPr>
              <w:t>(1)</w:t>
            </w:r>
          </w:p>
        </w:tc>
        <w:tc>
          <w:tcPr>
            <w:tcW w:w="3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246"/>
        </w:trPr>
        <w:tc>
          <w:tcPr>
            <w:tcW w:w="5840" w:type="dxa"/>
            <w:vAlign w:val="bottom"/>
            <w:gridSpan w:val="3"/>
          </w:tcPr>
          <w:p>
            <w:pPr>
              <w:ind w:left="20"/>
              <w:spacing w:after="0"/>
              <w:rPr>
                <w:sz w:val="20"/>
                <w:szCs w:val="20"/>
                <w:color w:val="auto"/>
              </w:rPr>
            </w:pPr>
            <w:r>
              <w:rPr>
                <w:rFonts w:ascii="Arial" w:cs="Arial" w:eastAsia="Arial" w:hAnsi="Arial"/>
                <w:sz w:val="13"/>
                <w:szCs w:val="13"/>
                <w:color w:val="auto"/>
              </w:rPr>
              <w:t>Non-recurring revenue signings</w:t>
            </w:r>
            <w:r>
              <w:rPr>
                <w:rFonts w:ascii="Arial" w:cs="Arial" w:eastAsia="Arial" w:hAnsi="Arial"/>
                <w:sz w:val="16"/>
                <w:szCs w:val="16"/>
                <w:color w:val="auto"/>
                <w:vertAlign w:val="superscript"/>
              </w:rPr>
              <w:t>(2)</w:t>
            </w: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5"/>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1"/>
                <w:szCs w:val="21"/>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5"/>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21"/>
                <w:szCs w:val="21"/>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(68)</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(29)%</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___________</w:t>
      </w:r>
    </w:p>
    <w:p>
      <w:pPr>
        <w:spacing w:after="0" w:line="43" w:lineRule="exact"/>
        <w:rPr>
          <w:sz w:val="20"/>
          <w:szCs w:val="20"/>
          <w:color w:val="auto"/>
        </w:rPr>
      </w:pPr>
    </w:p>
    <w:p>
      <w:pPr>
        <w:ind w:left="260" w:hanging="254"/>
        <w:spacing w:after="0"/>
        <w:tabs>
          <w:tab w:leader="none" w:pos="260" w:val="left"/>
        </w:tabs>
        <w:numPr>
          <w:ilvl w:val="0"/>
          <w:numId w:val="24"/>
        </w:numPr>
        <w:rPr>
          <w:rFonts w:ascii="Arial" w:cs="Arial" w:eastAsia="Arial" w:hAnsi="Arial"/>
          <w:sz w:val="11"/>
          <w:szCs w:val="11"/>
          <w:i w:val="1"/>
          <w:iCs w:val="1"/>
          <w:color w:val="auto"/>
        </w:rPr>
      </w:pPr>
      <w:r>
        <w:rPr>
          <w:rFonts w:ascii="Arial" w:cs="Arial" w:eastAsia="Arial" w:hAnsi="Arial"/>
          <w:sz w:val="11"/>
          <w:szCs w:val="11"/>
          <w:i w:val="1"/>
          <w:iCs w:val="1"/>
          <w:color w:val="auto"/>
        </w:rPr>
        <w:t>Recurring revenue signings are for new business contracts longer than one year.</w:t>
      </w:r>
    </w:p>
    <w:p>
      <w:pPr>
        <w:spacing w:after="0" w:line="45" w:lineRule="exact"/>
        <w:rPr>
          <w:rFonts w:ascii="Arial" w:cs="Arial" w:eastAsia="Arial" w:hAnsi="Arial"/>
          <w:sz w:val="11"/>
          <w:szCs w:val="11"/>
          <w:i w:val="1"/>
          <w:iCs w:val="1"/>
          <w:color w:val="auto"/>
        </w:rPr>
      </w:pPr>
    </w:p>
    <w:p>
      <w:pPr>
        <w:ind w:left="260" w:hanging="254"/>
        <w:spacing w:after="0"/>
        <w:tabs>
          <w:tab w:leader="none" w:pos="260" w:val="left"/>
        </w:tabs>
        <w:numPr>
          <w:ilvl w:val="0"/>
          <w:numId w:val="24"/>
        </w:numPr>
        <w:rPr>
          <w:rFonts w:ascii="Arial" w:cs="Arial" w:eastAsia="Arial" w:hAnsi="Arial"/>
          <w:sz w:val="11"/>
          <w:szCs w:val="11"/>
          <w:i w:val="1"/>
          <w:iCs w:val="1"/>
          <w:color w:val="auto"/>
        </w:rPr>
      </w:pPr>
      <w:r>
        <w:rPr>
          <w:rFonts w:ascii="Arial" w:cs="Arial" w:eastAsia="Arial" w:hAnsi="Arial"/>
          <w:sz w:val="11"/>
          <w:szCs w:val="11"/>
          <w:i w:val="1"/>
          <w:iCs w:val="1"/>
          <w:color w:val="auto"/>
        </w:rPr>
        <w:t>Non-recurring revenue signings are for contracts shorter than one year.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Signings for the 2019 decreased, compared to the prior year, primarily due to sales headcount challenges and market positioning.</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Renewal Rate</w:t>
      </w:r>
    </w:p>
    <w:p>
      <w:pPr>
        <w:spacing w:after="0" w:line="219"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Renewal rate is defined as the annual recurring revenue (ARR) on contracts that are renewed during the period as a percentage of ARR on all contracts for which a renewal decision was made during the period, excluding any contracts that were not renewed and where a strategic action to improve the risk or profitability had been initiated.</w:t>
      </w:r>
    </w:p>
    <w:p>
      <w:pPr>
        <w:spacing w:after="0" w:line="172"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Excluding our strategic decision not to renew certain contracts, renewal rates for 2019 and 2018 were 81% and 95%, respectively. A large part of the decline was attributable to the loss of our California Medicaid contract.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Capital Resources and Liquidity</w:t>
      </w:r>
    </w:p>
    <w:p>
      <w:pPr>
        <w:spacing w:after="0" w:line="223"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As of December 31, 2019 and 2018, total cash and cash equivalents were $496 million (of which approximately $124 million was cash in foreign locations) and $756 million (of which approximately $100 million was cash in foreign locations), respectively. The Company also has a $750 million revolving line of credit for its various cash needs, of which $83 million has been utilized for letters of credit as of December 31, 2019.</w:t>
      </w:r>
    </w:p>
    <w:p>
      <w:pPr>
        <w:spacing w:after="0" w:line="179"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As of December 31, 2019, there were $1.5 billion outstanding borrowings under our Credit Agreement of which $50 million was due within one year. Refer to Note 11 – Debt to the Consolidated Financial Statements for additional debt information.</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In January 2019, we acquired Health Solution Plus, a software provider of healthcare payer administration solutions for a total base consideration of $90 million. This acquisition is part of the Commercial Industries segment. Refer to Note 5 – Business Acquisition to the Consolidated Financial Statements for additional information regarding this acquisition.</w:t>
      </w:r>
    </w:p>
    <w:p>
      <w:pPr>
        <w:spacing w:after="0" w:line="17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February 2019, we reached a settlement agreement and release with the State of Texas ("State") and the Texas Department of Health and Human Services, which was amended in May 2019 ("Texas Agreement"). Pursuant to the terms of the Texas Agreement, the Company was required to pay the State $236 million, of which $118 million was paid in 2019 and the remaining $118 million paid in January 2020. Refer to Note 16 – Contingencies and Litigation to the Consolidated Financial Statements for additional information regarding this litigation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Capital Market Activity</w:t>
      </w:r>
      <w:r>
        <w:rPr>
          <w:rFonts w:ascii="Arial" w:cs="Arial" w:eastAsia="Arial" w:hAnsi="Arial"/>
          <w:sz w:val="14"/>
          <w:szCs w:val="14"/>
          <w:color w:val="auto"/>
        </w:rPr>
        <w:t xml:space="preserve"> section below for additional information regarding our capital activity.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Flow Analysis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our cash flows for the three years ended December 31, 2019, as reported in our Consolidated Statements of Cash Flows in the accompanying</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Consolidated Financial Statements: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Year Ended December 31,</w:t>
            </w: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Change</w:t>
            </w:r>
          </w:p>
        </w:tc>
      </w:tr>
      <w:tr>
        <w:trPr>
          <w:trHeight w:val="135"/>
        </w:trPr>
        <w:tc>
          <w:tcPr>
            <w:tcW w:w="6280" w:type="dxa"/>
            <w:vAlign w:val="bottom"/>
            <w:gridSpan w:val="3"/>
          </w:tcPr>
          <w:p>
            <w:pPr>
              <w:ind w:left="20"/>
              <w:spacing w:after="0"/>
              <w:rPr>
                <w:sz w:val="20"/>
                <w:szCs w:val="20"/>
                <w:color w:val="auto"/>
              </w:rPr>
            </w:pPr>
            <w:r>
              <w:rPr>
                <w:rFonts w:ascii="Arial" w:cs="Arial" w:eastAsia="Arial" w:hAnsi="Arial"/>
                <w:sz w:val="9"/>
                <w:szCs w:val="9"/>
                <w:color w:val="auto"/>
              </w:rPr>
              <w:t>(in millions)</w:t>
            </w:r>
          </w:p>
        </w:tc>
        <w:tc>
          <w:tcPr>
            <w:tcW w:w="400" w:type="dxa"/>
            <w:vAlign w:val="bottom"/>
          </w:tcPr>
          <w:p>
            <w:pPr>
              <w:spacing w:after="0"/>
              <w:rPr>
                <w:sz w:val="11"/>
                <w:szCs w:val="11"/>
                <w:color w:val="auto"/>
              </w:rPr>
            </w:pPr>
          </w:p>
        </w:tc>
        <w:tc>
          <w:tcPr>
            <w:tcW w:w="1280" w:type="dxa"/>
            <w:vAlign w:val="bottom"/>
          </w:tcPr>
          <w:p>
            <w:pPr>
              <w:jc w:val="right"/>
              <w:ind w:right="663"/>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jc w:val="right"/>
              <w:ind w:right="64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right"/>
              <w:ind w:right="403"/>
              <w:spacing w:after="0"/>
              <w:rPr>
                <w:sz w:val="20"/>
                <w:szCs w:val="20"/>
                <w:color w:val="auto"/>
              </w:rPr>
            </w:pPr>
            <w:r>
              <w:rPr>
                <w:rFonts w:ascii="Arial" w:cs="Arial" w:eastAsia="Arial" w:hAnsi="Arial"/>
                <w:sz w:val="11"/>
                <w:szCs w:val="11"/>
                <w:color w:val="auto"/>
              </w:rPr>
              <w:t>2019 vs. 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5"/>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(151)</w:t>
            </w:r>
          </w:p>
        </w:tc>
      </w:tr>
      <w:tr>
        <w:trPr>
          <w:trHeight w:val="168"/>
        </w:trPr>
        <w:tc>
          <w:tcPr>
            <w:tcW w:w="6280" w:type="dxa"/>
            <w:vAlign w:val="bottom"/>
            <w:gridSpan w:val="3"/>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4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1"/>
                <w:szCs w:val="11"/>
                <w:color w:val="auto"/>
              </w:rPr>
              <w:t>(310)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(770)</w:t>
            </w:r>
          </w:p>
        </w:tc>
      </w:tr>
      <w:tr>
        <w:trPr>
          <w:trHeight w:val="177"/>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552</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Operating Activities</w:t>
      </w:r>
    </w:p>
    <w:p>
      <w:pPr>
        <w:spacing w:after="0" w:line="223"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The decrease in cash generated from operating activities of $151 million, compared to the prior year period, was primarily attributable to $131 million of payments for the Texas and other litigation and lower adjusted EBITDA of $146 million, partially offset by lower cash income tax payments of $62 million, lower restructuring payments of $14 million and other working capital improvements of $50 million.</w:t>
      </w:r>
    </w:p>
    <w:p>
      <w:pPr>
        <w:spacing w:after="0" w:line="200" w:lineRule="exact"/>
        <w:rPr>
          <w:sz w:val="20"/>
          <w:szCs w:val="20"/>
          <w:color w:val="auto"/>
        </w:rPr>
      </w:pPr>
    </w:p>
    <w:p>
      <w:pPr>
        <w:spacing w:after="0" w:line="39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Investing Activities</w:t>
      </w:r>
    </w:p>
    <w:p>
      <w:pPr>
        <w:spacing w:after="0" w:line="223"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The increase in cash used in investing activities of $770 million, compared to the prior year period, was primarily due to the absence of the proceeds from the divestitures and asset sales in 2018, the acquisition of HSP and increased spending for capital expenditures related to modernizing our IT infrastructure for both customer-facing and internal functions in 2019.</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cash used in financing activities for 2019, compared to the prior year period, was related to lower debt repayments.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Accounts Receivable</w:t>
      </w:r>
    </w:p>
    <w:p>
      <w:pPr>
        <w:spacing w:after="0" w:line="223"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The net impact from the sales of accounts receivable on net cash provided by (used in) operating activities for the years ended December 31, 2019, 2018 and 2017 was $51 million, $23 million and $(3) million, respectively. The net impact from the sales of accounts receivable represents the difference between current and prior year fourth quarter accounts receivable sales adjusted for the effects of: (i) collections prior to the end of the year and (ii) currency.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Capital Market Activity</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On June 28, 2018, the Company entered into Amendment No. 3 (Amendment) to the December 7, 2016 Credit Agreement and in July 2018, the Company redeemed $476 million of its $510 million 10.5% Senior Notes due 2024.</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11 – Debt to the Consolidated Financial Statements for additional information on both Amendment No. 3 and the partial redemption of the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Financial Instruments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12 – Financial Instruments to the Consolidated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Contractual Cash Obligations and Other Commercial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2019, we had the following contractual cash obligations and other commercial commitments and contingencies:</w:t>
      </w:r>
    </w:p>
    <w:p>
      <w:pPr>
        <w:sectPr>
          <w:pgSz w:w="11900" w:h="16838" w:orient="portrait"/>
          <w:cols w:equalWidth="0" w:num="1">
            <w:col w:w="11440"/>
          </w:cols>
          <w:pgMar w:left="220" w:top="153"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9"/>
          <w:szCs w:val="9"/>
          <w:u w:val="single" w:color="auto"/>
          <w:color w:val="auto"/>
        </w:rPr>
        <w:t>(in millions)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1"/>
          <w:szCs w:val="11"/>
          <w:color w:val="auto"/>
        </w:rPr>
        <w:t>Total debt, including finance lease obligations</w:t>
      </w:r>
      <w:r>
        <w:rPr>
          <w:rFonts w:ascii="Arial" w:cs="Arial" w:eastAsia="Arial" w:hAnsi="Arial"/>
          <w:sz w:val="14"/>
          <w:szCs w:val="14"/>
          <w:color w:val="auto"/>
          <w:vertAlign w:val="superscript"/>
        </w:rPr>
        <w:t>(1)</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Interest on debt</w:t>
      </w:r>
      <w:r>
        <w:rPr>
          <w:rFonts w:ascii="Arial" w:cs="Arial" w:eastAsia="Arial" w:hAnsi="Arial"/>
          <w:sz w:val="14"/>
          <w:szCs w:val="14"/>
          <w:color w:val="auto"/>
          <w:vertAlign w:val="superscript"/>
        </w:rPr>
        <w:t>(2)</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Minimum operating lease commitments</w:t>
      </w:r>
      <w:r>
        <w:rPr>
          <w:rFonts w:ascii="Arial" w:cs="Arial" w:eastAsia="Arial" w:hAnsi="Arial"/>
          <w:sz w:val="14"/>
          <w:szCs w:val="14"/>
          <w:color w:val="auto"/>
          <w:vertAlign w:val="superscript"/>
        </w:rPr>
        <w:t>(3)</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1"/>
          <w:szCs w:val="11"/>
          <w:color w:val="auto"/>
        </w:rPr>
        <w:t>Estimated Purchase Commitments</w:t>
      </w:r>
      <w:r>
        <w:rPr>
          <w:rFonts w:ascii="Arial" w:cs="Arial" w:eastAsia="Arial" w:hAnsi="Arial"/>
          <w:sz w:val="14"/>
          <w:szCs w:val="14"/>
          <w:color w:val="auto"/>
          <w:vertAlign w:val="superscript"/>
        </w:rPr>
        <w:t>(4)</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Thereafter</w:t>
            </w:r>
          </w:p>
        </w:tc>
      </w:tr>
      <w:tr>
        <w:trPr>
          <w:trHeight w:val="266"/>
        </w:trPr>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23"/>
                <w:szCs w:val="2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3"/>
                <w:szCs w:val="2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571</w:t>
            </w:r>
          </w:p>
        </w:tc>
        <w:tc>
          <w:tcPr>
            <w:tcW w:w="100" w:type="dxa"/>
            <w:vAlign w:val="bottom"/>
          </w:tcPr>
          <w:p>
            <w:pPr>
              <w:spacing w:after="0"/>
              <w:rPr>
                <w:sz w:val="23"/>
                <w:szCs w:val="23"/>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23"/>
                <w:szCs w:val="2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3"/>
                <w:szCs w:val="2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291"/>
        </w:trPr>
        <w:tc>
          <w:tcPr>
            <w:tcW w:w="24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1</w:t>
            </w:r>
          </w:p>
        </w:tc>
      </w:tr>
      <w:tr>
        <w:trPr>
          <w:trHeight w:val="291"/>
        </w:trPr>
        <w:tc>
          <w:tcPr>
            <w:tcW w:w="24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62</w:t>
            </w:r>
          </w:p>
        </w:tc>
      </w:tr>
      <w:tr>
        <w:trPr>
          <w:trHeight w:val="177"/>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r>
      <w:tr>
        <w:trPr>
          <w:trHeight w:val="163"/>
        </w:trPr>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694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875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-805815</wp:posOffset>
            </wp:positionV>
            <wp:extent cx="7247255" cy="184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255" cy="18478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-436880</wp:posOffset>
            </wp:positionV>
            <wp:extent cx="7247255" cy="184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18478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-142875</wp:posOffset>
            </wp:positionV>
            <wp:extent cx="7247255" cy="130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13017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940" w:space="720"/>
            <w:col w:w="6780"/>
          </w:cols>
          <w:pgMar w:left="220" w:top="153" w:right="239" w:bottom="1440" w:gutter="0" w:footer="0" w:header="0"/>
          <w:type w:val="continuous"/>
        </w:sectPr>
      </w:pPr>
    </w:p>
    <w:p>
      <w:pPr>
        <w:spacing w:after="0"/>
        <w:rPr>
          <w:sz w:val="20"/>
          <w:szCs w:val="20"/>
          <w:color w:val="auto"/>
        </w:rPr>
      </w:pPr>
      <w:r>
        <w:rPr>
          <w:rFonts w:ascii="Arial" w:cs="Arial" w:eastAsia="Arial" w:hAnsi="Arial"/>
          <w:sz w:val="11"/>
          <w:szCs w:val="11"/>
          <w:i w:val="1"/>
          <w:iCs w:val="1"/>
          <w:color w:val="auto"/>
        </w:rPr>
        <w:t>_______________</w:t>
      </w:r>
    </w:p>
    <w:p>
      <w:pPr>
        <w:spacing w:after="0" w:line="46" w:lineRule="exact"/>
        <w:rPr>
          <w:sz w:val="20"/>
          <w:szCs w:val="20"/>
          <w:color w:val="auto"/>
        </w:rPr>
      </w:pPr>
    </w:p>
    <w:p>
      <w:pPr>
        <w:ind w:left="260" w:hanging="254"/>
        <w:spacing w:after="0"/>
        <w:tabs>
          <w:tab w:leader="none" w:pos="26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Total debt represents principal debt and finance leases. Refer to Note 11 – Debt to the Consolidated Financial Statements for additional information regarding debt.</w:t>
      </w:r>
    </w:p>
    <w:p>
      <w:pPr>
        <w:spacing w:after="0" w:line="14" w:lineRule="exact"/>
        <w:rPr>
          <w:rFonts w:ascii="Arial" w:cs="Arial" w:eastAsia="Arial" w:hAnsi="Arial"/>
          <w:sz w:val="11"/>
          <w:szCs w:val="11"/>
          <w:i w:val="1"/>
          <w:iCs w:val="1"/>
          <w:color w:val="auto"/>
        </w:rPr>
      </w:pPr>
    </w:p>
    <w:p>
      <w:pPr>
        <w:ind w:left="260" w:hanging="254"/>
        <w:spacing w:after="0"/>
        <w:tabs>
          <w:tab w:leader="none" w:pos="26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interest on debt. Refer to Note 11 – Debt in the Consolidated Financial Statements for additional information.</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Refer to Note 1 – Basis of Presentation and Summary of Significant Accounting Policies to the Consolidated Financial Statements for additional information.</w:t>
      </w:r>
    </w:p>
    <w:p>
      <w:pPr>
        <w:spacing w:after="0" w:line="2" w:lineRule="exact"/>
        <w:rPr>
          <w:rFonts w:ascii="Arial" w:cs="Arial" w:eastAsia="Arial" w:hAnsi="Arial"/>
          <w:sz w:val="11"/>
          <w:szCs w:val="11"/>
          <w:i w:val="1"/>
          <w:iCs w:val="1"/>
          <w:color w:val="auto"/>
        </w:rPr>
      </w:pPr>
    </w:p>
    <w:p>
      <w:pPr>
        <w:ind w:left="260" w:right="220" w:hanging="254"/>
        <w:spacing w:after="0" w:line="266" w:lineRule="auto"/>
        <w:tabs>
          <w:tab w:leader="none" w:pos="249"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Other purchase commitments: We enter into other purchase commitments with vendors in the ordinary course of business. Our policy with respect to all purchase commitments is to record losses, if any, when they are probable and reasonably estimable. We currently do not have, nor do we anticipate, material loss contracts.</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The table above does not include the amounts payable under the Texas Agreement. Refer to Note 16 – Contingencies and Litigation to the Consolidated Financial Statements for additional information.</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type w:val="continuous"/>
        </w:sectPr>
      </w:pPr>
    </w:p>
    <w:bookmarkStart w:id="45" w:name="page46"/>
    <w:bookmarkEnd w:id="4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 and Commitments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As more fully discussed in Note 16 – Contingencies and Litigation to the Consolidated Financial Statements, we are involved in a variety of claims, lawsuits, investigations and proceedings concerning: securities law; governmental entity contracting, servicing and procurement law; intellectual property law; employment law; the Employee Retirement Income Security Act (ERISA); and other laws and regulations. In addition, guarantees, indemnifications and claims may arise during the ordinary course of business from relationships with suppliers, customers and non-consolidated affiliates. Nonperformance under a contract including a guarantee, indemnification or claim could trigger an obligation of the Company.</w:t>
      </w:r>
    </w:p>
    <w:p>
      <w:pPr>
        <w:spacing w:after="0" w:line="35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Off-Balance Sheet Arrangements</w:t>
      </w:r>
    </w:p>
    <w:p>
      <w:pPr>
        <w:spacing w:after="0" w:line="223"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As of December 31, 2019,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spacing w:after="0" w:line="172"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In addition, refer to the preceding table for the Company's contractual cash obligations and other commercial commitments and Note 16 – Contingencies and Litigation to the Consolidated Financial Statements for additional information regarding contingencies, guarantees and indemnifications.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7A. QUANTITATIVE AND QUALITATIVE DISCLOSURES ABOUT MARKET RISK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Market Risk</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through the use of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180"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Recent market events have not caused us to materially modify or change our financial risk management strategies with respect to our exposures to foreign currency risk. Refer to Note 12 – Financial Instruments to the Consolidated Financial Statements for additional discussion on our financial risk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Exchange Risk Management</w:t>
      </w:r>
    </w:p>
    <w:p>
      <w:pPr>
        <w:spacing w:after="0" w:line="223"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Assuming a 10% appreciation or depreciation in foreign currency exchange rates from the quoted foreign currency exchange rates at December 31, 2019, the potential change in the fair value of foreign currency-denominated assets and liabilities in each entity would not be significant because all material currency asset and liability exposures were economically hedged as of December 31, 2019. A 10% appreciation or depreciation of the U.S. Dollar against all currencies from the quoted foreign currency exchange rates at December 31, 2019 would have an impact on our cumulative translation adjustment portion of equity of approximately $32 million. The net amount invested in foreign subsidiaries and affiliates, primarily in the U.K. and Europe, and translated into U.S. Dollars using the year-end exchange rates, was approximately $320 million at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Rate Risk Management</w:t>
      </w:r>
    </w:p>
    <w:p>
      <w:pPr>
        <w:spacing w:after="0" w:line="223"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The consolidated weighted-average interest rates related to our total debt for 2019 approximated 3.42% for Term A Loan due 2021, 5.48% for Term B Loan due 2023, 10.91% for Senior Notes due 2024 and 4.79% for finance lease obligations. As of December 31, 2019, $1,505 million of our total debt of $1,539 million carried variable interest rates. The fair values of our fixed rate financial instruments are sensitive to changes in interest rates and at December 31, 2019, a 10% increase in market interest rates would decrease the fair values of such financial instruments by approximately $4 million. A 10% decrease in market interest rates would increase the fair values of such financial instruments by approximately $6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8. FINANCIAL STATEMENTS AND SUPPLEMENTARY DATA</w:t>
      </w:r>
    </w:p>
    <w:p>
      <w:pPr>
        <w:spacing w:after="0" w:line="201"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Conduent Incorporated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22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audited the accompanying consolidated balance sheets of Conduent Incorporated and its subsidiaries (the “Company”) as of December 31, 2019 and 2018, and the related consolidated statements of income (loss), of comprehensive income (loss), of shareholders' equity and of cash flows for each of the three years in the period ended December 31, 2019, including the related notes and schedule of valuation and qualifying accounts for each of the three years in the period ended December 31, 2019 listed in the index appearing under Item 15(a)(2)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334"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Accounting Principles</w:t>
      </w:r>
    </w:p>
    <w:p>
      <w:pPr>
        <w:spacing w:after="0" w:line="208"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As discussed in Note 1 to the consolidated financial statements, the Company changed the manner in which it accounts for leases in 2019 and the manner in which it accounts for revenues from contracts with customers in 2018.</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280"/>
        <w:spacing w:after="0" w:line="23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210"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ind w:right="60" w:firstLine="6"/>
        <w:spacing w:after="0" w:line="246" w:lineRule="auto"/>
        <w:tabs>
          <w:tab w:leader="none" w:pos="199"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45" w:lineRule="exact"/>
        <w:rPr>
          <w:sz w:val="20"/>
          <w:szCs w:val="20"/>
          <w:color w:val="auto"/>
        </w:rPr>
      </w:pPr>
    </w:p>
    <w:p>
      <w:pPr>
        <w:ind w:right="320"/>
        <w:spacing w:after="0" w:line="24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200"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Impairment Assessment</w:t>
      </w:r>
    </w:p>
    <w:p>
      <w:pPr>
        <w:spacing w:after="0" w:line="198"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As described in Notes 1 and 8 to the consolidated financial statements, the Company’s consolidated goodwill balance was $1,502 million as of December 31, 2019. The goodwill associated with the Commercial Industries reportable segment, Government Services reportable segment and Transportation reporting segment was $821 million, $621 million and $60 million, respectively. Management tests goodwill for impairment annually or more frequently if an event or change in circumstances indicate the asset may be impaired. As disclosed by management, the annual quantitative impairment test of goodwill was performed as of October 1, 2019. Impairment testing for goodwill is done at the reporting unit level. The fair value of reporting units is determined using a combination of both an income approach and a market approach. The income approach utilizes a discounted cash flow analysis based upon the forecasted future business results of reporting units.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 In Q1 and Q2 2019, the Company experienced unanticipated losses of certain customer contracts, lower potential future volumes, lower than expected new customer contracts and higher costs of delivery. This led to actual results being below budget and a further downward revision of the long-term forecast across all the Company's reporting units (Financial Services &amp; Healthcare, Consumer &amp; Industrial, Europe (together comprising Commercial Industries), Government Services, and Transportation). As a consequence of the business performance and the strategy pivot due to changes in management that occurred in the second quarter, the Company lowered its sales outlook, average margin expectation for future years, and increased its weighted average cost of capital. Based upon the events that occurred during Q1 and Q2 2019, management performed interim goodwill impairment assessments for all its reporting units which resulted in a pre-tax impairment charge of $284 million in Q1 and approximately $1.1 billion in Q2. No impairment was identified during the annual impairment test performed as of October 1, 2019. Subsequent to completing the annual impairment test, the Company experienced further unanticipated contract losses within the Government Services reporting unit, and as result, management performed a goodwill impairment assessment for this reporting unit as of December 31, 2019 which resulted in a pre-tax impairment charge of $512 million. As disclosed by management, the most significant assumptions used in the goodwill analysis relate to the long-term organic growth rates as well as the discount rates.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The principal considerations for our determination that performing procedures relating to the goodwill impairment assessment is a critical audit matter are that there was significant judgment by management when determining the fair value measurement of the reporting units. This in turn led to a high degree of auditor judgment, effort, and subjectivity in performing procedures to evaluate management’s cash flow projections, including significant assumptions related to the long-term organic growth rates and the discount rates. In addition, the audit effort involved the use of professionals with specialized skill and knowledge to assist in performing these procedures and evaluating the audit evidence obtained.</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goodwill impairment assessment, including controls over the determination of the fair value of the Company’s reporting units. These procedures also included, among others, testing management’s process for determining the fair value estimate; evaluating the appropriateness of the discounted cash flow analysis; testing the completeness, accuracy and relevance of underlying data used in the estimate; and evaluating the significant assumptions used by management, including the long-term organic growth rates and the discount rates. Evaluating management’s assumptions related to the long-term organic growth rates involved evaluating whether the assumptions used were reasonable considering (i) the current and past performance of each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analysis and certain significant assumptions, including the discount rates.</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4"/>
          <w:szCs w:val="14"/>
          <w:color w:val="auto"/>
        </w:rPr>
        <w:t>/s/</w:t>
        <w:tab/>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15150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5150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26, 2020</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REPORTS OF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Management's Responsibility for Financial Statements</w:t>
      </w:r>
    </w:p>
    <w:p>
      <w:pPr>
        <w:spacing w:after="0" w:line="15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80"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free access to the Audit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CLIFFORD SKELTON</w:t>
            </w:r>
          </w:p>
        </w:tc>
        <w:tc>
          <w:tcPr>
            <w:tcW w:w="100" w:type="dxa"/>
            <w:vAlign w:val="bottom"/>
          </w:tcPr>
          <w:p>
            <w:pPr>
              <w:spacing w:after="0"/>
              <w:rPr>
                <w:sz w:val="15"/>
                <w:szCs w:val="15"/>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BRIAN WEBB-WALSH</w:t>
            </w:r>
          </w:p>
        </w:tc>
        <w:tc>
          <w:tcPr>
            <w:tcW w:w="100" w:type="dxa"/>
            <w:vAlign w:val="bottom"/>
          </w:tcPr>
          <w:p>
            <w:pPr>
              <w:spacing w:after="0"/>
              <w:rPr>
                <w:sz w:val="15"/>
                <w:szCs w:val="15"/>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MARIO A. POMPEO</w:t>
            </w:r>
          </w:p>
        </w:tc>
      </w:tr>
      <w:tr>
        <w:trPr>
          <w:trHeight w:val="134"/>
        </w:trPr>
        <w:tc>
          <w:tcPr>
            <w:tcW w:w="4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Chief Executive Officer</w:t>
            </w:r>
          </w:p>
        </w:tc>
        <w:tc>
          <w:tcPr>
            <w:tcW w:w="3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Chief Financial Officer</w:t>
            </w:r>
          </w:p>
        </w:tc>
        <w:tc>
          <w:tcPr>
            <w:tcW w:w="3720" w:type="dxa"/>
            <w:vAlign w:val="bottom"/>
          </w:tcPr>
          <w:p>
            <w:pPr>
              <w:jc w:val="center"/>
              <w:spacing w:after="0"/>
              <w:rPr>
                <w:sz w:val="20"/>
                <w:szCs w:val="20"/>
                <w:color w:val="auto"/>
              </w:rPr>
            </w:pPr>
            <w:r>
              <w:rPr>
                <w:rFonts w:ascii="Arial" w:cs="Arial" w:eastAsia="Arial" w:hAnsi="Arial"/>
                <w:sz w:val="10"/>
                <w:szCs w:val="10"/>
                <w:b w:val="1"/>
                <w:bCs w:val="1"/>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INCOME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r>
        <w:trPr>
          <w:trHeight w:val="135"/>
        </w:trPr>
        <w:tc>
          <w:tcPr>
            <w:tcW w:w="6200" w:type="dxa"/>
            <w:vAlign w:val="bottom"/>
            <w:gridSpan w:val="4"/>
          </w:tcPr>
          <w:p>
            <w:pPr>
              <w:ind w:left="20"/>
              <w:spacing w:after="0"/>
              <w:rPr>
                <w:sz w:val="20"/>
                <w:szCs w:val="20"/>
                <w:color w:val="auto"/>
              </w:rPr>
            </w:pPr>
            <w:r>
              <w:rPr>
                <w:rFonts w:ascii="Arial" w:cs="Arial" w:eastAsia="Arial" w:hAnsi="Arial"/>
                <w:sz w:val="10"/>
                <w:szCs w:val="10"/>
                <w:color w:val="auto"/>
              </w:rPr>
              <w:t>(in millions, except per-share data)</w:t>
            </w:r>
          </w:p>
        </w:tc>
        <w:tc>
          <w:tcPr>
            <w:tcW w:w="400" w:type="dxa"/>
            <w:vAlign w:val="bottom"/>
          </w:tcPr>
          <w:p>
            <w:pPr>
              <w:spacing w:after="0"/>
              <w:rPr>
                <w:sz w:val="11"/>
                <w:szCs w:val="11"/>
                <w:color w:val="auto"/>
              </w:rPr>
            </w:pPr>
          </w:p>
        </w:tc>
        <w:tc>
          <w:tcPr>
            <w:tcW w:w="1280" w:type="dxa"/>
            <w:vAlign w:val="bottom"/>
          </w:tcPr>
          <w:p>
            <w:pPr>
              <w:jc w:val="right"/>
              <w:ind w:right="66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ind w:right="66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jc w:val="right"/>
              <w:ind w:right="66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5"/>
        </w:trPr>
        <w:tc>
          <w:tcPr>
            <w:tcW w:w="620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4,467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5,393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6,022</w:t>
            </w:r>
          </w:p>
        </w:tc>
      </w:tr>
      <w:tr>
        <w:trPr>
          <w:trHeight w:val="146"/>
        </w:trPr>
        <w:tc>
          <w:tcPr>
            <w:tcW w:w="2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Operating Costs and Expenses</w:t>
            </w:r>
          </w:p>
        </w:tc>
        <w:tc>
          <w:tcPr>
            <w:tcW w:w="4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8"/>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Cost of services (excluding depreciation and amortization)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4,730</w:t>
            </w:r>
          </w:p>
        </w:tc>
      </w:tr>
      <w:tr>
        <w:trPr>
          <w:trHeight w:val="168"/>
        </w:trPr>
        <w:tc>
          <w:tcPr>
            <w:tcW w:w="20" w:type="dxa"/>
            <w:vAlign w:val="bottom"/>
          </w:tcPr>
          <w:p>
            <w:pPr>
              <w:spacing w:after="0"/>
              <w:rPr>
                <w:sz w:val="14"/>
                <w:szCs w:val="14"/>
                <w:color w:val="auto"/>
              </w:rPr>
            </w:pPr>
          </w:p>
        </w:tc>
        <w:tc>
          <w:tcPr>
            <w:tcW w:w="6180" w:type="dxa"/>
            <w:vAlign w:val="bottom"/>
            <w:gridSpan w:val="3"/>
          </w:tcPr>
          <w:p>
            <w:pPr>
              <w:ind w:left="8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40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479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3"/>
              <w:spacing w:after="0"/>
              <w:rPr>
                <w:sz w:val="20"/>
                <w:szCs w:val="20"/>
                <w:color w:val="auto"/>
              </w:rPr>
            </w:pPr>
            <w:r>
              <w:rPr>
                <w:rFonts w:ascii="Arial" w:cs="Arial" w:eastAsia="Arial" w:hAnsi="Arial"/>
                <w:sz w:val="11"/>
                <w:szCs w:val="11"/>
                <w:color w:val="auto"/>
              </w:rPr>
              <w:t>560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611</w:t>
            </w: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Research and development (excluding depreciation and amortization)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w:t>
            </w:r>
          </w:p>
        </w:tc>
      </w:tr>
      <w:tr>
        <w:trPr>
          <w:trHeight w:val="168"/>
        </w:trPr>
        <w:tc>
          <w:tcPr>
            <w:tcW w:w="20" w:type="dxa"/>
            <w:vAlign w:val="bottom"/>
          </w:tcPr>
          <w:p>
            <w:pPr>
              <w:spacing w:after="0"/>
              <w:rPr>
                <w:sz w:val="14"/>
                <w:szCs w:val="14"/>
                <w:color w:val="auto"/>
              </w:rPr>
            </w:pPr>
          </w:p>
        </w:tc>
        <w:tc>
          <w:tcPr>
            <w:tcW w:w="6180" w:type="dxa"/>
            <w:vAlign w:val="bottom"/>
            <w:gridSpan w:val="3"/>
          </w:tcPr>
          <w:p>
            <w:pPr>
              <w:ind w:left="80"/>
              <w:spacing w:after="0"/>
              <w:rPr>
                <w:sz w:val="20"/>
                <w:szCs w:val="20"/>
                <w:color w:val="auto"/>
              </w:rPr>
            </w:pPr>
            <w:r>
              <w:rPr>
                <w:rFonts w:ascii="Arial" w:cs="Arial" w:eastAsia="Arial" w:hAnsi="Arial"/>
                <w:sz w:val="11"/>
                <w:szCs w:val="11"/>
                <w:color w:val="auto"/>
              </w:rPr>
              <w:t>Depreciation and amortization</w:t>
            </w:r>
          </w:p>
        </w:tc>
        <w:tc>
          <w:tcPr>
            <w:tcW w:w="40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3"/>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495</w:t>
            </w: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Restructuring and related costs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101</w:t>
            </w:r>
          </w:p>
        </w:tc>
      </w:tr>
      <w:tr>
        <w:trPr>
          <w:trHeight w:val="168"/>
        </w:trPr>
        <w:tc>
          <w:tcPr>
            <w:tcW w:w="20" w:type="dxa"/>
            <w:vAlign w:val="bottom"/>
          </w:tcPr>
          <w:p>
            <w:pPr>
              <w:spacing w:after="0"/>
              <w:rPr>
                <w:sz w:val="14"/>
                <w:szCs w:val="14"/>
                <w:color w:val="auto"/>
              </w:rPr>
            </w:pPr>
          </w:p>
        </w:tc>
        <w:tc>
          <w:tcPr>
            <w:tcW w:w="6180" w:type="dxa"/>
            <w:vAlign w:val="bottom"/>
            <w:gridSpan w:val="3"/>
          </w:tcPr>
          <w:p>
            <w:pPr>
              <w:ind w:left="80"/>
              <w:spacing w:after="0"/>
              <w:rPr>
                <w:sz w:val="20"/>
                <w:szCs w:val="20"/>
                <w:color w:val="auto"/>
              </w:rPr>
            </w:pPr>
            <w:r>
              <w:rPr>
                <w:rFonts w:ascii="Arial" w:cs="Arial" w:eastAsia="Arial" w:hAnsi="Arial"/>
                <w:sz w:val="11"/>
                <w:szCs w:val="11"/>
                <w:color w:val="auto"/>
              </w:rPr>
              <w:t>Interest expense</w:t>
            </w:r>
          </w:p>
        </w:tc>
        <w:tc>
          <w:tcPr>
            <w:tcW w:w="40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3"/>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137</w:t>
            </w: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(Gain) loss on extinguishment of debt</w:t>
            </w:r>
          </w:p>
        </w:tc>
        <w:tc>
          <w:tcPr>
            <w:tcW w:w="4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8"/>
        </w:trPr>
        <w:tc>
          <w:tcPr>
            <w:tcW w:w="20" w:type="dxa"/>
            <w:vAlign w:val="bottom"/>
          </w:tcPr>
          <w:p>
            <w:pPr>
              <w:spacing w:after="0"/>
              <w:rPr>
                <w:sz w:val="14"/>
                <w:szCs w:val="14"/>
                <w:color w:val="auto"/>
              </w:rPr>
            </w:pPr>
          </w:p>
        </w:tc>
        <w:tc>
          <w:tcPr>
            <w:tcW w:w="6180" w:type="dxa"/>
            <w:vAlign w:val="bottom"/>
            <w:gridSpan w:val="3"/>
          </w:tcPr>
          <w:p>
            <w:pPr>
              <w:ind w:left="80"/>
              <w:spacing w:after="0"/>
              <w:rPr>
                <w:sz w:val="20"/>
                <w:szCs w:val="20"/>
                <w:color w:val="auto"/>
              </w:rPr>
            </w:pPr>
            <w:r>
              <w:rPr>
                <w:rFonts w:ascii="Arial" w:cs="Arial" w:eastAsia="Arial" w:hAnsi="Arial"/>
                <w:sz w:val="11"/>
                <w:szCs w:val="11"/>
                <w:color w:val="auto"/>
              </w:rPr>
              <w:t>Goodwill impairment</w:t>
            </w:r>
          </w:p>
        </w:tc>
        <w:tc>
          <w:tcPr>
            <w:tcW w:w="40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1,952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(Gain) loss on divestitures and transaction costs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w:t>
            </w:r>
          </w:p>
        </w:tc>
      </w:tr>
      <w:tr>
        <w:trPr>
          <w:trHeight w:val="168"/>
        </w:trPr>
        <w:tc>
          <w:tcPr>
            <w:tcW w:w="20" w:type="dxa"/>
            <w:vAlign w:val="bottom"/>
          </w:tcPr>
          <w:p>
            <w:pPr>
              <w:spacing w:after="0"/>
              <w:rPr>
                <w:sz w:val="14"/>
                <w:szCs w:val="14"/>
                <w:color w:val="auto"/>
              </w:rPr>
            </w:pPr>
          </w:p>
        </w:tc>
        <w:tc>
          <w:tcPr>
            <w:tcW w:w="6180" w:type="dxa"/>
            <w:vAlign w:val="bottom"/>
            <w:gridSpan w:val="3"/>
          </w:tcPr>
          <w:p>
            <w:pPr>
              <w:ind w:left="80"/>
              <w:spacing w:after="0"/>
              <w:rPr>
                <w:sz w:val="20"/>
                <w:szCs w:val="20"/>
                <w:color w:val="auto"/>
              </w:rPr>
            </w:pPr>
            <w:r>
              <w:rPr>
                <w:rFonts w:ascii="Arial" w:cs="Arial" w:eastAsia="Arial" w:hAnsi="Arial"/>
                <w:sz w:val="11"/>
                <w:szCs w:val="11"/>
                <w:color w:val="auto"/>
              </w:rPr>
              <w:t>Litigation costs (recoveries), net</w:t>
            </w:r>
          </w:p>
        </w:tc>
        <w:tc>
          <w:tcPr>
            <w:tcW w:w="40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3"/>
              <w:spacing w:after="0"/>
              <w:rPr>
                <w:sz w:val="20"/>
                <w:szCs w:val="20"/>
                <w:color w:val="auto"/>
              </w:rPr>
            </w:pPr>
            <w:r>
              <w:rPr>
                <w:rFonts w:ascii="Arial" w:cs="Arial" w:eastAsia="Arial" w:hAnsi="Arial"/>
                <w:sz w:val="11"/>
                <w:szCs w:val="11"/>
                <w:color w:val="auto"/>
              </w:rPr>
              <w:t>227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(11)</w:t>
            </w: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Separation costs</w:t>
            </w:r>
          </w:p>
        </w:tc>
        <w:tc>
          <w:tcPr>
            <w:tcW w:w="4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w:t>
            </w:r>
          </w:p>
        </w:tc>
      </w:tr>
      <w:tr>
        <w:trPr>
          <w:trHeight w:val="168"/>
        </w:trPr>
        <w:tc>
          <w:tcPr>
            <w:tcW w:w="20" w:type="dxa"/>
            <w:vAlign w:val="bottom"/>
            <w:tcBorders>
              <w:bottom w:val="single" w:sz="8" w:color="CCEEFF"/>
            </w:tcBorders>
          </w:tcPr>
          <w:p>
            <w:pPr>
              <w:spacing w:after="0"/>
              <w:rPr>
                <w:sz w:val="14"/>
                <w:szCs w:val="14"/>
                <w:color w:val="auto"/>
              </w:rPr>
            </w:pPr>
          </w:p>
        </w:tc>
        <w:tc>
          <w:tcPr>
            <w:tcW w:w="6180" w:type="dxa"/>
            <w:vAlign w:val="bottom"/>
            <w:tcBorders>
              <w:bottom w:val="single" w:sz="8" w:color="CCEEFF"/>
            </w:tcBorders>
            <w:gridSpan w:val="3"/>
          </w:tcPr>
          <w:p>
            <w:pPr>
              <w:ind w:left="80"/>
              <w:spacing w:after="0"/>
              <w:rPr>
                <w:sz w:val="20"/>
                <w:szCs w:val="20"/>
                <w:color w:val="auto"/>
              </w:rPr>
            </w:pPr>
            <w:r>
              <w:rPr>
                <w:rFonts w:ascii="Arial" w:cs="Arial" w:eastAsia="Arial" w:hAnsi="Arial"/>
                <w:sz w:val="11"/>
                <w:szCs w:val="11"/>
                <w:color w:val="auto"/>
              </w:rPr>
              <w:t>Other (income) expenses, net</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w:t>
            </w:r>
          </w:p>
        </w:tc>
      </w:tr>
      <w:tr>
        <w:trPr>
          <w:trHeight w:val="168"/>
        </w:trPr>
        <w:tc>
          <w:tcPr>
            <w:tcW w:w="620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Total Operating Costs and Expenses</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6,573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5,788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6,038</w:t>
            </w:r>
          </w:p>
        </w:tc>
      </w:tr>
      <w:tr>
        <w:trPr>
          <w:trHeight w:val="158"/>
        </w:trPr>
        <w:tc>
          <w:tcPr>
            <w:tcW w:w="6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400" w:type="dxa"/>
            <w:vAlign w:val="bottom"/>
          </w:tcPr>
          <w:p>
            <w:pPr>
              <w:spacing w:after="0"/>
              <w:rPr>
                <w:sz w:val="13"/>
                <w:szCs w:val="13"/>
                <w:color w:val="auto"/>
              </w:rPr>
            </w:pPr>
          </w:p>
        </w:tc>
        <w:tc>
          <w:tcPr>
            <w:tcW w:w="1280" w:type="dxa"/>
            <w:vAlign w:val="bottom"/>
          </w:tcPr>
          <w:p>
            <w:pPr>
              <w:jc w:val="right"/>
              <w:ind w:right="43"/>
              <w:spacing w:after="0"/>
              <w:rPr>
                <w:sz w:val="20"/>
                <w:szCs w:val="20"/>
                <w:color w:val="auto"/>
              </w:rPr>
            </w:pPr>
            <w:r>
              <w:rPr>
                <w:rFonts w:ascii="Arial" w:cs="Arial" w:eastAsia="Arial" w:hAnsi="Arial"/>
                <w:sz w:val="11"/>
                <w:szCs w:val="11"/>
                <w:color w:val="auto"/>
              </w:rPr>
              <w:t>(2,106)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63"/>
              <w:spacing w:after="0"/>
              <w:rPr>
                <w:sz w:val="20"/>
                <w:szCs w:val="20"/>
                <w:color w:val="auto"/>
              </w:rPr>
            </w:pPr>
            <w:r>
              <w:rPr>
                <w:rFonts w:ascii="Arial" w:cs="Arial" w:eastAsia="Arial" w:hAnsi="Arial"/>
                <w:sz w:val="11"/>
                <w:szCs w:val="11"/>
                <w:color w:val="auto"/>
              </w:rPr>
              <w:t>(395)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(16)</w:t>
            </w: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Income tax expense (benefit)</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(193)</w:t>
            </w:r>
          </w:p>
        </w:tc>
      </w:tr>
      <w:tr>
        <w:trPr>
          <w:trHeight w:val="158"/>
        </w:trPr>
        <w:tc>
          <w:tcPr>
            <w:tcW w:w="6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Income (Loss) From Continuing Operations</w:t>
            </w:r>
          </w:p>
        </w:tc>
        <w:tc>
          <w:tcPr>
            <w:tcW w:w="400" w:type="dxa"/>
            <w:vAlign w:val="bottom"/>
          </w:tcPr>
          <w:p>
            <w:pPr>
              <w:spacing w:after="0"/>
              <w:rPr>
                <w:sz w:val="13"/>
                <w:szCs w:val="13"/>
                <w:color w:val="auto"/>
              </w:rPr>
            </w:pPr>
          </w:p>
        </w:tc>
        <w:tc>
          <w:tcPr>
            <w:tcW w:w="1280" w:type="dxa"/>
            <w:vAlign w:val="bottom"/>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63"/>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177</w:t>
            </w:r>
          </w:p>
        </w:tc>
      </w:tr>
      <w:tr>
        <w:trPr>
          <w:trHeight w:val="172"/>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Income (loss) from discontinued operations, net of tax</w:t>
            </w: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r>
      <w:tr>
        <w:trPr>
          <w:trHeight w:val="168"/>
        </w:trPr>
        <w:tc>
          <w:tcPr>
            <w:tcW w:w="6200" w:type="dxa"/>
            <w:vAlign w:val="bottom"/>
            <w:gridSpan w:val="4"/>
          </w:tcPr>
          <w:p>
            <w:pPr>
              <w:ind w:left="20"/>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4"/>
        </w:trPr>
        <w:tc>
          <w:tcPr>
            <w:tcW w:w="620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Basic Earnings (Loss) per Share:</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180" w:type="dxa"/>
            <w:vAlign w:val="bottom"/>
            <w:gridSpan w:val="3"/>
          </w:tcPr>
          <w:p>
            <w:pPr>
              <w:ind w:left="140"/>
              <w:spacing w:after="0"/>
              <w:rPr>
                <w:sz w:val="20"/>
                <w:szCs w:val="20"/>
                <w:color w:val="auto"/>
              </w:rPr>
            </w:pPr>
            <w:r>
              <w:rPr>
                <w:rFonts w:ascii="Arial" w:cs="Arial" w:eastAsia="Arial" w:hAnsi="Arial"/>
                <w:sz w:val="11"/>
                <w:szCs w:val="11"/>
                <w:color w:val="auto"/>
              </w:rPr>
              <w:t>Continuing operations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tcPr>
          <w:p>
            <w:pPr>
              <w:jc w:val="right"/>
              <w:ind w:right="6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4"/>
                <w:szCs w:val="14"/>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0.82</w:t>
            </w:r>
          </w:p>
        </w:tc>
      </w:tr>
      <w:tr>
        <w:trPr>
          <w:trHeight w:val="172"/>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Discontinued operations</w:t>
            </w: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0.02</w:t>
            </w:r>
          </w:p>
        </w:tc>
      </w:tr>
      <w:tr>
        <w:trPr>
          <w:trHeight w:val="168"/>
        </w:trPr>
        <w:tc>
          <w:tcPr>
            <w:tcW w:w="6200" w:type="dxa"/>
            <w:vAlign w:val="bottom"/>
            <w:gridSpan w:val="4"/>
          </w:tcPr>
          <w:p>
            <w:pPr>
              <w:ind w:left="20"/>
              <w:spacing w:after="0"/>
              <w:rPr>
                <w:sz w:val="20"/>
                <w:szCs w:val="20"/>
                <w:color w:val="auto"/>
              </w:rPr>
            </w:pPr>
            <w:r>
              <w:rPr>
                <w:rFonts w:ascii="Arial" w:cs="Arial" w:eastAsia="Arial" w:hAnsi="Arial"/>
                <w:sz w:val="11"/>
                <w:szCs w:val="11"/>
                <w:b w:val="1"/>
                <w:bCs w:val="1"/>
                <w:color w:val="auto"/>
              </w:rPr>
              <w:t>Total Basic Earnings (Loss) per Share</w:t>
            </w: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0.84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4"/>
        </w:trPr>
        <w:tc>
          <w:tcPr>
            <w:tcW w:w="620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Diluted Earnings (Loss) per Share:</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180" w:type="dxa"/>
            <w:vAlign w:val="bottom"/>
            <w:gridSpan w:val="3"/>
          </w:tcPr>
          <w:p>
            <w:pPr>
              <w:ind w:left="140"/>
              <w:spacing w:after="0"/>
              <w:rPr>
                <w:sz w:val="20"/>
                <w:szCs w:val="20"/>
                <w:color w:val="auto"/>
              </w:rPr>
            </w:pPr>
            <w:r>
              <w:rPr>
                <w:rFonts w:ascii="Arial" w:cs="Arial" w:eastAsia="Arial" w:hAnsi="Arial"/>
                <w:sz w:val="11"/>
                <w:szCs w:val="11"/>
                <w:color w:val="auto"/>
              </w:rPr>
              <w:t>Continuing operations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tcPr>
          <w:p>
            <w:pPr>
              <w:jc w:val="right"/>
              <w:ind w:right="6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4"/>
                <w:szCs w:val="14"/>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0.81</w:t>
            </w:r>
          </w:p>
        </w:tc>
      </w:tr>
      <w:tr>
        <w:trPr>
          <w:trHeight w:val="172"/>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Discontinued operations</w:t>
            </w: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0.02</w:t>
            </w:r>
          </w:p>
        </w:tc>
      </w:tr>
      <w:tr>
        <w:trPr>
          <w:trHeight w:val="168"/>
        </w:trPr>
        <w:tc>
          <w:tcPr>
            <w:tcW w:w="6200" w:type="dxa"/>
            <w:vAlign w:val="bottom"/>
            <w:gridSpan w:val="4"/>
          </w:tcPr>
          <w:p>
            <w:pPr>
              <w:ind w:left="20"/>
              <w:spacing w:after="0"/>
              <w:rPr>
                <w:sz w:val="20"/>
                <w:szCs w:val="20"/>
                <w:color w:val="auto"/>
              </w:rPr>
            </w:pPr>
            <w:r>
              <w:rPr>
                <w:rFonts w:ascii="Arial" w:cs="Arial" w:eastAsia="Arial" w:hAnsi="Arial"/>
                <w:sz w:val="11"/>
                <w:szCs w:val="11"/>
                <w:b w:val="1"/>
                <w:bCs w:val="1"/>
                <w:color w:val="auto"/>
              </w:rPr>
              <w:t>Total Diluted Earnings (Loss) per Share</w:t>
            </w: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(9.29)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0.83</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COMPREHENSIVE INCOME (LOSS)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0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1"/>
                <w:szCs w:val="11"/>
                <w:color w:val="auto"/>
              </w:rPr>
            </w:pPr>
          </w:p>
        </w:tc>
        <w:tc>
          <w:tcPr>
            <w:tcW w:w="1300" w:type="dxa"/>
            <w:vAlign w:val="bottom"/>
          </w:tcPr>
          <w:p>
            <w:pPr>
              <w:jc w:val="right"/>
              <w:ind w:right="66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ind w:right="683"/>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jc w:val="right"/>
              <w:ind w:right="68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181</w:t>
            </w:r>
          </w:p>
        </w:tc>
      </w:tr>
      <w:tr>
        <w:trPr>
          <w:trHeight w:val="151"/>
        </w:trPr>
        <w:tc>
          <w:tcPr>
            <w:tcW w:w="20" w:type="dxa"/>
            <w:vAlign w:val="bottom"/>
          </w:tcPr>
          <w:p>
            <w:pPr>
              <w:spacing w:after="0"/>
              <w:rPr>
                <w:sz w:val="13"/>
                <w:szCs w:val="13"/>
                <w:color w:val="auto"/>
              </w:rPr>
            </w:pPr>
          </w:p>
        </w:tc>
        <w:tc>
          <w:tcPr>
            <w:tcW w:w="6080" w:type="dxa"/>
            <w:vAlign w:val="bottom"/>
            <w:gridSpan w:val="2"/>
          </w:tcPr>
          <w:p>
            <w:pPr>
              <w:spacing w:after="0" w:line="151" w:lineRule="exact"/>
              <w:rPr>
                <w:sz w:val="20"/>
                <w:szCs w:val="20"/>
                <w:color w:val="auto"/>
              </w:rPr>
            </w:pPr>
            <w:r>
              <w:rPr>
                <w:rFonts w:ascii="Arial" w:cs="Arial" w:eastAsia="Arial" w:hAnsi="Arial"/>
                <w:sz w:val="11"/>
                <w:szCs w:val="11"/>
                <w:b w:val="1"/>
                <w:bCs w:val="1"/>
                <w:color w:val="auto"/>
              </w:rPr>
              <w:t>Other Comprehensive Income (Loss), Net</w:t>
            </w:r>
            <w:r>
              <w:rPr>
                <w:rFonts w:ascii="Arial" w:cs="Arial" w:eastAsia="Arial" w:hAnsi="Arial"/>
                <w:sz w:val="14"/>
                <w:szCs w:val="14"/>
                <w:b w:val="1"/>
                <w:bCs w:val="1"/>
                <w:color w:val="auto"/>
                <w:vertAlign w:val="superscript"/>
              </w:rPr>
              <w:t>(1)</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2"/>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Currency translation adjustments, net</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35</w:t>
            </w:r>
          </w:p>
        </w:tc>
      </w:tr>
      <w:tr>
        <w:trPr>
          <w:trHeight w:val="168"/>
        </w:trPr>
        <w:tc>
          <w:tcPr>
            <w:tcW w:w="20" w:type="dxa"/>
            <w:vAlign w:val="bottom"/>
          </w:tcPr>
          <w:p>
            <w:pPr>
              <w:spacing w:after="0"/>
              <w:rPr>
                <w:sz w:val="14"/>
                <w:szCs w:val="14"/>
                <w:color w:val="auto"/>
              </w:rPr>
            </w:pPr>
          </w:p>
        </w:tc>
        <w:tc>
          <w:tcPr>
            <w:tcW w:w="6080" w:type="dxa"/>
            <w:vAlign w:val="bottom"/>
            <w:gridSpan w:val="2"/>
          </w:tcPr>
          <w:p>
            <w:pPr>
              <w:ind w:left="140"/>
              <w:spacing w:after="0"/>
              <w:rPr>
                <w:sz w:val="20"/>
                <w:szCs w:val="20"/>
                <w:color w:val="auto"/>
              </w:rPr>
            </w:pPr>
            <w:r>
              <w:rPr>
                <w:rFonts w:ascii="Arial" w:cs="Arial" w:eastAsia="Arial" w:hAnsi="Arial"/>
                <w:sz w:val="11"/>
                <w:szCs w:val="11"/>
                <w:color w:val="auto"/>
              </w:rPr>
              <w:t>Reclassification of currency translation adjustments on divestitures</w:t>
            </w:r>
          </w:p>
        </w:tc>
        <w:tc>
          <w:tcPr>
            <w:tcW w:w="40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83"/>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w:t>
            </w:r>
          </w:p>
        </w:tc>
      </w:tr>
      <w:tr>
        <w:trPr>
          <w:trHeight w:val="177"/>
        </w:trPr>
        <w:tc>
          <w:tcPr>
            <w:tcW w:w="20" w:type="dxa"/>
            <w:vAlign w:val="bottom"/>
            <w:shd w:val="clear" w:color="auto" w:fill="CCEEFF"/>
          </w:tcPr>
          <w:p>
            <w:pPr>
              <w:spacing w:after="0"/>
              <w:rPr>
                <w:sz w:val="15"/>
                <w:szCs w:val="15"/>
                <w:color w:val="auto"/>
              </w:rPr>
            </w:pPr>
          </w:p>
        </w:tc>
        <w:tc>
          <w:tcPr>
            <w:tcW w:w="60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Reclassification of divested benefit plans and other</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r>
      <w:tr>
        <w:trPr>
          <w:trHeight w:val="168"/>
        </w:trPr>
        <w:tc>
          <w:tcPr>
            <w:tcW w:w="20" w:type="dxa"/>
            <w:vAlign w:val="bottom"/>
          </w:tcPr>
          <w:p>
            <w:pPr>
              <w:spacing w:after="0"/>
              <w:rPr>
                <w:sz w:val="14"/>
                <w:szCs w:val="14"/>
                <w:color w:val="auto"/>
              </w:rPr>
            </w:pPr>
          </w:p>
        </w:tc>
        <w:tc>
          <w:tcPr>
            <w:tcW w:w="6080" w:type="dxa"/>
            <w:vAlign w:val="bottom"/>
            <w:gridSpan w:val="2"/>
          </w:tcPr>
          <w:p>
            <w:pPr>
              <w:ind w:left="140"/>
              <w:spacing w:after="0"/>
              <w:rPr>
                <w:sz w:val="20"/>
                <w:szCs w:val="20"/>
                <w:color w:val="auto"/>
              </w:rPr>
            </w:pPr>
            <w:r>
              <w:rPr>
                <w:rFonts w:ascii="Arial" w:cs="Arial" w:eastAsia="Arial" w:hAnsi="Arial"/>
                <w:sz w:val="11"/>
                <w:szCs w:val="11"/>
                <w:color w:val="auto"/>
              </w:rPr>
              <w:t>Unrecognized gains (losses), net</w:t>
            </w:r>
          </w:p>
        </w:tc>
        <w:tc>
          <w:tcPr>
            <w:tcW w:w="40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2</w:t>
            </w:r>
          </w:p>
        </w:tc>
      </w:tr>
      <w:tr>
        <w:trPr>
          <w:trHeight w:val="177"/>
        </w:trPr>
        <w:tc>
          <w:tcPr>
            <w:tcW w:w="20" w:type="dxa"/>
            <w:vAlign w:val="bottom"/>
            <w:shd w:val="clear" w:color="auto" w:fill="CCEEFF"/>
          </w:tcPr>
          <w:p>
            <w:pPr>
              <w:spacing w:after="0"/>
              <w:rPr>
                <w:sz w:val="15"/>
                <w:szCs w:val="15"/>
                <w:color w:val="auto"/>
              </w:rPr>
            </w:pPr>
          </w:p>
        </w:tc>
        <w:tc>
          <w:tcPr>
            <w:tcW w:w="60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Changes in benefit plans, net</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r>
      <w:tr>
        <w:trPr>
          <w:trHeight w:val="159"/>
        </w:trPr>
        <w:tc>
          <w:tcPr>
            <w:tcW w:w="20" w:type="dxa"/>
            <w:vAlign w:val="bottom"/>
          </w:tcPr>
          <w:p>
            <w:pPr>
              <w:spacing w:after="0"/>
              <w:rPr>
                <w:sz w:val="13"/>
                <w:szCs w:val="13"/>
                <w:color w:val="auto"/>
              </w:rPr>
            </w:pPr>
          </w:p>
        </w:tc>
        <w:tc>
          <w:tcPr>
            <w:tcW w:w="60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w:t>
            </w: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74</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color w:val="auto"/>
              </w:rPr>
              <w:t>32</w:t>
            </w:r>
          </w:p>
        </w:tc>
      </w:tr>
      <w:tr>
        <w:trPr>
          <w:trHeight w:val="22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bl>
    <w:p>
      <w:pPr>
        <w:spacing w:after="0" w:line="25" w:lineRule="exact"/>
        <w:rPr>
          <w:sz w:val="20"/>
          <w:szCs w:val="20"/>
          <w:color w:val="auto"/>
        </w:rPr>
      </w:pPr>
    </w:p>
    <w:p>
      <w:pPr>
        <w:sectPr>
          <w:pgSz w:w="11900" w:h="16838" w:orient="portrait"/>
          <w:cols w:equalWidth="0" w:num="1">
            <w:col w:w="11460"/>
          </w:cols>
          <w:pgMar w:left="220" w:top="153" w:right="219" w:bottom="1440" w:gutter="0" w:footer="0" w:header="0"/>
        </w:sectPr>
      </w:pPr>
    </w:p>
    <w:tbl>
      <w:tblPr>
        <w:tblLayout w:type="fixed"/>
        <w:tblInd w:w="0" w:type="dxa"/>
        <w:tblCellMar>
          <w:top w:w="0" w:type="dxa"/>
          <w:left w:w="0" w:type="dxa"/>
          <w:bottom w:w="0" w:type="dxa"/>
          <w:right w:w="0" w:type="dxa"/>
        </w:tblCellMar>
      </w:tblPr>
      <w:tr>
        <w:trPr>
          <w:trHeight w:val="147"/>
        </w:trPr>
        <w:tc>
          <w:tcPr>
            <w:tcW w:w="6120" w:type="dxa"/>
            <w:vAlign w:val="bottom"/>
          </w:tcPr>
          <w:p>
            <w:pPr>
              <w:jc w:val="right"/>
              <w:ind w:right="4106"/>
              <w:spacing w:after="0"/>
              <w:rPr>
                <w:sz w:val="20"/>
                <w:szCs w:val="20"/>
                <w:color w:val="auto"/>
              </w:rPr>
            </w:pPr>
            <w:r>
              <w:rPr>
                <w:rFonts w:ascii="Arial" w:cs="Arial" w:eastAsia="Arial" w:hAnsi="Arial"/>
                <w:sz w:val="11"/>
                <w:szCs w:val="11"/>
                <w:b w:val="1"/>
                <w:bCs w:val="1"/>
                <w:color w:val="auto"/>
              </w:rPr>
              <w:t>Comprehensive Income (Loss), Net</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(1,916)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jc w:val="right"/>
              <w:ind w:right="5566"/>
              <w:spacing w:after="0"/>
              <w:rPr>
                <w:sz w:val="20"/>
                <w:szCs w:val="20"/>
                <w:color w:val="auto"/>
              </w:rPr>
            </w:pPr>
            <w:r>
              <w:rPr>
                <w:rFonts w:ascii="Arial" w:cs="Arial" w:eastAsia="Arial" w:hAnsi="Arial"/>
                <w:sz w:val="10"/>
                <w:szCs w:val="10"/>
                <w:color w:val="auto"/>
                <w:w w:val="86"/>
              </w:rPr>
              <w:t>__________</w:t>
            </w: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1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All amounts are net of tax. Tax effects were immaterial. Refer to Note 19 – Other Comprehensive Income (Loss) for information about pre-tax amounts.</w:t>
      </w:r>
    </w:p>
    <w:p>
      <w:pPr>
        <w:spacing w:after="0" w:line="20" w:lineRule="exact"/>
        <w:rPr>
          <w:sz w:val="20"/>
          <w:szCs w:val="20"/>
          <w:color w:val="auto"/>
        </w:rPr>
      </w:pPr>
      <w:r>
        <w:rPr>
          <w:sz w:val="20"/>
          <w:szCs w:val="20"/>
          <w:color w:val="auto"/>
        </w:rPr>
        <w:br w:type="column"/>
      </w:r>
    </w:p>
    <w:p>
      <w:pPr>
        <w:spacing w:after="0"/>
        <w:tabs>
          <w:tab w:leader="none" w:pos="460" w:val="left"/>
          <w:tab w:leader="none" w:pos="1820" w:val="left"/>
        </w:tabs>
        <w:rPr>
          <w:sz w:val="20"/>
          <w:szCs w:val="20"/>
          <w:color w:val="auto"/>
        </w:rPr>
      </w:pPr>
      <w:r>
        <w:rPr>
          <w:rFonts w:ascii="Arial" w:cs="Arial" w:eastAsia="Arial" w:hAnsi="Arial"/>
          <w:sz w:val="11"/>
          <w:szCs w:val="11"/>
          <w:color w:val="auto"/>
        </w:rPr>
        <w:t>(342)</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12700</wp:posOffset>
            </wp:positionV>
            <wp:extent cx="2242185"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2185" cy="27305"/>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8540" w:space="720"/>
            <w:col w:w="2200"/>
          </w:cols>
          <w:pgMar w:left="220" w:top="153"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type w:val="continuous"/>
        </w:sectPr>
      </w:pPr>
    </w:p>
    <w:bookmarkStart w:id="53" w:name="page54"/>
    <w:bookmarkEnd w:id="5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BALANCE SHEETS</w:t>
      </w:r>
    </w:p>
    <w:p>
      <w:pPr>
        <w:spacing w:after="0" w:line="59"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12700</wp:posOffset>
            </wp:positionV>
            <wp:extent cx="190055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0555" cy="698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40" w:type="dxa"/>
            <w:vAlign w:val="bottom"/>
            <w:gridSpan w:val="3"/>
          </w:tcPr>
          <w:p>
            <w:pPr>
              <w:ind w:left="20"/>
              <w:spacing w:after="0"/>
              <w:rPr>
                <w:sz w:val="20"/>
                <w:szCs w:val="20"/>
                <w:color w:val="auto"/>
              </w:rPr>
            </w:pPr>
            <w:r>
              <w:rPr>
                <w:rFonts w:ascii="Arial" w:cs="Arial" w:eastAsia="Arial" w:hAnsi="Arial"/>
                <w:sz w:val="10"/>
                <w:szCs w:val="10"/>
                <w:color w:val="auto"/>
              </w:rPr>
              <w:t>(in millions, except share data in thousands)</w:t>
            </w:r>
          </w:p>
        </w:tc>
        <w:tc>
          <w:tcPr>
            <w:tcW w:w="340" w:type="dxa"/>
            <w:vAlign w:val="bottom"/>
          </w:tcPr>
          <w:p>
            <w:pPr>
              <w:spacing w:after="0"/>
              <w:rPr>
                <w:sz w:val="10"/>
                <w:szCs w:val="10"/>
                <w:color w:val="auto"/>
              </w:rPr>
            </w:pPr>
          </w:p>
        </w:tc>
        <w:tc>
          <w:tcPr>
            <w:tcW w:w="1100" w:type="dxa"/>
            <w:vAlign w:val="bottom"/>
          </w:tcPr>
          <w:p>
            <w:pPr>
              <w:jc w:val="right"/>
              <w:ind w:right="52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543"/>
              <w:spacing w:after="0"/>
              <w:rPr>
                <w:sz w:val="20"/>
                <w:szCs w:val="20"/>
                <w:color w:val="auto"/>
              </w:rPr>
            </w:pPr>
            <w:r>
              <w:rPr>
                <w:rFonts w:ascii="Arial" w:cs="Arial" w:eastAsia="Arial" w:hAnsi="Arial"/>
                <w:sz w:val="11"/>
                <w:szCs w:val="11"/>
                <w:color w:val="auto"/>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Cash and cash equivalents</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496</w:t>
            </w:r>
          </w:p>
        </w:tc>
        <w:tc>
          <w:tcPr>
            <w:tcW w:w="100" w:type="dxa"/>
            <w:vAlign w:val="bottom"/>
          </w:tcPr>
          <w:p>
            <w:pPr>
              <w:spacing w:after="0"/>
              <w:rPr>
                <w:sz w:val="14"/>
                <w:szCs w:val="14"/>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Accounts receivable, net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782</w:t>
            </w: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Assets held for sale</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Contract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current assets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283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4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assets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1,586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1,964</w:t>
            </w:r>
          </w:p>
        </w:tc>
        <w:tc>
          <w:tcPr>
            <w:tcW w:w="0" w:type="dxa"/>
            <w:vAlign w:val="bottom"/>
          </w:tcPr>
          <w:p>
            <w:pPr>
              <w:spacing w:after="0"/>
              <w:rPr>
                <w:sz w:val="1"/>
                <w:szCs w:val="1"/>
                <w:color w:val="auto"/>
              </w:rPr>
            </w:pPr>
          </w:p>
        </w:tc>
      </w:tr>
      <w:tr>
        <w:trPr>
          <w:trHeight w:val="163"/>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Land, buildings and equipment, net</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342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Intangible assets, net</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651</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3,408</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long-term assets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387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329</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8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Assets</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4,514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6,680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Current portion of long-term debt</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Accounts payable</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Accrued compensation and benefits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193</w:t>
            </w: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Unearned income</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current liabilities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647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4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1,177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1,197</w:t>
            </w:r>
          </w:p>
        </w:tc>
        <w:tc>
          <w:tcPr>
            <w:tcW w:w="0" w:type="dxa"/>
            <w:vAlign w:val="bottom"/>
          </w:tcPr>
          <w:p>
            <w:pPr>
              <w:spacing w:after="0"/>
              <w:rPr>
                <w:sz w:val="1"/>
                <w:szCs w:val="1"/>
                <w:color w:val="auto"/>
              </w:rPr>
            </w:pPr>
          </w:p>
        </w:tc>
      </w:tr>
      <w:tr>
        <w:trPr>
          <w:trHeight w:val="163"/>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Long-term debt</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1,464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1,512</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Deferred taxes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Operating lease liabilities</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 long-term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8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Liabilities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3,072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3,316</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Contingencies (See Note 16)</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Series A convertible preferred stock</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Common stock</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Additional paid-in capital</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3,890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3,878</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Retained earnings (deficit)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Accumulated other comprehensive loss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(407)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(425)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420" w:type="dxa"/>
            <w:vAlign w:val="bottom"/>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Equity</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1,300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2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 Liabilities and Equity</w:t>
            </w: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4,514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6,680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6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440" w:type="dxa"/>
            <w:vAlign w:val="bottom"/>
            <w:gridSpan w:val="3"/>
          </w:tcPr>
          <w:p>
            <w:pPr>
              <w:ind w:left="20"/>
              <w:spacing w:after="0"/>
              <w:rPr>
                <w:sz w:val="20"/>
                <w:szCs w:val="20"/>
                <w:color w:val="auto"/>
              </w:rPr>
            </w:pPr>
            <w:r>
              <w:rPr>
                <w:rFonts w:ascii="Arial" w:cs="Arial" w:eastAsia="Arial" w:hAnsi="Arial"/>
                <w:sz w:val="11"/>
                <w:szCs w:val="11"/>
                <w:color w:val="auto"/>
              </w:rPr>
              <w:t>Shares of common stock issued and outstanding</w:t>
            </w:r>
          </w:p>
        </w:tc>
        <w:tc>
          <w:tcPr>
            <w:tcW w:w="34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211,511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211,306</w:t>
            </w:r>
          </w:p>
        </w:tc>
        <w:tc>
          <w:tcPr>
            <w:tcW w:w="0" w:type="dxa"/>
            <w:vAlign w:val="bottom"/>
          </w:tcPr>
          <w:p>
            <w:pPr>
              <w:spacing w:after="0"/>
              <w:rPr>
                <w:sz w:val="1"/>
                <w:szCs w:val="1"/>
                <w:color w:val="auto"/>
              </w:rPr>
            </w:pPr>
          </w:p>
        </w:tc>
      </w:tr>
      <w:tr>
        <w:trPr>
          <w:trHeight w:val="177"/>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Shares of series A convertible preferred stock issued and outstanding</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35"/>
        </w:trPr>
        <w:tc>
          <w:tcPr>
            <w:tcW w:w="654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1"/>
                <w:szCs w:val="11"/>
                <w:color w:val="auto"/>
              </w:rPr>
            </w:pPr>
          </w:p>
        </w:tc>
        <w:tc>
          <w:tcPr>
            <w:tcW w:w="1200" w:type="dxa"/>
            <w:vAlign w:val="bottom"/>
          </w:tcPr>
          <w:p>
            <w:pPr>
              <w:jc w:val="right"/>
              <w:ind w:right="60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603"/>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jc w:val="right"/>
              <w:ind w:right="60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5"/>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68"/>
        </w:trPr>
        <w:tc>
          <w:tcPr>
            <w:tcW w:w="6540" w:type="dxa"/>
            <w:vAlign w:val="bottom"/>
            <w:gridSpan w:val="3"/>
          </w:tcPr>
          <w:p>
            <w:pPr>
              <w:ind w:left="20"/>
              <w:spacing w:after="0"/>
              <w:rPr>
                <w:sz w:val="20"/>
                <w:szCs w:val="20"/>
                <w:color w:val="auto"/>
              </w:rPr>
            </w:pPr>
            <w:r>
              <w:rPr>
                <w:rFonts w:ascii="Arial" w:cs="Arial" w:eastAsia="Arial" w:hAnsi="Arial"/>
                <w:sz w:val="11"/>
                <w:szCs w:val="11"/>
                <w:color w:val="auto"/>
              </w:rPr>
              <w:t>Net income (loss)</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(416)</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181</w:t>
            </w:r>
          </w:p>
        </w:tc>
      </w:tr>
      <w:tr>
        <w:trPr>
          <w:trHeight w:val="155"/>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Adjustments required to reconcile net income to cash flows from 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460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495</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Contract inducement amortization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Goodwill impairment</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1,952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Deferred income taxes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(230)</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(Gain) loss from investments</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(10)</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Amortization of debt financing costs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(Gain) loss on extinguishment of debt</w:t>
            </w:r>
          </w:p>
        </w:tc>
        <w:tc>
          <w:tcPr>
            <w:tcW w:w="3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108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(Gain) loss on divestitures and transaction costs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Stock-based compensation</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40</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Allowance for doubtful accounts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Changes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(Increase) decrease in accounts receivable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240"/>
              <w:spacing w:after="0"/>
              <w:rPr>
                <w:sz w:val="20"/>
                <w:szCs w:val="20"/>
                <w:color w:val="auto"/>
              </w:rPr>
            </w:pPr>
            <w:r>
              <w:rPr>
                <w:rFonts w:ascii="Arial" w:cs="Arial" w:eastAsia="Arial" w:hAnsi="Arial"/>
                <w:sz w:val="11"/>
                <w:szCs w:val="11"/>
                <w:color w:val="auto"/>
              </w:rPr>
              <w:t>(Increase) decrease in other current and long-term assets</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(32)</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Increase (decrease) in accounts payable and accrued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(49)</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240"/>
              <w:spacing w:after="0"/>
              <w:rPr>
                <w:sz w:val="20"/>
                <w:szCs w:val="20"/>
                <w:color w:val="auto"/>
              </w:rPr>
            </w:pPr>
            <w:r>
              <w:rPr>
                <w:rFonts w:ascii="Arial" w:cs="Arial" w:eastAsia="Arial" w:hAnsi="Arial"/>
                <w:sz w:val="11"/>
                <w:szCs w:val="11"/>
                <w:color w:val="auto"/>
              </w:rPr>
              <w:t>Increase (decrease) in restructuring liabilities</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34</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Increase (decrease) in other current and long-term liabilities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(125)</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240"/>
              <w:spacing w:after="0"/>
              <w:rPr>
                <w:sz w:val="20"/>
                <w:szCs w:val="20"/>
                <w:color w:val="auto"/>
              </w:rPr>
            </w:pPr>
            <w:r>
              <w:rPr>
                <w:rFonts w:ascii="Arial" w:cs="Arial" w:eastAsia="Arial" w:hAnsi="Arial"/>
                <w:sz w:val="11"/>
                <w:szCs w:val="11"/>
                <w:color w:val="auto"/>
              </w:rPr>
              <w:t>Net change in income tax assets and liabilities</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11</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operating, net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w:t>
            </w:r>
          </w:p>
        </w:tc>
      </w:tr>
      <w:tr>
        <w:trPr>
          <w:trHeight w:val="163"/>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operating activities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283</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300</w:t>
            </w:r>
          </w:p>
        </w:tc>
      </w:tr>
      <w:tr>
        <w:trPr>
          <w:trHeight w:val="157"/>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Cost of additions to land, buildings and equipment</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(179)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(96)</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sale of land, buildings and equipment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Cost of additions to internal use software</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(36)</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investments</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117</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Payments for acquisitions, net of cash acquired</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divestitures and sale of assets, net of cash</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675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Payments from divestitures, including cash sold</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investing, net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3"/>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investing activities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(310)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460</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74</w:t>
            </w:r>
          </w:p>
        </w:tc>
      </w:tr>
      <w:tr>
        <w:trPr>
          <w:trHeight w:val="157"/>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Proceeds on long-term debt</w:t>
            </w:r>
          </w:p>
        </w:tc>
        <w:tc>
          <w:tcPr>
            <w:tcW w:w="3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306</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Debt issuance fee payments</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Payments on debt</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(519)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(241)</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Premium on debt redemption</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Net payments to former parent company</w:t>
            </w:r>
          </w:p>
        </w:tc>
        <w:tc>
          <w:tcPr>
            <w:tcW w:w="3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(161)</w:t>
            </w: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Taxes paid for settlement of stock based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Arial" w:cs="Arial" w:eastAsia="Arial" w:hAnsi="Arial"/>
                <w:sz w:val="11"/>
                <w:szCs w:val="11"/>
                <w:color w:val="auto"/>
              </w:rPr>
              <w:t>Dividends paid on preferred stock</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(10)</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financing</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r>
      <w:tr>
        <w:trPr>
          <w:trHeight w:val="163"/>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financing activities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(637)</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(124)</w:t>
            </w:r>
          </w:p>
        </w:tc>
      </w:tr>
      <w:tr>
        <w:trPr>
          <w:trHeight w:val="168"/>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r>
      <w:tr>
        <w:trPr>
          <w:trHeight w:val="168"/>
        </w:trPr>
        <w:tc>
          <w:tcPr>
            <w:tcW w:w="6540" w:type="dxa"/>
            <w:vAlign w:val="bottom"/>
            <w:gridSpan w:val="3"/>
          </w:tcPr>
          <w:p>
            <w:pPr>
              <w:ind w:left="20"/>
              <w:spacing w:after="0"/>
              <w:rPr>
                <w:sz w:val="20"/>
                <w:szCs w:val="20"/>
                <w:color w:val="auto"/>
              </w:rPr>
            </w:pPr>
            <w:r>
              <w:rPr>
                <w:rFonts w:ascii="Arial" w:cs="Arial" w:eastAsia="Arial" w:hAnsi="Arial"/>
                <w:sz w:val="11"/>
                <w:szCs w:val="11"/>
                <w:color w:val="auto"/>
              </w:rPr>
              <w:t>Increase (decrease) in cash, cash equivalents and restricted cash</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251</w:t>
            </w:r>
          </w:p>
        </w:tc>
      </w:tr>
      <w:tr>
        <w:trPr>
          <w:trHeight w:val="172"/>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667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416</w:t>
            </w:r>
          </w:p>
        </w:tc>
      </w:tr>
      <w:tr>
        <w:trPr>
          <w:trHeight w:val="168"/>
        </w:trPr>
        <w:tc>
          <w:tcPr>
            <w:tcW w:w="6540" w:type="dxa"/>
            <w:vAlign w:val="bottom"/>
            <w:gridSpan w:val="3"/>
          </w:tcPr>
          <w:p>
            <w:pPr>
              <w:ind w:left="20"/>
              <w:spacing w:after="0"/>
              <w:rPr>
                <w:sz w:val="20"/>
                <w:szCs w:val="20"/>
                <w:color w:val="auto"/>
              </w:rPr>
            </w:pPr>
            <w:r>
              <w:rPr>
                <w:rFonts w:ascii="Arial" w:cs="Arial" w:eastAsia="Arial" w:hAnsi="Arial"/>
                <w:sz w:val="11"/>
                <w:szCs w:val="11"/>
                <w:b w:val="1"/>
                <w:bCs w:val="1"/>
                <w:color w:val="auto"/>
              </w:rPr>
              <w:t>Cash, Cash Equivalents and Restricted Cash at End of period</w:t>
            </w:r>
            <w:r>
              <w:rPr>
                <w:rFonts w:ascii="Arial" w:cs="Arial" w:eastAsia="Arial" w:hAnsi="Arial"/>
                <w:sz w:val="14"/>
                <w:szCs w:val="14"/>
                <w:b w:val="1"/>
                <w:bCs w:val="1"/>
                <w:color w:val="auto"/>
                <w:vertAlign w:val="superscript"/>
              </w:rPr>
              <w:t>(1)</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765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667</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w:t>
      </w:r>
    </w:p>
    <w:p>
      <w:pPr>
        <w:spacing w:after="0" w:line="50" w:lineRule="exact"/>
        <w:rPr>
          <w:sz w:val="20"/>
          <w:szCs w:val="20"/>
          <w:color w:val="auto"/>
        </w:rPr>
      </w:pPr>
    </w:p>
    <w:p>
      <w:pPr>
        <w:ind w:left="3460" w:right="1620" w:hanging="3454"/>
        <w:spacing w:after="0" w:line="650" w:lineRule="auto"/>
        <w:tabs>
          <w:tab w:leader="none" w:pos="257"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Includes $9 million of restricted cash as of each of the years December 31, 2019, 2018 and 2017, that was included in Other current assets on their respective Consolidated Balance Sheets. The accompanying notes are an integral part of these Consolidated Financial Statements.</w:t>
      </w:r>
    </w:p>
    <w:p>
      <w:pPr>
        <w:spacing w:after="0" w:line="1"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SHAREHOLDERS' EQUITY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color w:val="auto"/>
              </w:rPr>
              <w:t>Additional</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23"/>
              <w:spacing w:after="0"/>
              <w:rPr>
                <w:sz w:val="20"/>
                <w:szCs w:val="20"/>
                <w:color w:val="auto"/>
              </w:rPr>
            </w:pPr>
            <w:r>
              <w:rPr>
                <w:rFonts w:ascii="Arial" w:cs="Arial" w:eastAsia="Arial" w:hAnsi="Arial"/>
                <w:sz w:val="11"/>
                <w:szCs w:val="11"/>
                <w:color w:val="auto"/>
              </w:rPr>
              <w:t>Conduent</w:t>
            </w: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1"/>
                <w:szCs w:val="11"/>
                <w:color w:val="auto"/>
              </w:rPr>
              <w:t>Paid-in</w:t>
            </w:r>
          </w:p>
        </w:tc>
        <w:tc>
          <w:tcPr>
            <w:tcW w:w="240" w:type="dxa"/>
            <w:vAlign w:val="bottom"/>
          </w:tcPr>
          <w:p>
            <w:pPr>
              <w:spacing w:after="0"/>
              <w:rPr>
                <w:sz w:val="11"/>
                <w:szCs w:val="11"/>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color w:val="auto"/>
              </w:rPr>
              <w:t>Retained</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23"/>
              <w:spacing w:after="0"/>
              <w:rPr>
                <w:sz w:val="20"/>
                <w:szCs w:val="20"/>
                <w:color w:val="auto"/>
              </w:rPr>
            </w:pPr>
            <w:r>
              <w:rPr>
                <w:rFonts w:ascii="Arial" w:cs="Arial" w:eastAsia="Arial" w:hAnsi="Arial"/>
                <w:sz w:val="11"/>
                <w:szCs w:val="11"/>
                <w:color w:val="auto"/>
              </w:rPr>
              <w:t>Shareholders’</w:t>
            </w:r>
          </w:p>
        </w:tc>
      </w:tr>
      <w:tr>
        <w:trPr>
          <w:trHeight w:val="115"/>
        </w:trPr>
        <w:tc>
          <w:tcPr>
            <w:tcW w:w="486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w:t>
            </w:r>
          </w:p>
        </w:tc>
        <w:tc>
          <w:tcPr>
            <w:tcW w:w="140" w:type="dxa"/>
            <w:vAlign w:val="bottom"/>
          </w:tcPr>
          <w:p>
            <w:pPr>
              <w:spacing w:after="0"/>
              <w:rPr>
                <w:sz w:val="9"/>
                <w:szCs w:val="9"/>
                <w:color w:val="auto"/>
              </w:rPr>
            </w:pPr>
          </w:p>
        </w:tc>
        <w:tc>
          <w:tcPr>
            <w:tcW w:w="1180" w:type="dxa"/>
            <w:vAlign w:val="bottom"/>
            <w:gridSpan w:val="2"/>
          </w:tcPr>
          <w:p>
            <w:pPr>
              <w:ind w:left="80"/>
              <w:spacing w:after="0" w:line="95" w:lineRule="exact"/>
              <w:rPr>
                <w:sz w:val="20"/>
                <w:szCs w:val="20"/>
                <w:color w:val="auto"/>
              </w:rPr>
            </w:pPr>
            <w:r>
              <w:rPr>
                <w:rFonts w:ascii="Arial" w:cs="Arial" w:eastAsia="Arial" w:hAnsi="Arial"/>
                <w:sz w:val="10"/>
                <w:szCs w:val="10"/>
                <w:color w:val="auto"/>
              </w:rPr>
              <w:t>Common Stock</w:t>
            </w:r>
          </w:p>
        </w:tc>
        <w:tc>
          <w:tcPr>
            <w:tcW w:w="220" w:type="dxa"/>
            <w:vAlign w:val="bottom"/>
          </w:tcPr>
          <w:p>
            <w:pPr>
              <w:spacing w:after="0"/>
              <w:rPr>
                <w:sz w:val="9"/>
                <w:szCs w:val="9"/>
                <w:color w:val="auto"/>
              </w:rPr>
            </w:pPr>
          </w:p>
        </w:tc>
        <w:tc>
          <w:tcPr>
            <w:tcW w:w="112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Capital</w:t>
            </w:r>
          </w:p>
        </w:tc>
        <w:tc>
          <w:tcPr>
            <w:tcW w:w="240" w:type="dxa"/>
            <w:vAlign w:val="bottom"/>
          </w:tcPr>
          <w:p>
            <w:pPr>
              <w:spacing w:after="0"/>
              <w:rPr>
                <w:sz w:val="9"/>
                <w:szCs w:val="9"/>
                <w:color w:val="auto"/>
              </w:rPr>
            </w:pPr>
          </w:p>
        </w:tc>
        <w:tc>
          <w:tcPr>
            <w:tcW w:w="1100" w:type="dxa"/>
            <w:vAlign w:val="bottom"/>
            <w:gridSpan w:val="2"/>
          </w:tcPr>
          <w:p>
            <w:pPr>
              <w:ind w:left="160"/>
              <w:spacing w:after="0" w:line="95" w:lineRule="exact"/>
              <w:rPr>
                <w:sz w:val="20"/>
                <w:szCs w:val="20"/>
                <w:color w:val="auto"/>
              </w:rPr>
            </w:pPr>
            <w:r>
              <w:rPr>
                <w:rFonts w:ascii="Arial" w:cs="Arial" w:eastAsia="Arial" w:hAnsi="Arial"/>
                <w:sz w:val="10"/>
                <w:szCs w:val="10"/>
                <w:color w:val="auto"/>
              </w:rPr>
              <w:t>Earnings</w:t>
            </w:r>
          </w:p>
        </w:tc>
        <w:tc>
          <w:tcPr>
            <w:tcW w:w="240" w:type="dxa"/>
            <w:vAlign w:val="bottom"/>
          </w:tcPr>
          <w:p>
            <w:pPr>
              <w:spacing w:after="0"/>
              <w:rPr>
                <w:sz w:val="9"/>
                <w:szCs w:val="9"/>
                <w:color w:val="auto"/>
              </w:rPr>
            </w:pPr>
          </w:p>
        </w:tc>
        <w:tc>
          <w:tcPr>
            <w:tcW w:w="1100" w:type="dxa"/>
            <w:vAlign w:val="bottom"/>
            <w:gridSpan w:val="2"/>
          </w:tcPr>
          <w:p>
            <w:pPr>
              <w:ind w:left="180"/>
              <w:spacing w:after="0" w:line="95" w:lineRule="exact"/>
              <w:rPr>
                <w:sz w:val="20"/>
                <w:szCs w:val="20"/>
                <w:color w:val="auto"/>
              </w:rPr>
            </w:pPr>
            <w:r>
              <w:rPr>
                <w:rFonts w:ascii="Arial" w:cs="Arial" w:eastAsia="Arial" w:hAnsi="Arial"/>
                <w:sz w:val="8"/>
                <w:szCs w:val="8"/>
                <w:color w:val="auto"/>
              </w:rPr>
              <w:t>AOCL</w:t>
            </w:r>
            <w:r>
              <w:rPr>
                <w:rFonts w:ascii="Arial" w:cs="Arial" w:eastAsia="Arial" w:hAnsi="Arial"/>
                <w:sz w:val="10"/>
                <w:szCs w:val="10"/>
                <w:color w:val="auto"/>
                <w:vertAlign w:val="superscript"/>
              </w:rPr>
              <w:t>(1)</w:t>
            </w:r>
          </w:p>
        </w:tc>
        <w:tc>
          <w:tcPr>
            <w:tcW w:w="180" w:type="dxa"/>
            <w:vAlign w:val="bottom"/>
          </w:tcPr>
          <w:p>
            <w:pPr>
              <w:spacing w:after="0"/>
              <w:rPr>
                <w:sz w:val="9"/>
                <w:szCs w:val="9"/>
                <w:color w:val="auto"/>
              </w:rPr>
            </w:pPr>
          </w:p>
        </w:tc>
        <w:tc>
          <w:tcPr>
            <w:tcW w:w="1080" w:type="dxa"/>
            <w:vAlign w:val="bottom"/>
          </w:tcPr>
          <w:p>
            <w:pPr>
              <w:jc w:val="center"/>
              <w:ind w:right="103"/>
              <w:spacing w:after="0" w:line="95" w:lineRule="exact"/>
              <w:rPr>
                <w:sz w:val="20"/>
                <w:szCs w:val="20"/>
                <w:color w:val="auto"/>
              </w:rPr>
            </w:pPr>
            <w:r>
              <w:rPr>
                <w:rFonts w:ascii="Arial" w:cs="Arial" w:eastAsia="Arial" w:hAnsi="Arial"/>
                <w:sz w:val="10"/>
                <w:szCs w:val="10"/>
                <w:color w:val="auto"/>
              </w:rPr>
              <w:t>Equity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5"/>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3,812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3,288</w:t>
            </w: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Cash dividends paid - preferred stock, $80/per share</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(10)</w:t>
            </w:r>
          </w:p>
        </w:tc>
      </w:tr>
      <w:tr>
        <w:trPr>
          <w:trHeight w:val="177"/>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Stock option and incentive plans, net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w:t>
            </w: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Comprehensive Income (Loss):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7"/>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181</w:t>
            </w:r>
          </w:p>
        </w:tc>
      </w:tr>
      <w:tr>
        <w:trPr>
          <w:trHeight w:val="168"/>
        </w:trPr>
        <w:tc>
          <w:tcPr>
            <w:tcW w:w="2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gridSpan w:val="2"/>
          </w:tcPr>
          <w:p>
            <w:pPr>
              <w:ind w:left="280"/>
              <w:spacing w:after="0"/>
              <w:rPr>
                <w:sz w:val="20"/>
                <w:szCs w:val="20"/>
                <w:color w:val="auto"/>
              </w:rPr>
            </w:pPr>
            <w:r>
              <w:rPr>
                <w:rFonts w:ascii="Arial" w:cs="Arial" w:eastAsia="Arial" w:hAnsi="Arial"/>
                <w:sz w:val="11"/>
                <w:szCs w:val="11"/>
                <w:color w:val="auto"/>
              </w:rPr>
              <w:t>Other comprehensive income (loss), net</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w:t>
            </w:r>
          </w:p>
        </w:tc>
      </w:tr>
      <w:tr>
        <w:trPr>
          <w:trHeight w:val="163"/>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Total Comprehensive Income (Loss), Net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213</w:t>
            </w: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3,850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171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(494)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3,529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5"/>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Cash dividends paid - preferred stock, $80/per share</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Cumulative impact of adopting the new revenue standard</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17</w:t>
            </w:r>
          </w:p>
        </w:tc>
      </w:tr>
      <w:tr>
        <w:trPr>
          <w:trHeight w:val="177"/>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Reclassification of amounts impacted by Tax Reform</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Stock option and incentive plans, net</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28</w:t>
            </w:r>
          </w:p>
        </w:tc>
      </w:tr>
      <w:tr>
        <w:trPr>
          <w:trHeight w:val="177"/>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Comprehensive Income (Loss):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4840" w:type="dxa"/>
            <w:vAlign w:val="bottom"/>
            <w:gridSpan w:val="2"/>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(416)</w:t>
            </w:r>
          </w:p>
        </w:tc>
      </w:tr>
      <w:tr>
        <w:trPr>
          <w:trHeight w:val="172"/>
        </w:trPr>
        <w:tc>
          <w:tcPr>
            <w:tcW w:w="20" w:type="dxa"/>
            <w:vAlign w:val="bottom"/>
            <w:shd w:val="clear" w:color="auto" w:fill="CCEEFF"/>
          </w:tcPr>
          <w:p>
            <w:pPr>
              <w:spacing w:after="0"/>
              <w:rPr>
                <w:sz w:val="14"/>
                <w:szCs w:val="14"/>
                <w:color w:val="auto"/>
              </w:rPr>
            </w:pPr>
          </w:p>
        </w:tc>
        <w:tc>
          <w:tcPr>
            <w:tcW w:w="48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Other comprehensive income (loss), net</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w:t>
            </w:r>
          </w:p>
        </w:tc>
      </w:tr>
      <w:tr>
        <w:trPr>
          <w:trHeight w:val="163"/>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Total Comprehensive Income (Loss), Net</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(342)</w:t>
            </w:r>
          </w:p>
        </w:tc>
      </w:tr>
      <w:tr>
        <w:trPr>
          <w:trHeight w:val="193"/>
        </w:trPr>
        <w:tc>
          <w:tcPr>
            <w:tcW w:w="48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3,878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Cash dividends paid - preferred stock, $80/per share</w:t>
            </w:r>
          </w:p>
        </w:tc>
        <w:tc>
          <w:tcPr>
            <w:tcW w:w="140" w:type="dxa"/>
            <w:vAlign w:val="bottom"/>
          </w:tcPr>
          <w:p>
            <w:pPr>
              <w:spacing w:after="0"/>
              <w:rPr>
                <w:sz w:val="11"/>
                <w:szCs w:val="1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(10)</w:t>
            </w:r>
          </w:p>
        </w:tc>
      </w:tr>
      <w:tr>
        <w:trPr>
          <w:trHeight w:val="177"/>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Cumulative impact of adopting the new lease standard</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Stock option and incentive plans, net</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12</w:t>
            </w:r>
          </w:p>
        </w:tc>
      </w:tr>
      <w:tr>
        <w:trPr>
          <w:trHeight w:val="177"/>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Comprehensive Income (Loss):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4840" w:type="dxa"/>
            <w:vAlign w:val="bottom"/>
            <w:gridSpan w:val="2"/>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(1,934)</w:t>
            </w:r>
          </w:p>
        </w:tc>
      </w:tr>
      <w:tr>
        <w:trPr>
          <w:trHeight w:val="172"/>
        </w:trPr>
        <w:tc>
          <w:tcPr>
            <w:tcW w:w="20" w:type="dxa"/>
            <w:vAlign w:val="bottom"/>
            <w:shd w:val="clear" w:color="auto" w:fill="CCEEFF"/>
          </w:tcPr>
          <w:p>
            <w:pPr>
              <w:spacing w:after="0"/>
              <w:rPr>
                <w:sz w:val="14"/>
                <w:szCs w:val="14"/>
                <w:color w:val="auto"/>
              </w:rPr>
            </w:pPr>
          </w:p>
        </w:tc>
        <w:tc>
          <w:tcPr>
            <w:tcW w:w="48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Other comprehensive income (loss), net</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r>
      <w:tr>
        <w:trPr>
          <w:trHeight w:val="163"/>
        </w:trPr>
        <w:tc>
          <w:tcPr>
            <w:tcW w:w="4860" w:type="dxa"/>
            <w:vAlign w:val="bottom"/>
            <w:gridSpan w:val="3"/>
          </w:tcPr>
          <w:p>
            <w:pPr>
              <w:ind w:left="20"/>
              <w:spacing w:after="0"/>
              <w:rPr>
                <w:sz w:val="20"/>
                <w:szCs w:val="20"/>
                <w:color w:val="auto"/>
              </w:rPr>
            </w:pPr>
            <w:r>
              <w:rPr>
                <w:rFonts w:ascii="Arial" w:cs="Arial" w:eastAsia="Arial" w:hAnsi="Arial"/>
                <w:sz w:val="11"/>
                <w:szCs w:val="11"/>
                <w:color w:val="auto"/>
              </w:rPr>
              <w:t>Total Comprehensive Income (Loss), Net</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1"/>
                <w:szCs w:val="11"/>
                <w:color w:val="auto"/>
              </w:rPr>
              <w:t>(1,934)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(1,916)</w:t>
            </w:r>
          </w:p>
        </w:tc>
      </w:tr>
      <w:tr>
        <w:trPr>
          <w:trHeight w:val="193"/>
        </w:trPr>
        <w:tc>
          <w:tcPr>
            <w:tcW w:w="48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3,890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(2,185)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w:t>
      </w:r>
    </w:p>
    <w:p>
      <w:pPr>
        <w:spacing w:after="0" w:line="4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AOCL - Accumulated other comprehensive loss.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NOTES TO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 – Basis of Presentation and Summary of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References herein to “we,” “us,” “our,” the “Company” and “Conduent” refer to Conduent Incorporated and its consolidated subsidiaries unless the context suggests otherwise.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Description of Business</w:t>
      </w: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Conduent is a global enterprise and leading provider of mission-critical services and solutions on behalf of businesses and governments – creating exceptional outcomes for its clients and the millions of people who count on them. Through people, process expertise in transaction-intensive processing, and technology such as analytics and automation, Conduent solutions and services create value by improving efficiencies, reducing costs and enabling revenue growth. A majority of Fortune 100 companies and over 500 government entities depend on Conduent every day to manage their business processes and essential interactions with their end users. The Company's portfolio includes industry-focused solutions in attractive growth markets such as healthcare and transportation, as well as solutions that serve multiple industries such as transaction processing, customer care, human resource solutions and payment services.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Basis of Presentation</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Our Consolidated Financial Statements included the historical basis of assets, liabilities, revenues and expenses of the individual businesses of the Company, including joint ventures and partnerships over which the Company has a controlling financial interest. We have prepared the Consolidated Financial Statements pursuant to the rules and regulations of the SEC. Certain reclassifications have been made to prior years' amounts to conform to the current year presentation. All intercompany transactions and balances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through February 26, 2020. Subsequent events are disclosed throughout the Notes to these Consolidated Financial Statements.</w:t>
      </w:r>
    </w:p>
    <w:p>
      <w:pPr>
        <w:spacing w:after="0" w:line="205" w:lineRule="exact"/>
        <w:rPr>
          <w:sz w:val="20"/>
          <w:szCs w:val="20"/>
          <w:color w:val="auto"/>
        </w:rPr>
      </w:pPr>
    </w:p>
    <w:p>
      <w:pPr>
        <w:ind w:right="340"/>
        <w:spacing w:after="0" w:line="264" w:lineRule="auto"/>
        <w:rPr>
          <w:sz w:val="20"/>
          <w:szCs w:val="20"/>
          <w:color w:val="auto"/>
        </w:rPr>
      </w:pPr>
      <w:r>
        <w:rPr>
          <w:rFonts w:ascii="Arial" w:cs="Arial" w:eastAsia="Arial" w:hAnsi="Arial"/>
          <w:sz w:val="14"/>
          <w:szCs w:val="14"/>
          <w:color w:val="auto"/>
        </w:rPr>
        <w:t>Conduent Incorporated is a New York corporation, organized in 2016. Our common stock began trading on January 3, 2017, on the New York Stock Exchange, under the ticker "CNDT". In December 2019, Conduent changed the listing of its publicly traded common stock from the New York Stock Exchange to the NASDAQ Global Select Market (NASDAQ), where it remains listed under the ticker "CNDT".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Use of Estimates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prepared the Consolidated Financial Statements using financial information available at the time of preparation, which requires us to make estimates and assumptions that affect the amounts reported. Our most significant estimates pertain to the intangible and long-lived assets, valuation of goodwill, contingencies and litigation and income taxes. Our estimates are based on management's best knowledge of current events, historical experience, and on various other assumptions that are believed to be reasonable under the circumstances. As a result, actual results may be different from these estimates.</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New Accounting Standards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b w:val="1"/>
          <w:bCs w:val="1"/>
          <w:color w:val="1269BC"/>
        </w:rPr>
        <w:t xml:space="preserve">Credit Losses: </w:t>
      </w:r>
      <w:r>
        <w:rPr>
          <w:rFonts w:ascii="Arial" w:cs="Arial" w:eastAsia="Arial" w:hAnsi="Arial"/>
          <w:sz w:val="14"/>
          <w:szCs w:val="14"/>
          <w:color w:val="000000"/>
        </w:rPr>
        <w:t>In June 2016, the FASB updated the accounting guidance related to measurement of credit losses on financial instruments, which requires financial assets</w:t>
      </w:r>
      <w:r>
        <w:rPr>
          <w:rFonts w:ascii="Arial" w:cs="Arial" w:eastAsia="Arial" w:hAnsi="Arial"/>
          <w:sz w:val="14"/>
          <w:szCs w:val="14"/>
          <w:b w:val="1"/>
          <w:bCs w:val="1"/>
          <w:color w:val="1269BC"/>
        </w:rPr>
        <w:t xml:space="preserve"> </w:t>
      </w:r>
      <w:r>
        <w:rPr>
          <w:rFonts w:ascii="Arial" w:cs="Arial" w:eastAsia="Arial" w:hAnsi="Arial"/>
          <w:sz w:val="14"/>
          <w:szCs w:val="14"/>
          <w:color w:val="000000"/>
        </w:rPr>
        <w:t>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updated guidance is effective for fiscal years beginning after December 15, 2019, including interim periods within those fiscal years. Early adoption is permitted. The Company has determined, after gathering data and developing models, that the adoption of the new standard will not have any material impact on its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Recently Adopted Accounting Standards</w:t>
      </w:r>
    </w:p>
    <w:p>
      <w:pPr>
        <w:spacing w:after="0" w:line="205"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color w:val="1269BC"/>
        </w:rPr>
        <w:t xml:space="preserve">Leases: </w:t>
      </w:r>
      <w:r>
        <w:rPr>
          <w:rFonts w:ascii="Arial" w:cs="Arial" w:eastAsia="Arial" w:hAnsi="Arial"/>
          <w:sz w:val="14"/>
          <w:szCs w:val="14"/>
          <w:color w:val="000000"/>
        </w:rPr>
        <w:t>The Company adopted the new lease guidance as of January 1, 2019, using the cumulative-effect adjustment transition method, which applies the provisions of the</w:t>
      </w:r>
      <w:r>
        <w:rPr>
          <w:rFonts w:ascii="Arial" w:cs="Arial" w:eastAsia="Arial" w:hAnsi="Arial"/>
          <w:sz w:val="14"/>
          <w:szCs w:val="14"/>
          <w:b w:val="1"/>
          <w:bCs w:val="1"/>
          <w:color w:val="1269BC"/>
        </w:rPr>
        <w:t xml:space="preserve"> </w:t>
      </w:r>
      <w:r>
        <w:rPr>
          <w:rFonts w:ascii="Arial" w:cs="Arial" w:eastAsia="Arial" w:hAnsi="Arial"/>
          <w:sz w:val="14"/>
          <w:szCs w:val="14"/>
          <w:color w:val="000000"/>
        </w:rPr>
        <w:t>standard at the effective date without adjusting the comparative periods presented. The Company has elected the package of practical expedients, which allows the Company not to reassess (1) whether any expired or existing contracts as of the adoption date are, or contain, leases, (2) lease classification for any expired or existing leases as of the adoption date and (3) initial direct costs for any existing leases as of the adoption date. The Company did not elect to apply the hindsight practical expedient. Additionally, the Company has elected not to include short-term leases, with a term of 12 months or less, on its Consolidated Balance Sheets.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impact of adopting this new guidance included the establishment of Operating lease right-of-use (ROU) assets of $387 million, an increase to Other current liabilities of $103 million, a decrease to Other long-term liabilities of $21 million, the establishment of Operating lease liabilities of $316 million and a net decrease to opening retained earnings (deficit) of $8 million, as of January 1, 2019. The adoption did not have an impact on the Company’s Consolidated Statements of Income (Loss) or Consolidated Statements of Cash Flows.</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Summary of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Leases</w:t>
      </w:r>
    </w:p>
    <w:p>
      <w:pPr>
        <w:spacing w:after="0" w:line="2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Company determines if an arrangement is a lease at the inception of the contract and whether that lease meets the classification criteria of a finance or operating lease. The Company has operating and finance leases for real estate and equipment. Operating leases are included in Operating lease ROU assets, Other current liabilities, and Operating lease liabilities in our Consolidated Balance Sheets. Finance leases are included in Land, buildings and equipment, net, Current portion of long-term debt, and Long-term debt in our Consolidated Balance Sheets.</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ROU assets represent the Company's right to use an underlying asset for the lease term and lease liabilities represent the Company's obligation to make lease payments arising from the lease. ROU assets and liabilities are recognized at the commencement date based on the net present value of lease payments over the lease term using the Company’s incremental borrowing rates or implicit rates. The Company's lease terms may include options to extend or terminate the lease when it is reasonably certain that the Company will exercise that option based on economic factors. The Company recognizes operating fixed lease expense and finance lease depreciation on a straight-line basis over the lease term. Variable lease expense is recognized in the period in which the obligation for those payments is incurred. The Company accounts for lease and non-lease components separately for its equipment leases, based on the estimated standalone price of each component, and combines lease and non-lease components for its real estate leases.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costs were as follows: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0"/>
          <w:szCs w:val="10"/>
          <w:color w:val="auto"/>
        </w:rPr>
        <w:t>(in millions)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1"/>
          <w:szCs w:val="11"/>
          <w:color w:val="auto"/>
        </w:rPr>
        <w:t>Finance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74560" cy="1092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4560" cy="109220"/>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Amortization of right of use assets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74560" cy="130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4560" cy="13017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Finance Lease Costs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74560" cy="1092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4560" cy="109220"/>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Base rent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74560" cy="109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4560" cy="10922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Variable lease costs</w:t>
      </w:r>
      <w:r>
        <w:rPr>
          <w:rFonts w:ascii="Arial" w:cs="Arial" w:eastAsia="Arial" w:hAnsi="Arial"/>
          <w:sz w:val="14"/>
          <w:szCs w:val="14"/>
          <w:color w:val="auto"/>
          <w:vertAlign w:val="superscript"/>
        </w:rPr>
        <w:t>(1)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74560" cy="130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4560" cy="13017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Operating Lease Costs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4"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Primarily related to taxes, insurance and common area and other maintenance costs for real estate leases.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0"/>
          <w:szCs w:val="10"/>
          <w:color w:val="auto"/>
        </w:rPr>
        <w:t>(in millions)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paid for the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7260590" cy="1092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0590" cy="10922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Operating cash flows from operating leases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Operating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7260590" cy="130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0590" cy="130175"/>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Total 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95250</wp:posOffset>
            </wp:positionV>
            <wp:extent cx="7260590" cy="1092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109220"/>
                    </a:xfrm>
                    <a:prstGeom prst="rect">
                      <a:avLst/>
                    </a:prstGeom>
                    <a:noFill/>
                  </pic:spPr>
                </pic:pic>
              </a:graphicData>
            </a:graphic>
          </wp:anchor>
        </w:drawing>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Financing cash flow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95250</wp:posOffset>
            </wp:positionV>
            <wp:extent cx="7260590" cy="1092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0590" cy="109220"/>
                    </a:xfrm>
                    <a:prstGeom prst="rect">
                      <a:avLst/>
                    </a:prstGeom>
                    <a:noFill/>
                  </pic:spPr>
                </pic:pic>
              </a:graphicData>
            </a:graphic>
          </wp:anchor>
        </w:drawing>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1"/>
          <w:szCs w:val="11"/>
          <w:color w:val="auto"/>
        </w:rPr>
        <w:t>Supplemental non-cash information on right of use assets obtained in exchange for new lease obligations: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7260590" cy="109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0590" cy="10922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Finance leases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0"/>
          <w:szCs w:val="10"/>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12065</wp:posOffset>
            </wp:positionV>
            <wp:extent cx="7226300" cy="109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6300" cy="1092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1"/>
          <w:szCs w:val="11"/>
          <w:color w:val="auto"/>
        </w:rPr>
        <w:t>Operating lease assets: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wp:posOffset>
            </wp:positionV>
            <wp:extent cx="7226300" cy="109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6300" cy="10922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1"/>
          <w:szCs w:val="11"/>
          <w:color w:val="auto"/>
        </w:rPr>
        <w:t>Operating lease liabilities: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wp:posOffset>
            </wp:positionV>
            <wp:extent cx="7226300" cy="1092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6300" cy="10922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Operating lease liabilities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wp:posOffset>
            </wp:positionV>
            <wp:extent cx="7226300" cy="136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6300" cy="136525"/>
                    </a:xfrm>
                    <a:prstGeom prst="rect">
                      <a:avLst/>
                    </a:prstGeom>
                    <a:noFill/>
                  </pic:spPr>
                </pic:pic>
              </a:graphicData>
            </a:graphic>
          </wp:anchor>
        </w:drawing>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1"/>
          <w:szCs w:val="11"/>
          <w:color w:val="auto"/>
        </w:rPr>
        <w:t>Finance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wp:posOffset>
            </wp:positionV>
            <wp:extent cx="7226300" cy="1092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6300" cy="10922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1"/>
          <w:szCs w:val="11"/>
          <w:color w:val="auto"/>
        </w:rPr>
        <w:t>Land, buildings and equipment, net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1"/>
          <w:szCs w:val="11"/>
          <w:color w:val="auto"/>
        </w:rPr>
        <w:t>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wp:posOffset>
            </wp:positionV>
            <wp:extent cx="7226300" cy="109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6300" cy="10922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Current portion of long-term debt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wp:posOffset>
            </wp:positionV>
            <wp:extent cx="7226300" cy="130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6300" cy="130175"/>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Finance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44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Year Ended December 31, 2019</w:t>
            </w:r>
          </w:p>
        </w:tc>
      </w:tr>
      <w:tr>
        <w:trPr>
          <w:trHeight w:val="320"/>
        </w:trPr>
        <w:tc>
          <w:tcPr>
            <w:tcW w:w="4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43"/>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24"/>
                <w:szCs w:val="24"/>
                <w:color w:val="auto"/>
              </w:rPr>
            </w:pPr>
          </w:p>
        </w:tc>
      </w:tr>
      <w:tr>
        <w:trPr>
          <w:trHeight w:val="177"/>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auto"/>
            </w:tcBorders>
          </w:tcPr>
          <w:p>
            <w:pPr>
              <w:spacing w:after="0"/>
              <w:rPr>
                <w:sz w:val="15"/>
                <w:szCs w:val="15"/>
                <w:color w:val="auto"/>
              </w:rPr>
            </w:pPr>
          </w:p>
        </w:tc>
      </w:tr>
      <w:tr>
        <w:trPr>
          <w:trHeight w:val="163"/>
        </w:trPr>
        <w:tc>
          <w:tcPr>
            <w:tcW w:w="4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302"/>
        </w:trPr>
        <w:tc>
          <w:tcPr>
            <w:tcW w:w="4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43"/>
              <w:spacing w:after="0"/>
              <w:rPr>
                <w:sz w:val="20"/>
                <w:szCs w:val="20"/>
                <w:color w:val="auto"/>
              </w:rPr>
            </w:pPr>
            <w:r>
              <w:rPr>
                <w:rFonts w:ascii="Arial" w:cs="Arial" w:eastAsia="Arial" w:hAnsi="Arial"/>
                <w:sz w:val="11"/>
                <w:szCs w:val="11"/>
                <w:color w:val="auto"/>
              </w:rPr>
              <w:t>112</w:t>
            </w:r>
          </w:p>
        </w:tc>
        <w:tc>
          <w:tcPr>
            <w:tcW w:w="40" w:type="dxa"/>
            <w:vAlign w:val="bottom"/>
          </w:tcPr>
          <w:p>
            <w:pPr>
              <w:spacing w:after="0"/>
              <w:rPr>
                <w:sz w:val="24"/>
                <w:szCs w:val="24"/>
                <w:color w:val="auto"/>
              </w:rPr>
            </w:pPr>
          </w:p>
        </w:tc>
      </w:tr>
      <w:tr>
        <w:trPr>
          <w:trHeight w:val="17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right"/>
              <w:ind w:right="43"/>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right"/>
              <w:ind w:right="43"/>
              <w:spacing w:after="0"/>
              <w:rPr>
                <w:sz w:val="20"/>
                <w:szCs w:val="20"/>
                <w:color w:val="auto"/>
              </w:rPr>
            </w:pPr>
            <w:r>
              <w:rPr>
                <w:rFonts w:ascii="Arial" w:cs="Arial" w:eastAsia="Arial" w:hAnsi="Arial"/>
                <w:sz w:val="11"/>
                <w:szCs w:val="11"/>
                <w:color w:val="auto"/>
              </w:rPr>
              <w:t>30</w:t>
            </w:r>
          </w:p>
        </w:tc>
        <w:tc>
          <w:tcPr>
            <w:tcW w:w="40" w:type="dxa"/>
            <w:vAlign w:val="bottom"/>
          </w:tcPr>
          <w:p>
            <w:pPr>
              <w:spacing w:after="0"/>
              <w:rPr>
                <w:sz w:val="14"/>
                <w:szCs w:val="14"/>
                <w:color w:val="auto"/>
              </w:rPr>
            </w:pPr>
          </w:p>
        </w:tc>
      </w:tr>
      <w:tr>
        <w:trPr>
          <w:trHeight w:val="177"/>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w:t>
            </w:r>
          </w:p>
        </w:tc>
        <w:tc>
          <w:tcPr>
            <w:tcW w:w="40" w:type="dxa"/>
            <w:vAlign w:val="bottom"/>
            <w:tcBorders>
              <w:bottom w:val="single" w:sz="8" w:color="auto"/>
            </w:tcBorders>
          </w:tcPr>
          <w:p>
            <w:pPr>
              <w:spacing w:after="0"/>
              <w:rPr>
                <w:sz w:val="15"/>
                <w:szCs w:val="15"/>
                <w:color w:val="auto"/>
              </w:rPr>
            </w:pPr>
          </w:p>
        </w:tc>
      </w:tr>
      <w:tr>
        <w:trPr>
          <w:trHeight w:val="163"/>
        </w:trPr>
        <w:tc>
          <w:tcPr>
            <w:tcW w:w="4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43"/>
              <w:spacing w:after="0"/>
              <w:rPr>
                <w:sz w:val="20"/>
                <w:szCs w:val="20"/>
                <w:color w:val="auto"/>
              </w:rPr>
            </w:pPr>
            <w:r>
              <w:rPr>
                <w:rFonts w:ascii="Arial" w:cs="Arial" w:eastAsia="Arial" w:hAnsi="Arial"/>
                <w:sz w:val="11"/>
                <w:szCs w:val="11"/>
                <w:color w:val="auto"/>
              </w:rPr>
              <w:t>147</w:t>
            </w:r>
          </w:p>
        </w:tc>
        <w:tc>
          <w:tcPr>
            <w:tcW w:w="4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1167"/>
        </w:trPr>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Year Ended December 31, 2019</w:t>
            </w:r>
          </w:p>
        </w:tc>
      </w:tr>
      <w:tr>
        <w:trPr>
          <w:trHeight w:val="320"/>
        </w:trPr>
        <w:tc>
          <w:tcPr>
            <w:tcW w:w="440" w:type="dxa"/>
            <w:vAlign w:val="bottom"/>
            <w:gridSpan w:val="3"/>
          </w:tcPr>
          <w:p>
            <w:pPr>
              <w:ind w:left="26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63"/>
              <w:spacing w:after="0"/>
              <w:rPr>
                <w:sz w:val="20"/>
                <w:szCs w:val="20"/>
                <w:color w:val="auto"/>
              </w:rPr>
            </w:pPr>
            <w:r>
              <w:rPr>
                <w:rFonts w:ascii="Arial" w:cs="Arial" w:eastAsia="Arial" w:hAnsi="Arial"/>
                <w:sz w:val="11"/>
                <w:szCs w:val="11"/>
                <w:color w:val="auto"/>
              </w:rPr>
              <w:t>137</w:t>
            </w:r>
          </w:p>
        </w:tc>
        <w:tc>
          <w:tcPr>
            <w:tcW w:w="40" w:type="dxa"/>
            <w:vAlign w:val="bottom"/>
          </w:tcPr>
          <w:p>
            <w:pPr>
              <w:spacing w:after="0"/>
              <w:rPr>
                <w:sz w:val="24"/>
                <w:szCs w:val="24"/>
                <w:color w:val="auto"/>
              </w:rPr>
            </w:pPr>
          </w:p>
        </w:tc>
      </w:tr>
      <w:tr>
        <w:trPr>
          <w:trHeight w:val="177"/>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auto"/>
            </w:tcBorders>
          </w:tcPr>
          <w:p>
            <w:pPr>
              <w:spacing w:after="0"/>
              <w:rPr>
                <w:sz w:val="15"/>
                <w:szCs w:val="15"/>
                <w:color w:val="auto"/>
              </w:rPr>
            </w:pPr>
          </w:p>
        </w:tc>
      </w:tr>
      <w:tr>
        <w:trPr>
          <w:trHeight w:val="163"/>
        </w:trPr>
        <w:tc>
          <w:tcPr>
            <w:tcW w:w="26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2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138</w:t>
            </w:r>
          </w:p>
        </w:tc>
        <w:tc>
          <w:tcPr>
            <w:tcW w:w="40" w:type="dxa"/>
            <w:vAlign w:val="bottom"/>
            <w:tcBorders>
              <w:bottom w:val="single" w:sz="8" w:color="auto"/>
            </w:tcBorders>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58"/>
        </w:trPr>
        <w:tc>
          <w:tcPr>
            <w:tcW w:w="440" w:type="dxa"/>
            <w:vAlign w:val="bottom"/>
            <w:gridSpan w:val="3"/>
          </w:tcPr>
          <w:p>
            <w:pPr>
              <w:ind w:left="26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63"/>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22"/>
                <w:szCs w:val="22"/>
                <w:color w:val="auto"/>
              </w:rPr>
            </w:pPr>
          </w:p>
        </w:tc>
      </w:tr>
      <w:tr>
        <w:trPr>
          <w:trHeight w:val="474"/>
        </w:trPr>
        <w:tc>
          <w:tcPr>
            <w:tcW w:w="440" w:type="dxa"/>
            <w:vAlign w:val="bottom"/>
            <w:gridSpan w:val="3"/>
          </w:tcPr>
          <w:p>
            <w:pPr>
              <w:ind w:left="26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40" w:type="dxa"/>
            <w:vAlign w:val="bottom"/>
          </w:tcPr>
          <w:p>
            <w:pPr>
              <w:spacing w:after="0"/>
              <w:rPr>
                <w:sz w:val="24"/>
                <w:szCs w:val="24"/>
                <w:color w:val="auto"/>
              </w:rPr>
            </w:pPr>
          </w:p>
        </w:tc>
      </w:tr>
      <w:tr>
        <w:trPr>
          <w:trHeight w:val="172"/>
        </w:trPr>
        <w:tc>
          <w:tcPr>
            <w:tcW w:w="440" w:type="dxa"/>
            <w:vAlign w:val="bottom"/>
            <w:gridSpan w:val="3"/>
          </w:tcPr>
          <w:p>
            <w:pPr>
              <w:ind w:left="260"/>
              <w:spacing w:after="0"/>
              <w:rPr>
                <w:sz w:val="20"/>
                <w:szCs w:val="20"/>
                <w:color w:val="auto"/>
              </w:rPr>
            </w:pPr>
            <w:r>
              <w:rPr>
                <w:rFonts w:ascii="Arial" w:cs="Arial" w:eastAsia="Arial" w:hAnsi="Arial"/>
                <w:sz w:val="11"/>
                <w:szCs w:val="11"/>
                <w:color w:val="auto"/>
              </w:rPr>
              <w:t>$</w:t>
            </w:r>
          </w:p>
        </w:tc>
        <w:tc>
          <w:tcPr>
            <w:tcW w:w="200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4"/>
                <w:szCs w:val="14"/>
                <w:color w:val="auto"/>
              </w:rPr>
            </w:pPr>
          </w:p>
        </w:tc>
      </w:tr>
      <w:tr>
        <w:trPr>
          <w:trHeight w:val="844"/>
        </w:trPr>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ind w:left="280"/>
              <w:spacing w:after="0"/>
              <w:rPr>
                <w:sz w:val="20"/>
                <w:szCs w:val="20"/>
                <w:color w:val="auto"/>
              </w:rPr>
            </w:pPr>
            <w:r>
              <w:rPr>
                <w:rFonts w:ascii="Arial" w:cs="Arial" w:eastAsia="Arial" w:hAnsi="Arial"/>
                <w:sz w:val="11"/>
                <w:szCs w:val="11"/>
                <w:color w:val="auto"/>
              </w:rPr>
              <w:t>December 31, 2019</w:t>
            </w:r>
          </w:p>
        </w:tc>
      </w:tr>
      <w:tr>
        <w:trPr>
          <w:trHeight w:val="320"/>
        </w:trPr>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271</w:t>
            </w:r>
          </w:p>
        </w:tc>
        <w:tc>
          <w:tcPr>
            <w:tcW w:w="40" w:type="dxa"/>
            <w:vAlign w:val="bottom"/>
          </w:tcPr>
          <w:p>
            <w:pPr>
              <w:spacing w:after="0"/>
              <w:rPr>
                <w:sz w:val="24"/>
                <w:szCs w:val="24"/>
                <w:color w:val="auto"/>
              </w:rPr>
            </w:pPr>
          </w:p>
        </w:tc>
      </w:tr>
      <w:tr>
        <w:trPr>
          <w:trHeight w:val="345"/>
        </w:trPr>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83"/>
              <w:spacing w:after="0"/>
              <w:rPr>
                <w:sz w:val="20"/>
                <w:szCs w:val="20"/>
                <w:color w:val="auto"/>
              </w:rPr>
            </w:pPr>
            <w:r>
              <w:rPr>
                <w:rFonts w:ascii="Arial" w:cs="Arial" w:eastAsia="Arial" w:hAnsi="Arial"/>
                <w:sz w:val="11"/>
                <w:szCs w:val="11"/>
                <w:color w:val="auto"/>
              </w:rPr>
              <w:t>91</w:t>
            </w:r>
          </w:p>
        </w:tc>
        <w:tc>
          <w:tcPr>
            <w:tcW w:w="40" w:type="dxa"/>
            <w:vAlign w:val="bottom"/>
          </w:tcPr>
          <w:p>
            <w:pPr>
              <w:spacing w:after="0"/>
              <w:rPr>
                <w:sz w:val="24"/>
                <w:szCs w:val="24"/>
                <w:color w:val="auto"/>
              </w:rPr>
            </w:pPr>
          </w:p>
        </w:tc>
      </w:tr>
      <w:tr>
        <w:trPr>
          <w:trHeight w:val="177"/>
        </w:trPr>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229</w:t>
            </w:r>
          </w:p>
        </w:tc>
        <w:tc>
          <w:tcPr>
            <w:tcW w:w="40" w:type="dxa"/>
            <w:vAlign w:val="bottom"/>
          </w:tcPr>
          <w:p>
            <w:pPr>
              <w:spacing w:after="0"/>
              <w:rPr>
                <w:sz w:val="15"/>
                <w:szCs w:val="15"/>
                <w:color w:val="auto"/>
              </w:rPr>
            </w:pPr>
          </w:p>
        </w:tc>
      </w:tr>
      <w:tr>
        <w:trPr>
          <w:trHeight w:val="163"/>
        </w:trPr>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320</w:t>
            </w:r>
          </w:p>
        </w:tc>
        <w:tc>
          <w:tcPr>
            <w:tcW w:w="40" w:type="dxa"/>
            <w:vAlign w:val="bottom"/>
          </w:tcPr>
          <w:p>
            <w:pPr>
              <w:spacing w:after="0"/>
              <w:rPr>
                <w:sz w:val="14"/>
                <w:szCs w:val="1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7"/>
        </w:trPr>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83"/>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24"/>
                <w:szCs w:val="24"/>
                <w:color w:val="auto"/>
              </w:rPr>
            </w:pPr>
          </w:p>
        </w:tc>
      </w:tr>
      <w:tr>
        <w:trPr>
          <w:trHeight w:val="345"/>
        </w:trPr>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83"/>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24"/>
                <w:szCs w:val="24"/>
                <w:color w:val="auto"/>
              </w:rPr>
            </w:pPr>
          </w:p>
        </w:tc>
      </w:tr>
      <w:tr>
        <w:trPr>
          <w:trHeight w:val="177"/>
        </w:trPr>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5"/>
                <w:szCs w:val="15"/>
                <w:color w:val="auto"/>
              </w:rPr>
            </w:pPr>
          </w:p>
        </w:tc>
      </w:tr>
      <w:tr>
        <w:trPr>
          <w:trHeight w:val="163"/>
        </w:trPr>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w:t>
            </w:r>
          </w:p>
        </w:tc>
        <w:tc>
          <w:tcPr>
            <w:tcW w:w="40" w:type="dxa"/>
            <w:vAlign w:val="bottom"/>
          </w:tcPr>
          <w:p>
            <w:pPr>
              <w:spacing w:after="0"/>
              <w:rPr>
                <w:sz w:val="14"/>
                <w:szCs w:val="1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4"/>
          <w:szCs w:val="14"/>
          <w:color w:val="3051F2"/>
        </w:rPr>
        <w:t>CNDT 2019 Annual Report</w:t>
      </w:r>
    </w:p>
    <w:p>
      <w:pPr>
        <w:sectPr>
          <w:pgSz w:w="11900" w:h="16838" w:orient="portrait"/>
          <w:cols w:equalWidth="0" w:num="2">
            <w:col w:w="8260" w:space="720"/>
            <w:col w:w="2480"/>
          </w:cols>
          <w:pgMar w:left="220" w:top="153" w:right="219"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The Company's leases generally do not provide an implicit rate,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 The weighted average discount rates for operating and finance leases were 5.5% and 4.8%,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remaining lease terms for operating and finance leases at December 31, 2019, were 5 years and 3 years,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Maturities of operating lease liabilities were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9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December 31, 2019</w:t>
            </w:r>
          </w:p>
        </w:tc>
      </w:tr>
      <w:tr>
        <w:trPr>
          <w:trHeight w:val="163"/>
        </w:trPr>
        <w:tc>
          <w:tcPr>
            <w:tcW w:w="922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4"/>
                <w:szCs w:val="14"/>
                <w:color w:val="auto"/>
              </w:rPr>
            </w:pPr>
          </w:p>
        </w:tc>
        <w:tc>
          <w:tcPr>
            <w:tcW w:w="1980" w:type="dxa"/>
            <w:vAlign w:val="bottom"/>
          </w:tcPr>
          <w:p>
            <w:pPr>
              <w:jc w:val="right"/>
              <w:ind w:right="363"/>
              <w:spacing w:after="0"/>
              <w:rPr>
                <w:sz w:val="20"/>
                <w:szCs w:val="20"/>
                <w:color w:val="auto"/>
              </w:rPr>
            </w:pPr>
            <w:r>
              <w:rPr>
                <w:rFonts w:ascii="Arial" w:cs="Arial" w:eastAsia="Arial" w:hAnsi="Arial"/>
                <w:sz w:val="11"/>
                <w:szCs w:val="11"/>
                <w:color w:val="auto"/>
              </w:rPr>
              <w:t>Operating Lease Payments</w:t>
            </w:r>
          </w:p>
        </w:tc>
      </w:tr>
      <w:tr>
        <w:trPr>
          <w:trHeight w:val="177"/>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2020</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106</w:t>
            </w:r>
          </w:p>
        </w:tc>
      </w:tr>
      <w:tr>
        <w:trPr>
          <w:trHeight w:val="168"/>
        </w:trPr>
        <w:tc>
          <w:tcPr>
            <w:tcW w:w="9220" w:type="dxa"/>
            <w:vAlign w:val="bottom"/>
          </w:tcPr>
          <w:p>
            <w:pPr>
              <w:ind w:left="20"/>
              <w:spacing w:after="0"/>
              <w:rPr>
                <w:sz w:val="20"/>
                <w:szCs w:val="20"/>
                <w:color w:val="auto"/>
              </w:rPr>
            </w:pPr>
            <w:r>
              <w:rPr>
                <w:rFonts w:ascii="Arial" w:cs="Arial" w:eastAsia="Arial" w:hAnsi="Arial"/>
                <w:sz w:val="11"/>
                <w:szCs w:val="11"/>
                <w:color w:val="auto"/>
              </w:rPr>
              <w:t>2021</w:t>
            </w:r>
          </w:p>
        </w:tc>
        <w:tc>
          <w:tcPr>
            <w:tcW w:w="240" w:type="dxa"/>
            <w:vAlign w:val="bottom"/>
          </w:tcPr>
          <w:p>
            <w:pPr>
              <w:spacing w:after="0"/>
              <w:rPr>
                <w:sz w:val="14"/>
                <w:szCs w:val="14"/>
                <w:color w:val="auto"/>
              </w:rPr>
            </w:pPr>
          </w:p>
        </w:tc>
        <w:tc>
          <w:tcPr>
            <w:tcW w:w="1980" w:type="dxa"/>
            <w:vAlign w:val="bottom"/>
          </w:tcPr>
          <w:p>
            <w:pPr>
              <w:jc w:val="right"/>
              <w:ind w:right="103"/>
              <w:spacing w:after="0"/>
              <w:rPr>
                <w:sz w:val="20"/>
                <w:szCs w:val="20"/>
                <w:color w:val="auto"/>
              </w:rPr>
            </w:pPr>
            <w:r>
              <w:rPr>
                <w:rFonts w:ascii="Arial" w:cs="Arial" w:eastAsia="Arial" w:hAnsi="Arial"/>
                <w:sz w:val="11"/>
                <w:szCs w:val="11"/>
                <w:color w:val="auto"/>
              </w:rPr>
              <w:t>79</w:t>
            </w:r>
          </w:p>
        </w:tc>
      </w:tr>
      <w:tr>
        <w:trPr>
          <w:trHeight w:val="177"/>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2022</w:t>
            </w: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57</w:t>
            </w:r>
          </w:p>
        </w:tc>
      </w:tr>
      <w:tr>
        <w:trPr>
          <w:trHeight w:val="168"/>
        </w:trPr>
        <w:tc>
          <w:tcPr>
            <w:tcW w:w="9220" w:type="dxa"/>
            <w:vAlign w:val="bottom"/>
          </w:tcPr>
          <w:p>
            <w:pPr>
              <w:ind w:left="20"/>
              <w:spacing w:after="0"/>
              <w:rPr>
                <w:sz w:val="20"/>
                <w:szCs w:val="20"/>
                <w:color w:val="auto"/>
              </w:rPr>
            </w:pPr>
            <w:r>
              <w:rPr>
                <w:rFonts w:ascii="Arial" w:cs="Arial" w:eastAsia="Arial" w:hAnsi="Arial"/>
                <w:sz w:val="11"/>
                <w:szCs w:val="11"/>
                <w:color w:val="auto"/>
              </w:rPr>
              <w:t>2023</w:t>
            </w:r>
          </w:p>
        </w:tc>
        <w:tc>
          <w:tcPr>
            <w:tcW w:w="240" w:type="dxa"/>
            <w:vAlign w:val="bottom"/>
          </w:tcPr>
          <w:p>
            <w:pPr>
              <w:spacing w:after="0"/>
              <w:rPr>
                <w:sz w:val="14"/>
                <w:szCs w:val="14"/>
                <w:color w:val="auto"/>
              </w:rPr>
            </w:pPr>
          </w:p>
        </w:tc>
        <w:tc>
          <w:tcPr>
            <w:tcW w:w="1980" w:type="dxa"/>
            <w:vAlign w:val="bottom"/>
          </w:tcPr>
          <w:p>
            <w:pPr>
              <w:jc w:val="right"/>
              <w:ind w:right="103"/>
              <w:spacing w:after="0"/>
              <w:rPr>
                <w:sz w:val="20"/>
                <w:szCs w:val="20"/>
                <w:color w:val="auto"/>
              </w:rPr>
            </w:pPr>
            <w:r>
              <w:rPr>
                <w:rFonts w:ascii="Arial" w:cs="Arial" w:eastAsia="Arial" w:hAnsi="Arial"/>
                <w:sz w:val="11"/>
                <w:szCs w:val="11"/>
                <w:color w:val="auto"/>
              </w:rPr>
              <w:t>36</w:t>
            </w:r>
          </w:p>
        </w:tc>
      </w:tr>
      <w:tr>
        <w:trPr>
          <w:trHeight w:val="177"/>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28</w:t>
            </w:r>
          </w:p>
        </w:tc>
      </w:tr>
      <w:tr>
        <w:trPr>
          <w:trHeight w:val="16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62</w:t>
            </w:r>
          </w:p>
        </w:tc>
      </w:tr>
      <w:tr>
        <w:trPr>
          <w:trHeight w:val="168"/>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undiscounted operating lease payments</w:t>
            </w:r>
          </w:p>
        </w:tc>
        <w:tc>
          <w:tcPr>
            <w:tcW w:w="24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368</w:t>
            </w:r>
          </w:p>
        </w:tc>
      </w:tr>
      <w:tr>
        <w:trPr>
          <w:trHeight w:val="16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imputed interest</w:t>
            </w: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48</w:t>
            </w:r>
          </w:p>
        </w:tc>
      </w:tr>
      <w:tr>
        <w:trPr>
          <w:trHeight w:val="193"/>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Present value of operating lease liabilities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9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320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Maturities of finance lease liabilities were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9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December 31, 2019</w:t>
            </w:r>
          </w:p>
        </w:tc>
      </w:tr>
      <w:tr>
        <w:trPr>
          <w:trHeight w:val="163"/>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(in millions)</w:t>
            </w: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Finance Lease Payments</w:t>
            </w:r>
          </w:p>
        </w:tc>
      </w:tr>
      <w:tr>
        <w:trPr>
          <w:trHeight w:val="168"/>
        </w:trPr>
        <w:tc>
          <w:tcPr>
            <w:tcW w:w="9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w:t>
            </w:r>
          </w:p>
        </w:tc>
      </w:tr>
      <w:tr>
        <w:trPr>
          <w:trHeight w:val="168"/>
        </w:trPr>
        <w:tc>
          <w:tcPr>
            <w:tcW w:w="9120" w:type="dxa"/>
            <w:vAlign w:val="bottom"/>
          </w:tcPr>
          <w:p>
            <w:pPr>
              <w:ind w:left="20"/>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jc w:val="right"/>
              <w:ind w:right="103"/>
              <w:spacing w:after="0"/>
              <w:rPr>
                <w:sz w:val="20"/>
                <w:szCs w:val="20"/>
                <w:color w:val="auto"/>
              </w:rPr>
            </w:pPr>
            <w:r>
              <w:rPr>
                <w:rFonts w:ascii="Arial" w:cs="Arial" w:eastAsia="Arial" w:hAnsi="Arial"/>
                <w:sz w:val="11"/>
                <w:szCs w:val="11"/>
                <w:color w:val="auto"/>
              </w:rPr>
              <w:t>6</w:t>
            </w:r>
          </w:p>
        </w:tc>
      </w:tr>
      <w:tr>
        <w:trPr>
          <w:trHeight w:val="177"/>
        </w:trPr>
        <w:tc>
          <w:tcPr>
            <w:tcW w:w="9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w:t>
            </w:r>
          </w:p>
        </w:tc>
      </w:tr>
      <w:tr>
        <w:trPr>
          <w:trHeight w:val="168"/>
        </w:trPr>
        <w:tc>
          <w:tcPr>
            <w:tcW w:w="9120" w:type="dxa"/>
            <w:vAlign w:val="bottom"/>
          </w:tcPr>
          <w:p>
            <w:pPr>
              <w:ind w:left="20"/>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jc w:val="right"/>
              <w:ind w:right="103"/>
              <w:spacing w:after="0"/>
              <w:rPr>
                <w:sz w:val="20"/>
                <w:szCs w:val="20"/>
                <w:color w:val="auto"/>
              </w:rPr>
            </w:pPr>
            <w:r>
              <w:rPr>
                <w:rFonts w:ascii="Arial" w:cs="Arial" w:eastAsia="Arial" w:hAnsi="Arial"/>
                <w:sz w:val="11"/>
                <w:szCs w:val="11"/>
                <w:color w:val="auto"/>
              </w:rPr>
              <w:t>1</w:t>
            </w:r>
          </w:p>
        </w:tc>
      </w:tr>
      <w:tr>
        <w:trPr>
          <w:trHeight w:val="177"/>
        </w:trPr>
        <w:tc>
          <w:tcPr>
            <w:tcW w:w="9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r>
      <w:tr>
        <w:trPr>
          <w:trHeight w:val="168"/>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Thereafter</w:t>
            </w: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r>
      <w:tr>
        <w:trPr>
          <w:trHeight w:val="168"/>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undiscounted finance lease payments</w:t>
            </w:r>
          </w:p>
        </w:tc>
        <w:tc>
          <w:tcPr>
            <w:tcW w:w="260" w:type="dxa"/>
            <w:vAlign w:val="bottom"/>
            <w:shd w:val="clear" w:color="auto" w:fill="CCEEFF"/>
          </w:tcPr>
          <w:p>
            <w:pPr>
              <w:spacing w:after="0"/>
              <w:rPr>
                <w:sz w:val="14"/>
                <w:szCs w:val="14"/>
                <w:color w:val="auto"/>
              </w:rPr>
            </w:pPr>
          </w:p>
        </w:tc>
        <w:tc>
          <w:tcPr>
            <w:tcW w:w="1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18</w:t>
            </w:r>
          </w:p>
        </w:tc>
      </w:tr>
      <w:tr>
        <w:trPr>
          <w:trHeight w:val="168"/>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Less imputed interest</w:t>
            </w: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w:t>
            </w:r>
          </w:p>
        </w:tc>
      </w:tr>
      <w:tr>
        <w:trPr>
          <w:trHeight w:val="19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Present value of finance lease liabilities</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9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17</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60"/>
        <w:spacing w:after="0" w:line="273" w:lineRule="auto"/>
        <w:rPr>
          <w:sz w:val="20"/>
          <w:szCs w:val="20"/>
          <w:color w:val="auto"/>
        </w:rPr>
      </w:pPr>
      <w:r>
        <w:rPr>
          <w:rFonts w:ascii="Arial" w:cs="Arial" w:eastAsia="Arial" w:hAnsi="Arial"/>
          <w:sz w:val="14"/>
          <w:szCs w:val="14"/>
          <w:color w:val="auto"/>
        </w:rPr>
        <w:t>As of December 31, 2019, the Company had entered into additional operating lease agreements for real estate of $15 million, which have not commenced and have not been recognized on the Company's Consolidated Balance Sheet. These operating leases are expected to commence in 2020 with lease terms of 3 to 10 years.</w:t>
      </w:r>
    </w:p>
    <w:p>
      <w:pPr>
        <w:spacing w:after="0" w:line="200" w:lineRule="exact"/>
        <w:rPr>
          <w:sz w:val="20"/>
          <w:szCs w:val="20"/>
          <w:color w:val="auto"/>
        </w:rPr>
      </w:pP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Under the previous lease accounting guidance, future minimum operating lease commitments that have initial or remaining non-cancelable lease term in excess of one year at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2018 were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9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December 31, 2018</w:t>
            </w:r>
          </w:p>
        </w:tc>
      </w:tr>
      <w:tr>
        <w:trPr>
          <w:trHeight w:val="163"/>
        </w:trPr>
        <w:tc>
          <w:tcPr>
            <w:tcW w:w="922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4"/>
                <w:szCs w:val="14"/>
                <w:color w:val="auto"/>
              </w:rPr>
            </w:pPr>
          </w:p>
        </w:tc>
        <w:tc>
          <w:tcPr>
            <w:tcW w:w="1980" w:type="dxa"/>
            <w:vAlign w:val="bottom"/>
          </w:tcPr>
          <w:p>
            <w:pPr>
              <w:jc w:val="right"/>
              <w:ind w:right="363"/>
              <w:spacing w:after="0"/>
              <w:rPr>
                <w:sz w:val="20"/>
                <w:szCs w:val="20"/>
                <w:color w:val="auto"/>
              </w:rPr>
            </w:pPr>
            <w:r>
              <w:rPr>
                <w:rFonts w:ascii="Arial" w:cs="Arial" w:eastAsia="Arial" w:hAnsi="Arial"/>
                <w:sz w:val="11"/>
                <w:szCs w:val="11"/>
                <w:color w:val="auto"/>
              </w:rPr>
              <w:t>Operating Lease Payments</w:t>
            </w:r>
          </w:p>
        </w:tc>
      </w:tr>
      <w:tr>
        <w:trPr>
          <w:trHeight w:val="177"/>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153</w:t>
            </w:r>
          </w:p>
        </w:tc>
      </w:tr>
      <w:tr>
        <w:trPr>
          <w:trHeight w:val="168"/>
        </w:trPr>
        <w:tc>
          <w:tcPr>
            <w:tcW w:w="9220" w:type="dxa"/>
            <w:vAlign w:val="bottom"/>
          </w:tcPr>
          <w:p>
            <w:pPr>
              <w:ind w:left="20"/>
              <w:spacing w:after="0"/>
              <w:rPr>
                <w:sz w:val="20"/>
                <w:szCs w:val="20"/>
                <w:color w:val="auto"/>
              </w:rPr>
            </w:pPr>
            <w:r>
              <w:rPr>
                <w:rFonts w:ascii="Arial" w:cs="Arial" w:eastAsia="Arial" w:hAnsi="Arial"/>
                <w:sz w:val="11"/>
                <w:szCs w:val="11"/>
                <w:color w:val="auto"/>
              </w:rPr>
              <w:t>2020</w:t>
            </w:r>
          </w:p>
        </w:tc>
        <w:tc>
          <w:tcPr>
            <w:tcW w:w="240" w:type="dxa"/>
            <w:vAlign w:val="bottom"/>
          </w:tcPr>
          <w:p>
            <w:pPr>
              <w:spacing w:after="0"/>
              <w:rPr>
                <w:sz w:val="14"/>
                <w:szCs w:val="14"/>
                <w:color w:val="auto"/>
              </w:rPr>
            </w:pPr>
          </w:p>
        </w:tc>
        <w:tc>
          <w:tcPr>
            <w:tcW w:w="1980" w:type="dxa"/>
            <w:vAlign w:val="bottom"/>
          </w:tcPr>
          <w:p>
            <w:pPr>
              <w:jc w:val="right"/>
              <w:ind w:right="103"/>
              <w:spacing w:after="0"/>
              <w:rPr>
                <w:sz w:val="20"/>
                <w:szCs w:val="20"/>
                <w:color w:val="auto"/>
              </w:rPr>
            </w:pPr>
            <w:r>
              <w:rPr>
                <w:rFonts w:ascii="Arial" w:cs="Arial" w:eastAsia="Arial" w:hAnsi="Arial"/>
                <w:sz w:val="11"/>
                <w:szCs w:val="11"/>
                <w:color w:val="auto"/>
              </w:rPr>
              <w:t>113</w:t>
            </w:r>
          </w:p>
        </w:tc>
      </w:tr>
      <w:tr>
        <w:trPr>
          <w:trHeight w:val="177"/>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2021</w:t>
            </w: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78</w:t>
            </w:r>
          </w:p>
        </w:tc>
      </w:tr>
      <w:tr>
        <w:trPr>
          <w:trHeight w:val="168"/>
        </w:trPr>
        <w:tc>
          <w:tcPr>
            <w:tcW w:w="9220" w:type="dxa"/>
            <w:vAlign w:val="bottom"/>
          </w:tcPr>
          <w:p>
            <w:pPr>
              <w:ind w:left="20"/>
              <w:spacing w:after="0"/>
              <w:rPr>
                <w:sz w:val="20"/>
                <w:szCs w:val="20"/>
                <w:color w:val="auto"/>
              </w:rPr>
            </w:pPr>
            <w:r>
              <w:rPr>
                <w:rFonts w:ascii="Arial" w:cs="Arial" w:eastAsia="Arial" w:hAnsi="Arial"/>
                <w:sz w:val="11"/>
                <w:szCs w:val="11"/>
                <w:color w:val="auto"/>
              </w:rPr>
              <w:t>2022</w:t>
            </w:r>
          </w:p>
        </w:tc>
        <w:tc>
          <w:tcPr>
            <w:tcW w:w="240" w:type="dxa"/>
            <w:vAlign w:val="bottom"/>
          </w:tcPr>
          <w:p>
            <w:pPr>
              <w:spacing w:after="0"/>
              <w:rPr>
                <w:sz w:val="14"/>
                <w:szCs w:val="14"/>
                <w:color w:val="auto"/>
              </w:rPr>
            </w:pPr>
          </w:p>
        </w:tc>
        <w:tc>
          <w:tcPr>
            <w:tcW w:w="1980" w:type="dxa"/>
            <w:vAlign w:val="bottom"/>
          </w:tcPr>
          <w:p>
            <w:pPr>
              <w:jc w:val="right"/>
              <w:ind w:right="103"/>
              <w:spacing w:after="0"/>
              <w:rPr>
                <w:sz w:val="20"/>
                <w:szCs w:val="20"/>
                <w:color w:val="auto"/>
              </w:rPr>
            </w:pPr>
            <w:r>
              <w:rPr>
                <w:rFonts w:ascii="Arial" w:cs="Arial" w:eastAsia="Arial" w:hAnsi="Arial"/>
                <w:sz w:val="11"/>
                <w:szCs w:val="11"/>
                <w:color w:val="auto"/>
              </w:rPr>
              <w:t>53</w:t>
            </w:r>
          </w:p>
        </w:tc>
      </w:tr>
      <w:tr>
        <w:trPr>
          <w:trHeight w:val="177"/>
        </w:trPr>
        <w:tc>
          <w:tcPr>
            <w:tcW w:w="9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2023</w:t>
            </w: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33</w:t>
            </w:r>
          </w:p>
        </w:tc>
      </w:tr>
      <w:tr>
        <w:trPr>
          <w:trHeight w:val="16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76</w:t>
            </w:r>
          </w:p>
        </w:tc>
      </w:tr>
      <w:tr>
        <w:trPr>
          <w:trHeight w:val="193"/>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minimum operating lease payments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9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506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consist of cash on hand, including money market funds and investments with original maturities of three months or less.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Receivable Sales</w:t>
      </w:r>
    </w:p>
    <w:p>
      <w:pPr>
        <w:spacing w:after="0" w:line="223"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In 2019, 2018 and 2017, the Company sold certain accounts receivable and derecognized the corresponding receivable balance. Refer to Note 6 – Accounts Receivable, Net for more details on our receivable sales.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classify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83" w:lineRule="exact"/>
        <w:rPr>
          <w:sz w:val="20"/>
          <w:szCs w:val="20"/>
          <w:color w:val="auto"/>
        </w:rPr>
      </w:pPr>
    </w:p>
    <w:p>
      <w:pPr>
        <w:jc w:val="both"/>
        <w:ind w:right="120"/>
        <w:spacing w:after="0" w:line="264"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1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2018, management approved the disposal through sale of certain assets and businesses. This action was taken as a result of the Company's strategic evaluation of these businesses. As of December 31, 2018, one of these businesses remained unsold and qualified as assets held for sale and we reclassified $15 million to assets held for sale and $40 million to liabilities held for sale.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 Divestiture for further discussion.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Land, Buildings and Equipment</w:t>
      </w:r>
    </w:p>
    <w:p>
      <w:pPr>
        <w:spacing w:after="0" w:line="223"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Land, buildings and equipment are recorded at cost. Buildings and equipment are depreciated over their estimated useful lives. Leasehold improvements are depreciated over the shorter of the lease term or the estimated useful life. Significant improvements are capitalized and maintenance and repairs are expensed when incurred.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Land, Buildings, Equipment and Software, Net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Software - Internal Use and Product</w:t>
      </w:r>
    </w:p>
    <w:p>
      <w:pPr>
        <w:spacing w:after="0" w:line="205" w:lineRule="exact"/>
        <w:rPr>
          <w:sz w:val="20"/>
          <w:szCs w:val="20"/>
          <w:color w:val="auto"/>
        </w:rPr>
      </w:pPr>
    </w:p>
    <w:p>
      <w:pPr>
        <w:jc w:val="both"/>
        <w:ind w:right="220"/>
        <w:spacing w:after="0" w:line="278" w:lineRule="auto"/>
        <w:rPr>
          <w:sz w:val="20"/>
          <w:szCs w:val="20"/>
          <w:color w:val="auto"/>
        </w:rPr>
      </w:pPr>
      <w:r>
        <w:rPr>
          <w:rFonts w:ascii="Arial" w:cs="Arial" w:eastAsia="Arial" w:hAnsi="Arial"/>
          <w:sz w:val="14"/>
          <w:szCs w:val="14"/>
          <w:b w:val="1"/>
          <w:bCs w:val="1"/>
          <w:color w:val="auto"/>
        </w:rPr>
        <w:t xml:space="preserve">Internal Use: </w:t>
      </w:r>
      <w:r>
        <w:rPr>
          <w:rFonts w:ascii="Arial" w:cs="Arial" w:eastAsia="Arial" w:hAnsi="Arial"/>
          <w:sz w:val="14"/>
          <w:szCs w:val="14"/>
          <w:color w:val="auto"/>
        </w:rPr>
        <w:t>We capitalize direct costs associated with developing, purchasing or otherwise acquiring software for internal use and amortize these costs on a straight-line basis</w:t>
      </w:r>
      <w:r>
        <w:rPr>
          <w:rFonts w:ascii="Arial" w:cs="Arial" w:eastAsia="Arial" w:hAnsi="Arial"/>
          <w:sz w:val="14"/>
          <w:szCs w:val="14"/>
          <w:b w:val="1"/>
          <w:bCs w:val="1"/>
          <w:color w:val="auto"/>
        </w:rPr>
        <w:t xml:space="preserve"> </w:t>
      </w:r>
      <w:r>
        <w:rPr>
          <w:rFonts w:ascii="Arial" w:cs="Arial" w:eastAsia="Arial" w:hAnsi="Arial"/>
          <w:sz w:val="14"/>
          <w:szCs w:val="14"/>
          <w:color w:val="auto"/>
        </w:rPr>
        <w:t>over the expected useful life of the software, beginning when the software is implemented. Costs for upgrades and enhancements that will not result in additional functionality are expensed as incurred. Amounts incurred for Internal Use Software are included in Cash Flows from Investing.</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Land, Buildings, Equipment and Software, Net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In January 2017, the FASB issued updated accounting guidance for simplifying the goodwill impairment test. We early adopted this guidance for our goodwill impairment tests performed after January 1, 2017. We test goodwill for impairment annually or more frequently if an event or change in circumstances indicate the asset may be impaired. Impairment testing for goodwill is done at the reporting unit level. We determined the fair value of our reporting units utilizing a combination of both an Income Approach and a Market Approach. The Income Approach utilizes a discounted cash flow analysis based upon the forecasted future business results of our reporting units.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Intangible Assets</w:t>
      </w:r>
    </w:p>
    <w:p>
      <w:pPr>
        <w:spacing w:after="0" w:line="223"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Other intangible assets primarily consist of assets acquired through business combinations, including installed customer base and distribution network relationships, patents and trademarks. Other intangible assets are amortized on a straight-line basis over their estimated economic lives unless impairment is identified.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of Long-Lived Assets</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review the recoverability of our long-lived assets, including buildings, equipment, internal use software, product software and other intangible assets, when events or changes in circumstances occur that indicate that the carrying value of the asset may not be recoverable. The assessment of possible impairment is based on our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Our primary measure of fair value is based on forecasted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account for income taxes under the asset and liability method. Deferred tax assets and liabilities are based on differences between U.S. GAAP reporting and tax bases of assets or liabilities and based on current tax laws, regulations and rates.</w:t>
      </w:r>
    </w:p>
    <w:p>
      <w:pPr>
        <w:spacing w:after="0" w:line="172"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The recognition of deferred tax assets requires an assessment to determine the realization of such assets. Management establishes valuation allowances on deferred tax assets when it is determined “more-likely-than-not” that some portion or all of the deferred tax assets may not be realized. Management considers positive and negative evidence in evaluating the ability of the Company to realize its deferred tax assets, including its historical results and forecasts of future ability to realize its deferred tax assets, including projected future taxable income, the expected timing of the reversals of existing temporary differences and tax planning strategies.</w:t>
      </w:r>
    </w:p>
    <w:p>
      <w:pPr>
        <w:spacing w:after="0" w:line="180"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are subject to ongoing tax examinations and assessments in various jurisdictions. We have unrecognized tax benefits for uncertain tax positions. We follow U.S. GAAP which prescribes a recognition threshold and measurement attribute for the financial statement recognition and measurement of a tax position taken or expected to be taken in a tax return. Our ongoing assessments of the more-likely-than-not outcomes of the examinations and related tax positions require judgment and can materially increase or decrease our effective tax rate, as well as impact our operating results.</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were recognized for the year ended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Currency Translation and Re-measurement</w:t>
      </w:r>
    </w:p>
    <w:p>
      <w:pPr>
        <w:spacing w:after="0" w:line="223"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recorded in Currency (gains) and losses within other expenses, net together with other foreign currency re-measurements.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May 2014, the FASB updated the accounting guidance related to revenue recognition, which is also referred to herein as "the new revenue standard" to clarify the principles for recognizing revenue and replaced all existing revenue recognition guidance in U.S. GAAP with one accounting model. The core principle of the guidance is that an entity should recognize revenue when the promised goods or services are transferred to customers in an amount that reflects the consideration that is expected to be received for those goods or services. The updated guidance also requires additional qualitative and quantitative disclosures relating to the nature, amount, timing and uncertainty of revenue and cash flows arising from contracts with customers largely on a disaggregated basis. The Company adopted the new revenue standard as of January 1, 2018, using the modified retrospective method. The Company has applied the new revenue standard only to contracts not completed as of the date of initial application. The adoption has primarily impacted the following:</w:t>
      </w:r>
    </w:p>
    <w:p>
      <w:pPr>
        <w:spacing w:after="0" w:line="3" w:lineRule="exact"/>
        <w:rPr>
          <w:sz w:val="20"/>
          <w:szCs w:val="20"/>
          <w:color w:val="auto"/>
        </w:rPr>
      </w:pPr>
    </w:p>
    <w:p>
      <w:pPr>
        <w:ind w:right="40" w:firstLine="6"/>
        <w:spacing w:after="0" w:line="273" w:lineRule="auto"/>
        <w:tabs>
          <w:tab w:leader="none" w:pos="215"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revenue associated with postage recognized on a net basis versus previously being recognized on a gross basis; (2) the timing of revenue recognition associated with fixed fees for certain contracts with more than one performance obligation; and (3) the timing of recognition of certain pricing discounts and credits.</w:t>
      </w:r>
    </w:p>
    <w:p>
      <w:pPr>
        <w:spacing w:after="0" w:line="172"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The Company recognizes revenue when control of the promised goods or services is transferred to its customers, in an amount that reflects the consideration that the Company expects to receive in exchange for those goods or services.</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judgment. Typically, the Company’s contracts include performance obligation(s) to stand-ready on a daily or monthly basis to provide services to the customers. Under a stand-ready obligation, the evaluation of the nature of our performance obligation is focused on each time increment rather than the underlying activities. Accordingly, the promise to stand-ready is accounted for as a single-series performance obligation.</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Once the Company determines the performance obligations, the Company estimates the amount of variable consideration, if any, to be included in determining the transaction price. Typical forms of variable consideration include variable pricing based on the number of transactions processed or usage-based pricing arrangements. Variable consideration is also present in the form of volume discounts, tiered and declining pricing, penalties for service level agreements, performance bonuses and credits. In circumstances where we meet certain requirements to allocate variable consideration to a distinct service within a series of related services, we allocate variable consideration to each distinct period of service within the series. If we do not meet those requirements, we include an estimate of variable consideration in the transaction price to the extent it is probable that a significant reversal of cumulative revenue recognized will not occur when the uncertainty is resolved. For contracts with multiple performance obligations, the transaction price is allocated to the separate performance obligations on a relative standalone selling price basis. The Company generally determines standalone selling prices based on the prices charged to customers or by using expected cost plus margin.</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Company typically satisfies its performance obligations over time as the services are provided. A time-elapsed output method is used to measure progress because the nature of the Company’s promise is a stand-ready service and efforts are expended evenly throughout the period. In limited circumstances, such as contracts for implementation or development projects, the Company also uses a cost-to-cost based input method. The Company has determined that the above methods provide a faithful depiction of the transfer of services to the customer.</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Estimates of revenue expected to be recognized in future periods exclude unexercised customer options to purchase additional services that do not represent material rights to the customer. Customer options that do not represent a material right are only accounted for when the customer exercises its option to purchase additional goods or services. The Company recognizes revenue for non-refundable upfront implementation fees on a straight-line basis over the period between the initiation of the services through the end of the contract term.</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When more than one party is involved in providing services to a customer, the Company evaluates whether it is the principal, and reports revenue on a gross basis, or an agent, and reports revenue on a net basis. In this assessment, the Company considers the following: if it obtains control of the specified services before they are transferred to the customer; is primarily responsible for fulfillment and inventory risk; and has discretion in establishing price.</w:t>
      </w:r>
    </w:p>
    <w:p>
      <w:pPr>
        <w:spacing w:after="0" w:line="179" w:lineRule="exact"/>
        <w:rPr>
          <w:sz w:val="20"/>
          <w:szCs w:val="20"/>
          <w:color w:val="auto"/>
        </w:rPr>
      </w:pPr>
    </w:p>
    <w:p>
      <w:pPr>
        <w:ind w:right="640"/>
        <w:spacing w:after="0" w:line="273" w:lineRule="auto"/>
        <w:rPr>
          <w:sz w:val="20"/>
          <w:szCs w:val="20"/>
          <w:color w:val="auto"/>
        </w:rPr>
      </w:pPr>
      <w:r>
        <w:rPr>
          <w:rFonts w:ascii="Arial" w:cs="Arial" w:eastAsia="Arial" w:hAnsi="Arial"/>
          <w:sz w:val="14"/>
          <w:szCs w:val="14"/>
          <w:color w:val="auto"/>
        </w:rPr>
        <w:t>The Company reports revenue net of any revenue-based taxes assessed by governmental authorities that are imposed on and concurrent with specific revenue-producing transactions. The primary revenue-based taxes are sales tax and value-added tax (VAT).</w:t>
      </w:r>
    </w:p>
    <w:p>
      <w:pPr>
        <w:spacing w:after="0" w:line="172"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The Company's payment terms vary by type of services offered. The time between invoicing and when payment is due is not significant. For certain services and customer types, the Company requires payment before services are rendered.</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From time to time, the Company's contracts are modified to account for additions or changes to existing performance obligations. The Company's contract modifications related to stand-ready performance obligations are generally accounted for prospectively.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further discussion.</w:t>
      </w:r>
    </w:p>
    <w:p>
      <w:pPr>
        <w:spacing w:after="0" w:line="200" w:lineRule="exact"/>
        <w:rPr>
          <w:sz w:val="20"/>
          <w:szCs w:val="20"/>
          <w:color w:val="auto"/>
        </w:rPr>
      </w:pPr>
    </w:p>
    <w:p>
      <w:pPr>
        <w:spacing w:after="0" w:line="231"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 – Revenue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Disaggregation of Revenue</w:t>
      </w:r>
    </w:p>
    <w:p>
      <w:pPr>
        <w:spacing w:after="0" w:line="223"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In 2019, the Company changed how it presents its disaggregated revenue by major service offering to reflect how the Company currently manages its businesses. All prior periods presented have been revised to reflect this change.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These changes have no impact on disaggregated revenue by reportable segment or the timing of revenue recognition.</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following table provides information about disaggregated revenue by major service offering, the timing of revenue recognition and a reconciliation of the disaggregated revenue by reportable segments. Refer to Note 3 – Segment Reporting for additional information on the Company's reportable segments.</w:t>
      </w:r>
    </w:p>
    <w:p>
      <w:pPr>
        <w:spacing w:after="0" w:line="220" w:lineRule="exact"/>
        <w:rPr>
          <w:sz w:val="20"/>
          <w:szCs w:val="20"/>
          <w:color w:val="auto"/>
        </w:rPr>
      </w:pPr>
    </w:p>
    <w:p>
      <w:pPr>
        <w:ind w:left="9160"/>
        <w:spacing w:after="0"/>
        <w:rPr>
          <w:sz w:val="20"/>
          <w:szCs w:val="20"/>
          <w:color w:val="auto"/>
        </w:rPr>
      </w:pPr>
      <w:r>
        <w:rPr>
          <w:rFonts w:ascii="Arial" w:cs="Arial" w:eastAsia="Arial" w:hAnsi="Arial"/>
          <w:sz w:val="11"/>
          <w:szCs w:val="1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5213350</wp:posOffset>
            </wp:positionH>
            <wp:positionV relativeFrom="paragraph">
              <wp:posOffset>12700</wp:posOffset>
            </wp:positionV>
            <wp:extent cx="206502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65020" cy="698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2018</w:t>
            </w:r>
          </w:p>
        </w:tc>
        <w:tc>
          <w:tcPr>
            <w:tcW w:w="0" w:type="dxa"/>
            <w:vAlign w:val="bottom"/>
          </w:tcPr>
          <w:p>
            <w:pPr>
              <w:spacing w:after="0"/>
              <w:rPr>
                <w:sz w:val="1"/>
                <w:szCs w:val="1"/>
                <w:color w:val="auto"/>
              </w:rPr>
            </w:pPr>
          </w:p>
        </w:tc>
      </w:tr>
      <w:tr>
        <w:trPr>
          <w:trHeight w:val="157"/>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Commercial Industries: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End-user customer experience</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669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68"/>
        </w:trPr>
        <w:tc>
          <w:tcPr>
            <w:tcW w:w="8220" w:type="dxa"/>
            <w:vAlign w:val="bottom"/>
          </w:tcPr>
          <w:p>
            <w:pPr>
              <w:ind w:left="100"/>
              <w:spacing w:after="0"/>
              <w:rPr>
                <w:sz w:val="20"/>
                <w:szCs w:val="20"/>
                <w:color w:val="auto"/>
              </w:rPr>
            </w:pPr>
            <w:r>
              <w:rPr>
                <w:rFonts w:ascii="Arial" w:cs="Arial" w:eastAsia="Arial" w:hAnsi="Arial"/>
                <w:sz w:val="11"/>
                <w:szCs w:val="11"/>
                <w:color w:val="auto"/>
              </w:rPr>
              <w:t>Transaction processing</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595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651</w:t>
            </w: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Commercial healthcare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510</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Human resource and learning services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602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679</w:t>
            </w:r>
          </w:p>
        </w:tc>
        <w:tc>
          <w:tcPr>
            <w:tcW w:w="0" w:type="dxa"/>
            <w:vAlign w:val="bottom"/>
          </w:tcPr>
          <w:p>
            <w:pPr>
              <w:spacing w:after="0"/>
              <w:rPr>
                <w:sz w:val="1"/>
                <w:szCs w:val="1"/>
                <w:color w:val="auto"/>
              </w:rPr>
            </w:pPr>
          </w:p>
        </w:tc>
      </w:tr>
      <w:tr>
        <w:trPr>
          <w:trHeight w:val="19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Industries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2,385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2,550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Government Services: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Government healthcare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731</w:t>
            </w:r>
          </w:p>
        </w:tc>
        <w:tc>
          <w:tcPr>
            <w:tcW w:w="0" w:type="dxa"/>
            <w:vAlign w:val="bottom"/>
          </w:tcPr>
          <w:p>
            <w:pPr>
              <w:spacing w:after="0"/>
              <w:rPr>
                <w:sz w:val="1"/>
                <w:szCs w:val="1"/>
                <w:color w:val="auto"/>
              </w:rPr>
            </w:pPr>
          </w:p>
        </w:tc>
      </w:tr>
      <w:tr>
        <w:trPr>
          <w:trHeight w:val="168"/>
        </w:trPr>
        <w:tc>
          <w:tcPr>
            <w:tcW w:w="8220" w:type="dxa"/>
            <w:vAlign w:val="bottom"/>
          </w:tcPr>
          <w:p>
            <w:pPr>
              <w:ind w:left="100"/>
              <w:spacing w:after="0"/>
              <w:rPr>
                <w:sz w:val="20"/>
                <w:szCs w:val="20"/>
                <w:color w:val="auto"/>
              </w:rPr>
            </w:pPr>
            <w:r>
              <w:rPr>
                <w:rFonts w:ascii="Arial" w:cs="Arial" w:eastAsia="Arial" w:hAnsi="Arial"/>
                <w:sz w:val="11"/>
                <w:szCs w:val="11"/>
                <w:color w:val="auto"/>
              </w:rPr>
              <w:t>Payment solutions</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State and local</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245</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8"/>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Government Services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1,263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1,351</w:t>
            </w:r>
          </w:p>
        </w:tc>
        <w:tc>
          <w:tcPr>
            <w:tcW w:w="0" w:type="dxa"/>
            <w:vAlign w:val="bottom"/>
          </w:tcPr>
          <w:p>
            <w:pPr>
              <w:spacing w:after="0"/>
              <w:rPr>
                <w:sz w:val="1"/>
                <w:szCs w:val="1"/>
                <w:color w:val="auto"/>
              </w:rPr>
            </w:pPr>
          </w:p>
        </w:tc>
      </w:tr>
      <w:tr>
        <w:trPr>
          <w:trHeight w:val="148"/>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Transportation:</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Tolling</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68"/>
        </w:trPr>
        <w:tc>
          <w:tcPr>
            <w:tcW w:w="8220" w:type="dxa"/>
            <w:vAlign w:val="bottom"/>
          </w:tcPr>
          <w:p>
            <w:pPr>
              <w:ind w:left="100"/>
              <w:spacing w:after="0"/>
              <w:rPr>
                <w:sz w:val="20"/>
                <w:szCs w:val="20"/>
                <w:color w:val="auto"/>
              </w:rPr>
            </w:pPr>
            <w:r>
              <w:rPr>
                <w:rFonts w:ascii="Arial" w:cs="Arial" w:eastAsia="Arial" w:hAnsi="Arial"/>
                <w:sz w:val="11"/>
                <w:szCs w:val="11"/>
                <w:color w:val="auto"/>
              </w:rPr>
              <w:t>Transit</w:t>
            </w:r>
          </w:p>
        </w:tc>
        <w:tc>
          <w:tcPr>
            <w:tcW w:w="36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Photo and parking</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Commercial vehicle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8"/>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Transportation</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781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729</w:t>
            </w:r>
          </w:p>
        </w:tc>
        <w:tc>
          <w:tcPr>
            <w:tcW w:w="0" w:type="dxa"/>
            <w:vAlign w:val="bottom"/>
          </w:tcPr>
          <w:p>
            <w:pPr>
              <w:spacing w:after="0"/>
              <w:rPr>
                <w:sz w:val="1"/>
                <w:szCs w:val="1"/>
                <w:color w:val="auto"/>
              </w:rPr>
            </w:pPr>
          </w:p>
        </w:tc>
      </w:tr>
      <w:tr>
        <w:trPr>
          <w:trHeight w:val="148"/>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Other:</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Divestitures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Education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763</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Total Consolidated Revenue</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4,467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5,393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82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Timing of Revenue Recognition:</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Point in time</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Over time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4,323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5,251</w:t>
            </w:r>
          </w:p>
        </w:tc>
        <w:tc>
          <w:tcPr>
            <w:tcW w:w="0" w:type="dxa"/>
            <w:vAlign w:val="bottom"/>
          </w:tcPr>
          <w:p>
            <w:pPr>
              <w:spacing w:after="0"/>
              <w:rPr>
                <w:sz w:val="1"/>
                <w:szCs w:val="1"/>
                <w:color w:val="auto"/>
              </w:rPr>
            </w:pPr>
          </w:p>
        </w:tc>
      </w:tr>
      <w:tr>
        <w:trPr>
          <w:trHeight w:val="19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Revenue</w:t>
            </w: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4,467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5,393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20"/>
        <w:spacing w:after="0" w:line="273" w:lineRule="auto"/>
        <w:rPr>
          <w:sz w:val="20"/>
          <w:szCs w:val="20"/>
          <w:color w:val="auto"/>
        </w:rPr>
      </w:pPr>
      <w:r>
        <w:rPr>
          <w:rFonts w:ascii="Arial" w:cs="Arial" w:eastAsia="Arial" w:hAnsi="Arial"/>
          <w:sz w:val="14"/>
          <w:szCs w:val="14"/>
          <w:color w:val="auto"/>
        </w:rPr>
        <w:t>The Company's contracts with customers are broadly similar in nature throughout the Company's major service offerings. The following is a description of the major service offerings:</w:t>
      </w:r>
    </w:p>
    <w:p>
      <w:pPr>
        <w:spacing w:after="0" w:line="154"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color w:val="auto"/>
        </w:rPr>
        <w:t xml:space="preserve">End-User Customer Experience: </w:t>
      </w:r>
      <w:r>
        <w:rPr>
          <w:rFonts w:ascii="Arial" w:cs="Arial" w:eastAsia="Arial" w:hAnsi="Arial"/>
          <w:sz w:val="14"/>
          <w:szCs w:val="14"/>
          <w:color w:val="auto"/>
        </w:rPr>
        <w:t>The Company offers a range of services that help its clients support their end-users. This includes in-bound and out-bound call support for both</w:t>
      </w:r>
      <w:r>
        <w:rPr>
          <w:rFonts w:ascii="Arial" w:cs="Arial" w:eastAsia="Arial" w:hAnsi="Arial"/>
          <w:sz w:val="14"/>
          <w:szCs w:val="14"/>
          <w:b w:val="1"/>
          <w:bCs w:val="1"/>
          <w:color w:val="auto"/>
        </w:rPr>
        <w:t xml:space="preserve"> </w:t>
      </w:r>
      <w:r>
        <w:rPr>
          <w:rFonts w:ascii="Arial" w:cs="Arial" w:eastAsia="Arial" w:hAnsi="Arial"/>
          <w:sz w:val="14"/>
          <w:szCs w:val="14"/>
          <w:color w:val="auto"/>
        </w:rPr>
        <w:t>simple and complex transactions, technical support and patient assistance. The Company also provides multi-channel communication support (both print and digital) across a range of industries.</w:t>
      </w:r>
    </w:p>
    <w:p>
      <w:pPr>
        <w:spacing w:after="0" w:line="200" w:lineRule="exact"/>
        <w:rPr>
          <w:sz w:val="20"/>
          <w:szCs w:val="20"/>
          <w:color w:val="auto"/>
        </w:rPr>
      </w:pPr>
    </w:p>
    <w:p>
      <w:pPr>
        <w:spacing w:after="0" w:line="389"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ind w:right="260"/>
        <w:spacing w:after="0" w:line="251" w:lineRule="auto"/>
        <w:rPr>
          <w:sz w:val="20"/>
          <w:szCs w:val="20"/>
          <w:color w:val="auto"/>
        </w:rPr>
      </w:pPr>
      <w:r>
        <w:rPr>
          <w:rFonts w:ascii="Arial" w:cs="Arial" w:eastAsia="Arial" w:hAnsi="Arial"/>
          <w:sz w:val="14"/>
          <w:szCs w:val="14"/>
          <w:b w:val="1"/>
          <w:bCs w:val="1"/>
          <w:color w:val="auto"/>
        </w:rPr>
        <w:t xml:space="preserve">Transaction Processing: </w:t>
      </w:r>
      <w:r>
        <w:rPr>
          <w:rFonts w:ascii="Arial" w:cs="Arial" w:eastAsia="Arial" w:hAnsi="Arial"/>
          <w:sz w:val="14"/>
          <w:szCs w:val="14"/>
          <w:color w:val="auto"/>
        </w:rPr>
        <w:t>The Company helps its clients improve communications with their customers and constituents, whether it is on paper, on-line or through other</w:t>
      </w:r>
      <w:r>
        <w:rPr>
          <w:rFonts w:ascii="Arial" w:cs="Arial" w:eastAsia="Arial" w:hAnsi="Arial"/>
          <w:sz w:val="14"/>
          <w:szCs w:val="14"/>
          <w:b w:val="1"/>
          <w:bCs w:val="1"/>
          <w:color w:val="auto"/>
        </w:rPr>
        <w:t xml:space="preserve"> </w:t>
      </w:r>
      <w:r>
        <w:rPr>
          <w:rFonts w:ascii="Arial" w:cs="Arial" w:eastAsia="Arial" w:hAnsi="Arial"/>
          <w:sz w:val="14"/>
          <w:szCs w:val="14"/>
          <w:color w:val="auto"/>
        </w:rPr>
        <w:t>communication channels. The Company also offers a broad array of flexible transaction processing services that include data entry, scanning, image processing, enrollment processing, claims processing, high volume offsite print and mail services and file indexing. The Company serves clients by managing their critical finance, accounting and procurement processes. These services include general accounting and reporting, billing and accounts receivable and purchasing, accounts payable and expense management services. The Company also offers wholesale and retail lockbox services and process auto and mortgage loans in the United States.</w:t>
      </w:r>
    </w:p>
    <w:p>
      <w:pPr>
        <w:spacing w:after="0" w:line="159"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b w:val="1"/>
          <w:bCs w:val="1"/>
          <w:color w:val="auto"/>
        </w:rPr>
        <w:t xml:space="preserve">Commercial Healthcare: </w:t>
      </w:r>
      <w:r>
        <w:rPr>
          <w:rFonts w:ascii="Arial" w:cs="Arial" w:eastAsia="Arial" w:hAnsi="Arial"/>
          <w:sz w:val="14"/>
          <w:szCs w:val="14"/>
          <w:color w:val="auto"/>
        </w:rPr>
        <w:t>On behalf of the healthcare industry, the Company delivers administration, clinical support and medical management solutions across the health</w:t>
      </w:r>
      <w:r>
        <w:rPr>
          <w:rFonts w:ascii="Arial" w:cs="Arial" w:eastAsia="Arial" w:hAnsi="Arial"/>
          <w:sz w:val="14"/>
          <w:szCs w:val="14"/>
          <w:b w:val="1"/>
          <w:bCs w:val="1"/>
          <w:color w:val="auto"/>
        </w:rPr>
        <w:t xml:space="preserve"> </w:t>
      </w:r>
      <w:r>
        <w:rPr>
          <w:rFonts w:ascii="Arial" w:cs="Arial" w:eastAsia="Arial" w:hAnsi="Arial"/>
          <w:sz w:val="14"/>
          <w:szCs w:val="14"/>
          <w:color w:val="auto"/>
        </w:rPr>
        <w:t>ecosystem to reduce costs, increase compliance and enhance utilization, while improving health outcomes and experience for members and patients. The Company's solutions span: trials, sales, access, adherence and long-term differentiation solutions to pharmaceutical clients; case management, performance management and patient safety for hospital clients; medical bill review, care integration, subrogation and payment integrity solutions to managed care companies; and workers compensation medical bill review, mailroom/data capture and medical management services to claims payers and third-party administrators.</w:t>
      </w:r>
    </w:p>
    <w:p>
      <w:pPr>
        <w:spacing w:after="0" w:line="15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b w:val="1"/>
          <w:bCs w:val="1"/>
          <w:color w:val="auto"/>
        </w:rPr>
        <w:t xml:space="preserve">Human Resource and Learning Services: </w:t>
      </w:r>
      <w:r>
        <w:rPr>
          <w:rFonts w:ascii="Arial" w:cs="Arial" w:eastAsia="Arial" w:hAnsi="Arial"/>
          <w:sz w:val="14"/>
          <w:szCs w:val="14"/>
          <w:color w:val="auto"/>
        </w:rPr>
        <w:t>The Company helps its clients support their employees at all stages of employment from initial on-boarding through retirement as well</w:t>
      </w:r>
      <w:r>
        <w:rPr>
          <w:rFonts w:ascii="Arial" w:cs="Arial" w:eastAsia="Arial" w:hAnsi="Arial"/>
          <w:sz w:val="14"/>
          <w:szCs w:val="14"/>
          <w:b w:val="1"/>
          <w:bCs w:val="1"/>
          <w:color w:val="auto"/>
        </w:rPr>
        <w:t xml:space="preserve"> </w:t>
      </w:r>
      <w:r>
        <w:rPr>
          <w:rFonts w:ascii="Arial" w:cs="Arial" w:eastAsia="Arial" w:hAnsi="Arial"/>
          <w:sz w:val="14"/>
          <w:szCs w:val="14"/>
          <w:color w:val="auto"/>
        </w:rPr>
        <w:t>as health savings account (HSA) administration. The Company offers clients a range of customized advisory, technology and administrative services that improve the ability of employees to manage their benefits, professional development and retirement planning. Also, the Company provides clients with a simplified approach to help their employees manage their healthcare costs and accumulate wealth with tax-advantaged accounts, as well as end-to-end learning services, designed to accelerate the productivity and development of its clients’ employees and extended work forces. The Company's global presence, superior innovation and expertise allow it to deliver performance-based learning services tailored to its clients’ unique strategic business goals. Offerings include learning strategy and assessment, instructor management and learning administration.</w:t>
      </w:r>
    </w:p>
    <w:p>
      <w:pPr>
        <w:spacing w:after="0" w:line="161" w:lineRule="exact"/>
        <w:rPr>
          <w:sz w:val="20"/>
          <w:szCs w:val="20"/>
          <w:color w:val="auto"/>
        </w:rPr>
      </w:pPr>
    </w:p>
    <w:p>
      <w:pPr>
        <w:jc w:val="both"/>
        <w:ind w:right="80"/>
        <w:spacing w:after="0" w:line="278" w:lineRule="auto"/>
        <w:rPr>
          <w:sz w:val="20"/>
          <w:szCs w:val="20"/>
          <w:color w:val="auto"/>
        </w:rPr>
      </w:pPr>
      <w:r>
        <w:rPr>
          <w:rFonts w:ascii="Arial" w:cs="Arial" w:eastAsia="Arial" w:hAnsi="Arial"/>
          <w:sz w:val="14"/>
          <w:szCs w:val="14"/>
          <w:b w:val="1"/>
          <w:bCs w:val="1"/>
          <w:color w:val="auto"/>
        </w:rPr>
        <w:t xml:space="preserve">Government Healthcare: </w:t>
      </w:r>
      <w:r>
        <w:rPr>
          <w:rFonts w:ascii="Arial" w:cs="Arial" w:eastAsia="Arial" w:hAnsi="Arial"/>
          <w:sz w:val="14"/>
          <w:szCs w:val="14"/>
          <w:color w:val="auto"/>
        </w:rPr>
        <w:t>The Company provides medical management and fiscal agent care management services to Medicaid programs and federally-funded U.S. government</w:t>
      </w:r>
      <w:r>
        <w:rPr>
          <w:rFonts w:ascii="Arial" w:cs="Arial" w:eastAsia="Arial" w:hAnsi="Arial"/>
          <w:sz w:val="14"/>
          <w:szCs w:val="14"/>
          <w:b w:val="1"/>
          <w:bCs w:val="1"/>
          <w:color w:val="auto"/>
        </w:rPr>
        <w:t xml:space="preserve"> </w:t>
      </w:r>
      <w:r>
        <w:rPr>
          <w:rFonts w:ascii="Arial" w:cs="Arial" w:eastAsia="Arial" w:hAnsi="Arial"/>
          <w:sz w:val="14"/>
          <w:szCs w:val="14"/>
          <w:color w:val="auto"/>
        </w:rPr>
        <w:t>healthcare programs. The Company's services include a range of innovative solutions such as Medicaid management, provider services, Medicaid business intelligence, pharmacy benefits management, eligibility, electronic visit verification and case management solutions.</w:t>
      </w:r>
    </w:p>
    <w:p>
      <w:pPr>
        <w:spacing w:after="0" w:line="151" w:lineRule="exact"/>
        <w:rPr>
          <w:sz w:val="20"/>
          <w:szCs w:val="20"/>
          <w:color w:val="auto"/>
        </w:rPr>
      </w:pPr>
    </w:p>
    <w:p>
      <w:pPr>
        <w:jc w:val="both"/>
        <w:ind w:right="80"/>
        <w:spacing w:after="0" w:line="299" w:lineRule="auto"/>
        <w:rPr>
          <w:sz w:val="20"/>
          <w:szCs w:val="20"/>
          <w:color w:val="auto"/>
        </w:rPr>
      </w:pPr>
      <w:r>
        <w:rPr>
          <w:rFonts w:ascii="Arial" w:cs="Arial" w:eastAsia="Arial" w:hAnsi="Arial"/>
          <w:sz w:val="14"/>
          <w:szCs w:val="14"/>
          <w:b w:val="1"/>
          <w:bCs w:val="1"/>
          <w:color w:val="auto"/>
        </w:rPr>
        <w:t xml:space="preserve">Payment Solutions: </w:t>
      </w:r>
      <w:r>
        <w:rPr>
          <w:rFonts w:ascii="Arial" w:cs="Arial" w:eastAsia="Arial" w:hAnsi="Arial"/>
          <w:sz w:val="14"/>
          <w:szCs w:val="14"/>
          <w:color w:val="auto"/>
        </w:rPr>
        <w:t>The Company is a leader in government payment disbursements for federally sponsored programs like SNAP, commonly known as food stamps and Women,</w:t>
      </w:r>
      <w:r>
        <w:rPr>
          <w:rFonts w:ascii="Arial" w:cs="Arial" w:eastAsia="Arial" w:hAnsi="Arial"/>
          <w:sz w:val="14"/>
          <w:szCs w:val="14"/>
          <w:b w:val="1"/>
          <w:bCs w:val="1"/>
          <w:color w:val="auto"/>
        </w:rPr>
        <w:t xml:space="preserve"> </w:t>
      </w:r>
      <w:r>
        <w:rPr>
          <w:rFonts w:ascii="Arial" w:cs="Arial" w:eastAsia="Arial" w:hAnsi="Arial"/>
          <w:sz w:val="14"/>
          <w:szCs w:val="14"/>
          <w:color w:val="auto"/>
        </w:rPr>
        <w:t>Infant and Children (WIC) as well as government-initiated cash disbursements such as child support and unemployment.</w:t>
      </w:r>
    </w:p>
    <w:p>
      <w:pPr>
        <w:spacing w:after="0" w:line="137" w:lineRule="exact"/>
        <w:rPr>
          <w:sz w:val="20"/>
          <w:szCs w:val="20"/>
          <w:color w:val="auto"/>
        </w:rPr>
      </w:pPr>
    </w:p>
    <w:p>
      <w:pPr>
        <w:jc w:val="both"/>
        <w:ind w:right="80"/>
        <w:spacing w:after="0" w:line="283" w:lineRule="auto"/>
        <w:rPr>
          <w:sz w:val="20"/>
          <w:szCs w:val="20"/>
          <w:color w:val="auto"/>
        </w:rPr>
      </w:pPr>
      <w:r>
        <w:rPr>
          <w:rFonts w:ascii="Arial" w:cs="Arial" w:eastAsia="Arial" w:hAnsi="Arial"/>
          <w:sz w:val="14"/>
          <w:szCs w:val="14"/>
          <w:b w:val="1"/>
          <w:bCs w:val="1"/>
          <w:color w:val="auto"/>
        </w:rPr>
        <w:t xml:space="preserve">State and Local: </w:t>
      </w:r>
      <w:r>
        <w:rPr>
          <w:rFonts w:ascii="Arial" w:cs="Arial" w:eastAsia="Arial" w:hAnsi="Arial"/>
          <w:sz w:val="14"/>
          <w:szCs w:val="14"/>
          <w:color w:val="auto"/>
        </w:rPr>
        <w:t>The Company delivers innovative services and solutions to help agencies reduce costs and improve processes. The Company offers a broad set of solutions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such as child support services, case management, labor, workforce and other government solutions.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Federal: </w:t>
      </w:r>
      <w:r>
        <w:rPr>
          <w:rFonts w:ascii="Arial" w:cs="Arial" w:eastAsia="Arial" w:hAnsi="Arial"/>
          <w:sz w:val="14"/>
          <w:szCs w:val="14"/>
          <w:color w:val="auto"/>
        </w:rPr>
        <w:t>As a preferred partner to government IT clients, the Company leverages technology as a key mechanism for improving citizen service and cost savings. The Company's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solutions include: technology infrastructure, application portfolio management, IT consulting and other IT managed services.</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b w:val="1"/>
          <w:bCs w:val="1"/>
          <w:color w:val="auto"/>
        </w:rPr>
        <w:t xml:space="preserve">Tolling: </w:t>
      </w:r>
      <w:r>
        <w:rPr>
          <w:rFonts w:ascii="Arial" w:cs="Arial" w:eastAsia="Arial" w:hAnsi="Arial"/>
          <w:sz w:val="14"/>
          <w:szCs w:val="14"/>
          <w:color w:val="auto"/>
        </w:rPr>
        <w:t>The Company's electronic tolling, urban congestion management and mileage-based user solutions help clients keep up with an ever-changing environment and get more</w:t>
      </w:r>
      <w:r>
        <w:rPr>
          <w:rFonts w:ascii="Arial" w:cs="Arial" w:eastAsia="Arial" w:hAnsi="Arial"/>
          <w:sz w:val="14"/>
          <w:szCs w:val="14"/>
          <w:b w:val="1"/>
          <w:bCs w:val="1"/>
          <w:color w:val="auto"/>
        </w:rPr>
        <w:t xml:space="preserve"> </w:t>
      </w:r>
      <w:r>
        <w:rPr>
          <w:rFonts w:ascii="Arial" w:cs="Arial" w:eastAsia="Arial" w:hAnsi="Arial"/>
          <w:sz w:val="14"/>
          <w:szCs w:val="14"/>
          <w:color w:val="auto"/>
        </w:rPr>
        <w:t>travelers where they need to go while generating revenue for much-needed infrastructure improvements. The Company's solutions include vehicle passenger detection systems, electronic toll collection, automated license plate recognition and congestion management solutions.</w:t>
      </w:r>
    </w:p>
    <w:p>
      <w:pPr>
        <w:spacing w:after="0" w:line="151"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color w:val="auto"/>
        </w:rPr>
        <w:t xml:space="preserve">Transit: </w:t>
      </w:r>
      <w:r>
        <w:rPr>
          <w:rFonts w:ascii="Arial" w:cs="Arial" w:eastAsia="Arial" w:hAnsi="Arial"/>
          <w:sz w:val="14"/>
          <w:szCs w:val="14"/>
          <w:color w:val="auto"/>
        </w:rPr>
        <w:t>The Company aims to make journeys more personalized and convenient while increasing capacity and profitability for authorities and agencies. The Company combines</w:t>
      </w:r>
      <w:r>
        <w:rPr>
          <w:rFonts w:ascii="Arial" w:cs="Arial" w:eastAsia="Arial" w:hAnsi="Arial"/>
          <w:sz w:val="14"/>
          <w:szCs w:val="14"/>
          <w:b w:val="1"/>
          <w:bCs w:val="1"/>
          <w:color w:val="auto"/>
        </w:rPr>
        <w:t xml:space="preserve"> </w:t>
      </w:r>
      <w:r>
        <w:rPr>
          <w:rFonts w:ascii="Arial" w:cs="Arial" w:eastAsia="Arial" w:hAnsi="Arial"/>
          <w:sz w:val="14"/>
          <w:szCs w:val="14"/>
          <w:color w:val="auto"/>
        </w:rPr>
        <w:t>the latest in fare collection and intelligent mobility so that clients can get the added efficiency of having a single point of contact for all their transit solutions.</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jc w:val="both"/>
        <w:ind w:right="60"/>
        <w:spacing w:after="0" w:line="262" w:lineRule="auto"/>
        <w:rPr>
          <w:sz w:val="20"/>
          <w:szCs w:val="20"/>
          <w:color w:val="auto"/>
        </w:rPr>
      </w:pPr>
      <w:r>
        <w:rPr>
          <w:rFonts w:ascii="Arial" w:cs="Arial" w:eastAsia="Arial" w:hAnsi="Arial"/>
          <w:sz w:val="14"/>
          <w:szCs w:val="14"/>
          <w:b w:val="1"/>
          <w:bCs w:val="1"/>
          <w:color w:val="auto"/>
        </w:rPr>
        <w:t xml:space="preserve">Photo and Parking: </w:t>
      </w:r>
      <w:r>
        <w:rPr>
          <w:rFonts w:ascii="Arial" w:cs="Arial" w:eastAsia="Arial" w:hAnsi="Arial"/>
          <w:sz w:val="14"/>
          <w:szCs w:val="14"/>
          <w:color w:val="auto"/>
        </w:rPr>
        <w:t>The Company delivers intelligent curbside management systems that simplify parking programs and deliver convenient and hassle-free experience for drivers.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Company's curbside solutions include citation and permit administration, parking enforcement and curbside demand management. The Company also provides data analytics, automated photo enforcement and other public safety solutions to make streets and communities safer.</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Commercial Vehicle: </w:t>
      </w:r>
      <w:r>
        <w:rPr>
          <w:rFonts w:ascii="Arial" w:cs="Arial" w:eastAsia="Arial" w:hAnsi="Arial"/>
          <w:sz w:val="14"/>
          <w:szCs w:val="14"/>
          <w:color w:val="auto"/>
        </w:rPr>
        <w:t>The Company provides computer-aided dispatch/automatic vehicle location technology to help customers manage their fleet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Divestitures: </w:t>
      </w:r>
      <w:r>
        <w:rPr>
          <w:rFonts w:ascii="Arial" w:cs="Arial" w:eastAsia="Arial" w:hAnsi="Arial"/>
          <w:sz w:val="14"/>
          <w:szCs w:val="14"/>
          <w:color w:val="auto"/>
        </w:rPr>
        <w:t>This represents divestitures that were previously reported as Commercial Industries, Government Services and Transportation.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Education: </w:t>
      </w:r>
      <w:r>
        <w:rPr>
          <w:rFonts w:ascii="Arial" w:cs="Arial" w:eastAsia="Arial" w:hAnsi="Arial"/>
          <w:sz w:val="14"/>
          <w:szCs w:val="14"/>
          <w:color w:val="auto"/>
        </w:rPr>
        <w:t>This represents Student Loan business, which the Company exited in the third quarter of 2018.</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22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balances of the Company's contract assets, unearned income and receivables from contracts with customers: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772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1"/>
                <w:szCs w:val="11"/>
                <w:color w:val="auto"/>
              </w:rPr>
            </w:pPr>
          </w:p>
        </w:tc>
        <w:tc>
          <w:tcPr>
            <w:tcW w:w="1660" w:type="dxa"/>
            <w:vAlign w:val="bottom"/>
            <w:gridSpan w:val="2"/>
          </w:tcPr>
          <w:p>
            <w:pPr>
              <w:ind w:left="160"/>
              <w:spacing w:after="0"/>
              <w:rPr>
                <w:sz w:val="20"/>
                <w:szCs w:val="20"/>
                <w:color w:val="auto"/>
              </w:rPr>
            </w:pPr>
            <w:r>
              <w:rPr>
                <w:rFonts w:ascii="Arial" w:cs="Arial" w:eastAsia="Arial" w:hAnsi="Arial"/>
                <w:sz w:val="11"/>
                <w:szCs w:val="11"/>
                <w:color w:val="auto"/>
              </w:rPr>
              <w:t>December 31, 2019</w:t>
            </w:r>
          </w:p>
        </w:tc>
        <w:tc>
          <w:tcPr>
            <w:tcW w:w="240" w:type="dxa"/>
            <w:vAlign w:val="bottom"/>
          </w:tcPr>
          <w:p>
            <w:pPr>
              <w:spacing w:after="0"/>
              <w:rPr>
                <w:sz w:val="11"/>
                <w:szCs w:val="11"/>
                <w:color w:val="auto"/>
              </w:rPr>
            </w:pPr>
          </w:p>
        </w:tc>
        <w:tc>
          <w:tcPr>
            <w:tcW w:w="1560" w:type="dxa"/>
            <w:vAlign w:val="bottom"/>
          </w:tcPr>
          <w:p>
            <w:pPr>
              <w:jc w:val="right"/>
              <w:ind w:right="343"/>
              <w:spacing w:after="0"/>
              <w:rPr>
                <w:sz w:val="20"/>
                <w:szCs w:val="20"/>
                <w:color w:val="auto"/>
              </w:rPr>
            </w:pPr>
            <w:r>
              <w:rPr>
                <w:rFonts w:ascii="Arial" w:cs="Arial" w:eastAsia="Arial" w:hAnsi="Arial"/>
                <w:sz w:val="11"/>
                <w:szCs w:val="11"/>
                <w:color w:val="auto"/>
              </w:rPr>
              <w:t>December 31, 2018</w:t>
            </w:r>
          </w:p>
        </w:tc>
      </w:tr>
      <w:tr>
        <w:trPr>
          <w:trHeight w:val="157"/>
        </w:trPr>
        <w:tc>
          <w:tcPr>
            <w:tcW w:w="20" w:type="dxa"/>
            <w:vAlign w:val="bottom"/>
          </w:tcPr>
          <w:p>
            <w:pPr>
              <w:spacing w:after="0"/>
              <w:rPr>
                <w:sz w:val="13"/>
                <w:szCs w:val="13"/>
                <w:color w:val="auto"/>
              </w:rPr>
            </w:pPr>
          </w:p>
        </w:tc>
        <w:tc>
          <w:tcPr>
            <w:tcW w:w="7720" w:type="dxa"/>
            <w:vAlign w:val="bottom"/>
          </w:tcPr>
          <w:p>
            <w:pPr>
              <w:ind w:left="20"/>
              <w:spacing w:after="0"/>
              <w:rPr>
                <w:sz w:val="20"/>
                <w:szCs w:val="20"/>
                <w:color w:val="auto"/>
              </w:rPr>
            </w:pPr>
            <w:r>
              <w:rPr>
                <w:rFonts w:ascii="Arial" w:cs="Arial" w:eastAsia="Arial" w:hAnsi="Arial"/>
                <w:sz w:val="11"/>
                <w:szCs w:val="11"/>
                <w:b w:val="1"/>
                <w:bCs w:val="1"/>
                <w:color w:val="auto"/>
              </w:rPr>
              <w:t>Contract Assets (Unearned Income)</w:t>
            </w: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contract assets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177</w:t>
            </w:r>
          </w:p>
        </w:tc>
      </w:tr>
      <w:tr>
        <w:trPr>
          <w:trHeight w:val="172"/>
        </w:trPr>
        <w:tc>
          <w:tcPr>
            <w:tcW w:w="20" w:type="dxa"/>
            <w:vAlign w:val="bottom"/>
          </w:tcPr>
          <w:p>
            <w:pPr>
              <w:spacing w:after="0"/>
              <w:rPr>
                <w:sz w:val="14"/>
                <w:szCs w:val="14"/>
                <w:color w:val="auto"/>
              </w:rPr>
            </w:pPr>
          </w:p>
        </w:tc>
        <w:tc>
          <w:tcPr>
            <w:tcW w:w="7720" w:type="dxa"/>
            <w:vAlign w:val="bottom"/>
          </w:tcPr>
          <w:p>
            <w:pPr>
              <w:ind w:left="20"/>
              <w:spacing w:after="0"/>
              <w:rPr>
                <w:sz w:val="20"/>
                <w:szCs w:val="20"/>
                <w:color w:val="auto"/>
              </w:rPr>
            </w:pPr>
            <w:r>
              <w:rPr>
                <w:rFonts w:ascii="Arial" w:cs="Arial" w:eastAsia="Arial" w:hAnsi="Arial"/>
                <w:sz w:val="11"/>
                <w:szCs w:val="11"/>
                <w:color w:val="auto"/>
              </w:rPr>
              <w:t>Long-term contract assets</w:t>
            </w:r>
            <w:r>
              <w:rPr>
                <w:rFonts w:ascii="Arial" w:cs="Arial" w:eastAsia="Arial" w:hAnsi="Arial"/>
                <w:sz w:val="14"/>
                <w:szCs w:val="14"/>
                <w:color w:val="auto"/>
                <w:vertAlign w:val="superscript"/>
              </w:rPr>
              <w:t>(1)</w:t>
            </w:r>
          </w:p>
        </w:tc>
        <w:tc>
          <w:tcPr>
            <w:tcW w:w="240" w:type="dxa"/>
            <w:vAlign w:val="bottom"/>
          </w:tcPr>
          <w:p>
            <w:pPr>
              <w:spacing w:after="0"/>
              <w:rPr>
                <w:sz w:val="14"/>
                <w:szCs w:val="14"/>
                <w:color w:val="auto"/>
              </w:rPr>
            </w:pPr>
          </w:p>
        </w:tc>
        <w:tc>
          <w:tcPr>
            <w:tcW w:w="156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83"/>
              <w:spacing w:after="0"/>
              <w:rPr>
                <w:sz w:val="20"/>
                <w:szCs w:val="20"/>
                <w:color w:val="auto"/>
              </w:rPr>
            </w:pPr>
            <w:r>
              <w:rPr>
                <w:rFonts w:ascii="Arial" w:cs="Arial" w:eastAsia="Arial" w:hAnsi="Arial"/>
                <w:sz w:val="11"/>
                <w:szCs w:val="11"/>
                <w:color w:val="auto"/>
              </w:rPr>
              <w:t>7</w:t>
            </w:r>
          </w:p>
        </w:tc>
      </w:tr>
      <w:tr>
        <w:trPr>
          <w:trHeight w:val="172"/>
        </w:trPr>
        <w:tc>
          <w:tcPr>
            <w:tcW w:w="20" w:type="dxa"/>
            <w:vAlign w:val="bottom"/>
          </w:tcPr>
          <w:p>
            <w:pPr>
              <w:spacing w:after="0"/>
              <w:rPr>
                <w:sz w:val="14"/>
                <w:szCs w:val="14"/>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unearned income</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(112)</w:t>
            </w:r>
          </w:p>
        </w:tc>
      </w:tr>
      <w:tr>
        <w:trPr>
          <w:trHeight w:val="172"/>
        </w:trPr>
        <w:tc>
          <w:tcPr>
            <w:tcW w:w="20" w:type="dxa"/>
            <w:vAlign w:val="bottom"/>
          </w:tcPr>
          <w:p>
            <w:pPr>
              <w:spacing w:after="0"/>
              <w:rPr>
                <w:sz w:val="14"/>
                <w:szCs w:val="1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Long-term unearned income</w:t>
            </w:r>
            <w:r>
              <w:rPr>
                <w:rFonts w:ascii="Arial" w:cs="Arial" w:eastAsia="Arial" w:hAnsi="Arial"/>
                <w:sz w:val="14"/>
                <w:szCs w:val="14"/>
                <w:color w:val="auto"/>
                <w:vertAlign w:val="superscript"/>
              </w:rPr>
              <w:t>(2)</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(32)</w:t>
            </w:r>
          </w:p>
        </w:tc>
      </w:tr>
      <w:tr>
        <w:trPr>
          <w:trHeight w:val="188"/>
        </w:trPr>
        <w:tc>
          <w:tcPr>
            <w:tcW w:w="20" w:type="dxa"/>
            <w:vAlign w:val="bottom"/>
          </w:tcPr>
          <w:p>
            <w:pPr>
              <w:spacing w:after="0"/>
              <w:rPr>
                <w:sz w:val="15"/>
                <w:szCs w:val="15"/>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Contract Assets (Unearned Income)</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72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ind w:right="83"/>
              <w:spacing w:after="0"/>
              <w:rPr>
                <w:sz w:val="20"/>
                <w:szCs w:val="20"/>
                <w:color w:val="auto"/>
              </w:rPr>
            </w:pPr>
            <w:r>
              <w:rPr>
                <w:rFonts w:ascii="Arial" w:cs="Arial" w:eastAsia="Arial" w:hAnsi="Arial"/>
                <w:sz w:val="11"/>
                <w:szCs w:val="11"/>
                <w:color w:val="auto"/>
              </w:rPr>
              <w:t>652</w:t>
            </w:r>
          </w:p>
        </w:tc>
        <w:tc>
          <w:tcPr>
            <w:tcW w:w="100" w:type="dxa"/>
            <w:vAlign w:val="bottom"/>
          </w:tcPr>
          <w:p>
            <w:pPr>
              <w:spacing w:after="0"/>
              <w:rPr>
                <w:sz w:val="10"/>
                <w:szCs w:val="10"/>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ind w:right="83"/>
              <w:spacing w:after="0"/>
              <w:rPr>
                <w:sz w:val="20"/>
                <w:szCs w:val="20"/>
                <w:color w:val="auto"/>
              </w:rPr>
            </w:pPr>
            <w:r>
              <w:rPr>
                <w:rFonts w:ascii="Arial" w:cs="Arial" w:eastAsia="Arial" w:hAnsi="Arial"/>
                <w:sz w:val="11"/>
                <w:szCs w:val="11"/>
                <w:color w:val="auto"/>
              </w:rPr>
              <w:t>782</w:t>
            </w:r>
          </w:p>
        </w:tc>
      </w:tr>
      <w:tr>
        <w:trPr>
          <w:trHeight w:val="237"/>
        </w:trPr>
        <w:tc>
          <w:tcPr>
            <w:tcW w:w="7740" w:type="dxa"/>
            <w:vAlign w:val="bottom"/>
            <w:gridSpan w:val="2"/>
          </w:tcPr>
          <w:p>
            <w:pPr>
              <w:jc w:val="right"/>
              <w:ind w:right="7044"/>
              <w:spacing w:after="0"/>
              <w:rPr>
                <w:sz w:val="20"/>
                <w:szCs w:val="20"/>
                <w:color w:val="auto"/>
              </w:rPr>
            </w:pPr>
            <w:r>
              <w:rPr>
                <w:rFonts w:ascii="Arial" w:cs="Arial" w:eastAsia="Arial" w:hAnsi="Arial"/>
                <w:sz w:val="11"/>
                <w:szCs w:val="11"/>
                <w:color w:val="auto"/>
              </w:rPr>
              <w:t>__________</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 w:lineRule="exact"/>
        <w:rPr>
          <w:sz w:val="20"/>
          <w:szCs w:val="20"/>
          <w:color w:val="auto"/>
        </w:rPr>
      </w:pPr>
    </w:p>
    <w:p>
      <w:pPr>
        <w:ind w:left="260" w:hanging="254"/>
        <w:spacing w:after="0"/>
        <w:tabs>
          <w:tab w:leader="none" w:pos="26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assets in the Consolidated Balance Sheets</w:t>
      </w:r>
    </w:p>
    <w:p>
      <w:pPr>
        <w:spacing w:after="0" w:line="45" w:lineRule="exact"/>
        <w:rPr>
          <w:rFonts w:ascii="Arial" w:cs="Arial" w:eastAsia="Arial" w:hAnsi="Arial"/>
          <w:sz w:val="11"/>
          <w:szCs w:val="11"/>
          <w:i w:val="1"/>
          <w:iCs w:val="1"/>
          <w:color w:val="auto"/>
        </w:rPr>
      </w:pPr>
    </w:p>
    <w:p>
      <w:pPr>
        <w:ind w:left="260" w:hanging="254"/>
        <w:spacing w:after="0"/>
        <w:tabs>
          <w:tab w:leader="none" w:pos="26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liabilities in the Consolidated Balance Sheets</w:t>
      </w:r>
    </w:p>
    <w:p>
      <w:pPr>
        <w:spacing w:after="0" w:line="247"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Revenues of $101 million and $134 million were recognized during the years ended December 31, 2019 and 2018, respectively, related to the Company's unearned income at December 31, 2018 and January 1, 2018. The Company had no asset impairment charges related to contract assets for the year ended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Price Allocated to the Remaining Performance Obligations</w:t>
      </w:r>
    </w:p>
    <w:p>
      <w:pPr>
        <w:spacing w:after="0" w:line="223"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Estimated revenue expected to be recognized in the future related to performance obligations that are unsatisfied or partially satisfied at December 31, 2019, was approximately $1.8 billion. The Company expects to recognize approximately 67% of this revenue over the next 2 years and the remainder thereafter.</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to Obtain and Fulfill a Contract</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Company capitalizes commission expenses paid to internal sales personnel that are incremental to obtaining customer contracts. The net book value of these costs, which was $18 million and $24 million as of December 31, 2019 and 2018, respectively, are included in Other long-term assets. The judgments made in determining the amount of costs incurred include whether the commissions are incremental and directly related to a successful acquisition of a customer contract. These costs are amortized in Depreciation and amortization over the term of the contract or the estimated life of the customer relationship, if renewals are expected and the renewal commission is not commensurate with the initial commission. These costs are periodically reviewed for impairment. The Company expenses sales commissions when incurred if the amortization period of the sales commission is one year or less.</w:t>
      </w:r>
    </w:p>
    <w:p>
      <w:pPr>
        <w:spacing w:after="0" w:line="355"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In addition, the Company may provide inducement payments to secure customer contracts. These inducement payments are capitalized and amortized to expense over the term of the customer contract. The net book value of these costs totaled $21 million and $23 million as of December 31, 2019 and 2018, respectively, and are included in Other long-term assets.</w:t>
      </w:r>
    </w:p>
    <w:p>
      <w:pPr>
        <w:spacing w:after="0" w:line="344" w:lineRule="exact"/>
        <w:rPr>
          <w:sz w:val="20"/>
          <w:szCs w:val="20"/>
          <w:color w:val="auto"/>
        </w:rPr>
      </w:pPr>
    </w:p>
    <w:p>
      <w:pPr>
        <w:ind w:right="300"/>
        <w:spacing w:after="0" w:line="260" w:lineRule="auto"/>
        <w:rPr>
          <w:sz w:val="20"/>
          <w:szCs w:val="20"/>
          <w:color w:val="auto"/>
        </w:rPr>
      </w:pPr>
      <w:r>
        <w:rPr>
          <w:rFonts w:ascii="Arial" w:cs="Arial" w:eastAsia="Arial" w:hAnsi="Arial"/>
          <w:sz w:val="14"/>
          <w:szCs w:val="14"/>
          <w:color w:val="auto"/>
        </w:rPr>
        <w:t>Also, the Company capitalizes costs incurred to fulfill its contracts that (i) relate directly to the contract, (ii) are expected to generate resources that will be used to satisfy the Company’s performance obligation under the contract and (iii) are expected to be recovered through revenue generated under the contract. The net book value of these costs, which comprise set-up/transition activities, was $45 million and $53 million as of December 31, 2019 and 2018, respectively, and are classified in Other long-term assets on the Consolidated Balance Sheets. Contract fulfillment costs are expensed to Depreciation and amortization as the Company satisfies its performance obligations by transferring the service to the customer. These costs are amortized on a systematic basis over the expected period of benefit.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amortization of costs incurred to obtain and fulfill a contract for the years ended December 31, 2019 and 2018, were $42 million and $50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3 – Segment Reporting</w:t>
      </w:r>
    </w:p>
    <w:p>
      <w:pPr>
        <w:spacing w:after="0" w:line="219" w:lineRule="exact"/>
        <w:rPr>
          <w:sz w:val="20"/>
          <w:szCs w:val="20"/>
          <w:color w:val="auto"/>
        </w:rPr>
      </w:pPr>
    </w:p>
    <w:p>
      <w:pPr>
        <w:jc w:val="both"/>
        <w:ind w:right="60"/>
        <w:spacing w:after="0" w:line="264" w:lineRule="auto"/>
        <w:rPr>
          <w:sz w:val="20"/>
          <w:szCs w:val="20"/>
          <w:color w:val="auto"/>
        </w:rPr>
      </w:pPr>
      <w:r>
        <w:rPr>
          <w:rFonts w:ascii="Arial" w:cs="Arial" w:eastAsia="Arial" w:hAnsi="Arial"/>
          <w:sz w:val="14"/>
          <w:szCs w:val="14"/>
          <w:color w:val="auto"/>
        </w:rPr>
        <w:t>Our reportable segments correspond to how we organize and manage the business, as defined by our CEO who is also our Chief Operating Decision Maker and are aligned to the industries in which our clients operate. Our segments involve the delivery of business process services and include service arrangements where we manage a customer's business activity or process.</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Our financial performance is based on Segment Profit / (Loss) and Segment Adjusted EBITDA for our three reportable segments (Commercial Industries, Government Services and Transportation), Other operations and Shared IT / Infrastructure &amp; Corporate Costs.</w:t>
      </w:r>
    </w:p>
    <w:p>
      <w:pPr>
        <w:spacing w:after="0" w:line="154" w:lineRule="exact"/>
        <w:rPr>
          <w:sz w:val="20"/>
          <w:szCs w:val="20"/>
          <w:color w:val="auto"/>
        </w:rPr>
      </w:pPr>
    </w:p>
    <w:p>
      <w:pPr>
        <w:ind w:left="260" w:right="300" w:hanging="254"/>
        <w:spacing w:after="0" w:line="278" w:lineRule="auto"/>
        <w:tabs>
          <w:tab w:leader="none" w:pos="256"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Industries: </w:t>
      </w:r>
      <w:r>
        <w:rPr>
          <w:rFonts w:ascii="Arial" w:cs="Arial" w:eastAsia="Arial" w:hAnsi="Arial"/>
          <w:sz w:val="14"/>
          <w:szCs w:val="14"/>
          <w:color w:val="000000"/>
        </w:rPr>
        <w:t>Our Commercial Industries segment provides business process services and customized solutions to clients in a variety of industries. Across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Commercial Industries segment, we operate on our clients’ behalf to deliver mission-critical solutions and services to reduce costs, improve efficiencies and enable revenue growth for our clients and their consumers and employees.</w:t>
      </w:r>
    </w:p>
    <w:p>
      <w:pPr>
        <w:spacing w:after="0" w:line="151" w:lineRule="exact"/>
        <w:rPr>
          <w:rFonts w:ascii="Arial" w:cs="Arial" w:eastAsia="Arial" w:hAnsi="Arial"/>
          <w:sz w:val="14"/>
          <w:szCs w:val="14"/>
          <w:b w:val="1"/>
          <w:bCs w:val="1"/>
          <w:color w:val="auto"/>
        </w:rPr>
      </w:pPr>
    </w:p>
    <w:p>
      <w:pPr>
        <w:jc w:val="both"/>
        <w:ind w:left="260" w:hanging="254"/>
        <w:spacing w:after="0" w:line="278" w:lineRule="auto"/>
        <w:tabs>
          <w:tab w:leader="none" w:pos="256"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Services: </w:t>
      </w:r>
      <w:r>
        <w:rPr>
          <w:rFonts w:ascii="Arial" w:cs="Arial" w:eastAsia="Arial" w:hAnsi="Arial"/>
          <w:sz w:val="14"/>
          <w:szCs w:val="14"/>
          <w:color w:val="000000"/>
        </w:rPr>
        <w:t>Our Government Services segment provides government-centric business process services to U.S. federal, state and local and foreign governments for</w:t>
      </w:r>
      <w:r>
        <w:rPr>
          <w:rFonts w:ascii="Arial" w:cs="Arial" w:eastAsia="Arial" w:hAnsi="Arial"/>
          <w:sz w:val="14"/>
          <w:szCs w:val="14"/>
          <w:b w:val="1"/>
          <w:bCs w:val="1"/>
          <w:color w:val="0066CC"/>
        </w:rPr>
        <w:t xml:space="preserve"> </w:t>
      </w:r>
      <w:r>
        <w:rPr>
          <w:rFonts w:ascii="Arial" w:cs="Arial" w:eastAsia="Arial" w:hAnsi="Arial"/>
          <w:sz w:val="14"/>
          <w:szCs w:val="14"/>
          <w:color w:val="000000"/>
        </w:rPr>
        <w:t>public assistance program administration, transaction processing and payment services. Our solutions in this segment help governments respond to changing rules for eligibility and increasing citizen expectations.</w:t>
      </w:r>
    </w:p>
    <w:p>
      <w:pPr>
        <w:spacing w:after="0" w:line="151" w:lineRule="exact"/>
        <w:rPr>
          <w:rFonts w:ascii="Arial" w:cs="Arial" w:eastAsia="Arial" w:hAnsi="Arial"/>
          <w:sz w:val="14"/>
          <w:szCs w:val="14"/>
          <w:b w:val="1"/>
          <w:bCs w:val="1"/>
          <w:color w:val="auto"/>
        </w:rPr>
      </w:pPr>
    </w:p>
    <w:p>
      <w:pPr>
        <w:ind w:left="260" w:right="80" w:hanging="254"/>
        <w:spacing w:after="0" w:line="278" w:lineRule="auto"/>
        <w:tabs>
          <w:tab w:leader="none" w:pos="256"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color w:val="000000"/>
        </w:rPr>
        <w:t>Our Transportation segment provides systems and support, as well as revenue-generating services, to government clients. On behalf of government agencies</w:t>
      </w:r>
      <w:r>
        <w:rPr>
          <w:rFonts w:ascii="Arial" w:cs="Arial" w:eastAsia="Arial" w:hAnsi="Arial"/>
          <w:sz w:val="14"/>
          <w:szCs w:val="14"/>
          <w:b w:val="1"/>
          <w:bCs w:val="1"/>
          <w:color w:val="0066CC"/>
        </w:rPr>
        <w:t xml:space="preserve"> </w:t>
      </w:r>
      <w:r>
        <w:rPr>
          <w:rFonts w:ascii="Arial" w:cs="Arial" w:eastAsia="Arial" w:hAnsi="Arial"/>
          <w:sz w:val="14"/>
          <w:szCs w:val="14"/>
          <w:color w:val="000000"/>
        </w:rPr>
        <w:t>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our divestitures, our Student Loan business, which the Company exited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Shared IT / Infrastructure &amp; Corporate Costs includes both normal ongoing IT infrastructure costs and costs related to modernization of a significant portion of our infrastructure with new systems and processes and consolidation of our data centers as part of our transformation initiatives. It also includes costs related to corporate overhead functions and shared real estate costs. These costs are not allocated to the reportable segments.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information for our reportable segments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1"/>
                <w:szCs w:val="11"/>
                <w:color w:val="auto"/>
              </w:rPr>
              <w:t>Year Ended December 31,</w:t>
            </w: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color w:val="auto"/>
              </w:rPr>
              <w:t>Shared IT /</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color w:val="auto"/>
              </w:rPr>
              <w:t>Infrastructure &amp;</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15"/>
        </w:trPr>
        <w:tc>
          <w:tcPr>
            <w:tcW w:w="240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100" w:type="dxa"/>
            <w:vAlign w:val="bottom"/>
          </w:tcPr>
          <w:p>
            <w:pPr>
              <w:spacing w:after="0"/>
              <w:rPr>
                <w:sz w:val="9"/>
                <w:szCs w:val="9"/>
                <w:color w:val="auto"/>
              </w:rPr>
            </w:pPr>
          </w:p>
        </w:tc>
        <w:tc>
          <w:tcPr>
            <w:tcW w:w="128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Commercial Industries</w:t>
            </w:r>
          </w:p>
        </w:tc>
        <w:tc>
          <w:tcPr>
            <w:tcW w:w="1280" w:type="dxa"/>
            <w:vAlign w:val="bottom"/>
            <w:gridSpan w:val="3"/>
          </w:tcPr>
          <w:p>
            <w:pPr>
              <w:ind w:left="40"/>
              <w:spacing w:after="0" w:line="115" w:lineRule="exact"/>
              <w:rPr>
                <w:sz w:val="20"/>
                <w:szCs w:val="20"/>
                <w:color w:val="auto"/>
              </w:rPr>
            </w:pPr>
            <w:r>
              <w:rPr>
                <w:rFonts w:ascii="Arial" w:cs="Arial" w:eastAsia="Arial" w:hAnsi="Arial"/>
                <w:sz w:val="11"/>
                <w:szCs w:val="11"/>
                <w:color w:val="auto"/>
              </w:rPr>
              <w:t>Government Services</w:t>
            </w:r>
          </w:p>
        </w:tc>
        <w:tc>
          <w:tcPr>
            <w:tcW w:w="160" w:type="dxa"/>
            <w:vAlign w:val="bottom"/>
          </w:tcPr>
          <w:p>
            <w:pPr>
              <w:spacing w:after="0"/>
              <w:rPr>
                <w:sz w:val="9"/>
                <w:szCs w:val="9"/>
                <w:color w:val="auto"/>
              </w:rPr>
            </w:pPr>
          </w:p>
        </w:tc>
        <w:tc>
          <w:tcPr>
            <w:tcW w:w="1020" w:type="dxa"/>
            <w:vAlign w:val="bottom"/>
          </w:tcPr>
          <w:p>
            <w:pPr>
              <w:jc w:val="right"/>
              <w:ind w:right="123"/>
              <w:spacing w:after="0" w:line="115" w:lineRule="exact"/>
              <w:rPr>
                <w:sz w:val="20"/>
                <w:szCs w:val="20"/>
                <w:color w:val="auto"/>
              </w:rPr>
            </w:pPr>
            <w:r>
              <w:rPr>
                <w:rFonts w:ascii="Arial" w:cs="Arial" w:eastAsia="Arial" w:hAnsi="Arial"/>
                <w:sz w:val="11"/>
                <w:szCs w:val="11"/>
                <w:color w:val="auto"/>
              </w:rPr>
              <w:t>Transportation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Other</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240"/>
              <w:spacing w:after="0" w:line="115" w:lineRule="exact"/>
              <w:rPr>
                <w:sz w:val="20"/>
                <w:szCs w:val="20"/>
                <w:color w:val="auto"/>
              </w:rPr>
            </w:pPr>
            <w:r>
              <w:rPr>
                <w:rFonts w:ascii="Arial" w:cs="Arial" w:eastAsia="Arial" w:hAnsi="Arial"/>
                <w:sz w:val="11"/>
                <w:szCs w:val="11"/>
                <w:color w:val="auto"/>
              </w:rPr>
              <w:t>Corporate Costs</w:t>
            </w:r>
          </w:p>
        </w:tc>
        <w:tc>
          <w:tcPr>
            <w:tcW w:w="260" w:type="dxa"/>
            <w:vAlign w:val="bottom"/>
          </w:tcPr>
          <w:p>
            <w:pPr>
              <w:spacing w:after="0"/>
              <w:rPr>
                <w:sz w:val="9"/>
                <w:szCs w:val="9"/>
                <w:color w:val="auto"/>
              </w:rPr>
            </w:pPr>
          </w:p>
        </w:tc>
        <w:tc>
          <w:tcPr>
            <w:tcW w:w="920" w:type="dxa"/>
            <w:vAlign w:val="bottom"/>
          </w:tcPr>
          <w:p>
            <w:pPr>
              <w:jc w:val="right"/>
              <w:ind w:right="423"/>
              <w:spacing w:after="0" w:line="115" w:lineRule="exact"/>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1"/>
        </w:trPr>
        <w:tc>
          <w:tcPr>
            <w:tcW w:w="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2019</w:t>
            </w: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Divestitures</w:t>
            </w: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1"/>
                <w:szCs w:val="11"/>
                <w:color w:val="auto"/>
              </w:rPr>
              <w:t>Other</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3"/>
        </w:trPr>
        <w:tc>
          <w:tcPr>
            <w:tcW w:w="2400" w:type="dxa"/>
            <w:vAlign w:val="bottom"/>
            <w:gridSpan w:val="3"/>
          </w:tcPr>
          <w:p>
            <w:pPr>
              <w:ind w:left="20"/>
              <w:spacing w:after="0"/>
              <w:rPr>
                <w:sz w:val="20"/>
                <w:szCs w:val="20"/>
                <w:color w:val="auto"/>
              </w:rPr>
            </w:pPr>
            <w:r>
              <w:rPr>
                <w:rFonts w:ascii="Arial" w:cs="Arial" w:eastAsia="Arial" w:hAnsi="Arial"/>
                <w:sz w:val="11"/>
                <w:szCs w:val="11"/>
                <w:color w:val="auto"/>
              </w:rPr>
              <w:t>Revenue</w:t>
            </w: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2,385</w:t>
            </w:r>
          </w:p>
        </w:tc>
        <w:tc>
          <w:tcPr>
            <w:tcW w:w="100" w:type="dxa"/>
            <w:vAlign w:val="bottom"/>
          </w:tcPr>
          <w:p>
            <w:pPr>
              <w:spacing w:after="0"/>
              <w:rPr>
                <w:sz w:val="14"/>
                <w:szCs w:val="14"/>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1,263</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781</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36</w:t>
            </w: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2</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4,467</w:t>
            </w:r>
          </w:p>
        </w:tc>
      </w:tr>
      <w:tr>
        <w:trPr>
          <w:trHeight w:val="177"/>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273</w:t>
            </w:r>
          </w:p>
        </w:tc>
      </w:tr>
      <w:tr>
        <w:trPr>
          <w:trHeight w:val="168"/>
        </w:trPr>
        <w:tc>
          <w:tcPr>
            <w:tcW w:w="2400" w:type="dxa"/>
            <w:vAlign w:val="bottom"/>
            <w:gridSpan w:val="3"/>
          </w:tcPr>
          <w:p>
            <w:pPr>
              <w:ind w:left="20"/>
              <w:spacing w:after="0"/>
              <w:rPr>
                <w:sz w:val="20"/>
                <w:szCs w:val="20"/>
                <w:color w:val="auto"/>
              </w:rPr>
            </w:pPr>
            <w:r>
              <w:rPr>
                <w:rFonts w:ascii="Arial" w:cs="Arial" w:eastAsia="Arial" w:hAnsi="Arial"/>
                <w:sz w:val="11"/>
                <w:szCs w:val="11"/>
                <w:color w:val="auto"/>
              </w:rPr>
              <w:t>Segment depreciation and amortization</w:t>
            </w: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4"/>
                <w:szCs w:val="14"/>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33</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216</w:t>
            </w:r>
          </w:p>
        </w:tc>
      </w:tr>
      <w:tr>
        <w:trPr>
          <w:trHeight w:val="177"/>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542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494</w:t>
            </w: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2018</w:t>
            </w:r>
          </w:p>
        </w:tc>
        <w:tc>
          <w:tcPr>
            <w:tcW w:w="1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2400" w:type="dxa"/>
            <w:vAlign w:val="bottom"/>
            <w:gridSpan w:val="3"/>
          </w:tcPr>
          <w:p>
            <w:pPr>
              <w:ind w:left="20"/>
              <w:spacing w:after="0"/>
              <w:rPr>
                <w:sz w:val="20"/>
                <w:szCs w:val="20"/>
                <w:color w:val="auto"/>
              </w:rPr>
            </w:pPr>
            <w:r>
              <w:rPr>
                <w:rFonts w:ascii="Arial" w:cs="Arial" w:eastAsia="Arial" w:hAnsi="Arial"/>
                <w:sz w:val="11"/>
                <w:szCs w:val="11"/>
                <w:color w:val="auto"/>
              </w:rPr>
              <w:t>Revenue</w:t>
            </w: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2,550</w:t>
            </w:r>
          </w:p>
        </w:tc>
        <w:tc>
          <w:tcPr>
            <w:tcW w:w="100" w:type="dxa"/>
            <w:vAlign w:val="bottom"/>
          </w:tcPr>
          <w:p>
            <w:pPr>
              <w:spacing w:after="0"/>
              <w:rPr>
                <w:sz w:val="14"/>
                <w:szCs w:val="14"/>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1,351</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729</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752</w:t>
            </w: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5,393</w:t>
            </w:r>
          </w:p>
        </w:tc>
      </w:tr>
      <w:tr>
        <w:trPr>
          <w:trHeight w:val="177"/>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501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422</w:t>
            </w:r>
          </w:p>
        </w:tc>
      </w:tr>
      <w:tr>
        <w:trPr>
          <w:trHeight w:val="168"/>
        </w:trPr>
        <w:tc>
          <w:tcPr>
            <w:tcW w:w="2400" w:type="dxa"/>
            <w:vAlign w:val="bottom"/>
            <w:gridSpan w:val="3"/>
          </w:tcPr>
          <w:p>
            <w:pPr>
              <w:ind w:left="20"/>
              <w:spacing w:after="0"/>
              <w:rPr>
                <w:sz w:val="20"/>
                <w:szCs w:val="20"/>
                <w:color w:val="auto"/>
              </w:rPr>
            </w:pPr>
            <w:r>
              <w:rPr>
                <w:rFonts w:ascii="Arial" w:cs="Arial" w:eastAsia="Arial" w:hAnsi="Arial"/>
                <w:sz w:val="11"/>
                <w:szCs w:val="11"/>
                <w:color w:val="auto"/>
              </w:rPr>
              <w:t>Segment depreciation and amortization</w:t>
            </w: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4"/>
                <w:szCs w:val="14"/>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36</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w:t>
            </w: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221</w:t>
            </w:r>
          </w:p>
        </w:tc>
      </w:tr>
      <w:tr>
        <w:trPr>
          <w:trHeight w:val="177"/>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598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640</w:t>
            </w:r>
          </w:p>
        </w:tc>
      </w:tr>
      <w:tr>
        <w:trPr>
          <w:trHeight w:val="205"/>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2017</w:t>
            </w:r>
          </w:p>
        </w:tc>
        <w:tc>
          <w:tcPr>
            <w:tcW w:w="1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2400" w:type="dxa"/>
            <w:vAlign w:val="bottom"/>
            <w:gridSpan w:val="3"/>
          </w:tcPr>
          <w:p>
            <w:pPr>
              <w:ind w:left="20"/>
              <w:spacing w:after="0"/>
              <w:rPr>
                <w:sz w:val="20"/>
                <w:szCs w:val="20"/>
                <w:color w:val="auto"/>
              </w:rPr>
            </w:pPr>
            <w:r>
              <w:rPr>
                <w:rFonts w:ascii="Arial" w:cs="Arial" w:eastAsia="Arial" w:hAnsi="Arial"/>
                <w:sz w:val="11"/>
                <w:szCs w:val="11"/>
                <w:color w:val="auto"/>
              </w:rPr>
              <w:t>Revenue</w:t>
            </w: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2,685</w:t>
            </w:r>
          </w:p>
        </w:tc>
        <w:tc>
          <w:tcPr>
            <w:tcW w:w="100" w:type="dxa"/>
            <w:vAlign w:val="bottom"/>
          </w:tcPr>
          <w:p>
            <w:pPr>
              <w:spacing w:after="0"/>
              <w:rPr>
                <w:sz w:val="14"/>
                <w:szCs w:val="14"/>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1,433</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767</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1,062</w:t>
            </w: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75</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6,022</w:t>
            </w:r>
          </w:p>
        </w:tc>
      </w:tr>
      <w:tr>
        <w:trPr>
          <w:trHeight w:val="177"/>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417</w:t>
            </w:r>
          </w:p>
        </w:tc>
      </w:tr>
      <w:tr>
        <w:trPr>
          <w:trHeight w:val="168"/>
        </w:trPr>
        <w:tc>
          <w:tcPr>
            <w:tcW w:w="2400" w:type="dxa"/>
            <w:vAlign w:val="bottom"/>
            <w:gridSpan w:val="3"/>
          </w:tcPr>
          <w:p>
            <w:pPr>
              <w:ind w:left="20"/>
              <w:spacing w:after="0"/>
              <w:rPr>
                <w:sz w:val="20"/>
                <w:szCs w:val="20"/>
                <w:color w:val="auto"/>
              </w:rPr>
            </w:pPr>
            <w:r>
              <w:rPr>
                <w:rFonts w:ascii="Arial" w:cs="Arial" w:eastAsia="Arial" w:hAnsi="Arial"/>
                <w:sz w:val="11"/>
                <w:szCs w:val="11"/>
                <w:color w:val="auto"/>
              </w:rPr>
              <w:t>Segment depreciation and amortization</w:t>
            </w: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4"/>
                <w:szCs w:val="14"/>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43</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13</w:t>
            </w: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2</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254</w:t>
            </w:r>
          </w:p>
        </w:tc>
      </w:tr>
      <w:tr>
        <w:trPr>
          <w:trHeight w:val="177"/>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661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672</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segment profit (loss)/adjusted EBITDA to income (loss) before income taxes: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80" w:type="dxa"/>
            <w:vAlign w:val="bottom"/>
            <w:gridSpan w:val="4"/>
          </w:tcPr>
          <w:p>
            <w:pPr>
              <w:spacing w:after="0"/>
              <w:rPr>
                <w:sz w:val="20"/>
                <w:szCs w:val="20"/>
                <w:color w:val="auto"/>
              </w:rPr>
            </w:pPr>
            <w:r>
              <w:rPr>
                <w:rFonts w:ascii="Arial" w:cs="Arial" w:eastAsia="Arial" w:hAnsi="Arial"/>
                <w:sz w:val="11"/>
                <w:szCs w:val="11"/>
                <w:color w:val="auto"/>
              </w:rPr>
              <w:t>(in millions)</w:t>
            </w: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Segment Profit (Loss) Reconciliation to Pre-tax Income (Loss)</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Borders>
              <w:bottom w:val="single" w:sz="8" w:color="auto"/>
            </w:tcBorders>
            <w:vMerge w:val="continue"/>
          </w:tcPr>
          <w:p>
            <w:pPr>
              <w:spacing w:after="0"/>
              <w:rPr>
                <w:sz w:val="13"/>
                <w:szCs w:val="13"/>
                <w:color w:val="auto"/>
              </w:rPr>
            </w:pPr>
          </w:p>
        </w:tc>
        <w:tc>
          <w:tcPr>
            <w:tcW w:w="578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2018</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168"/>
        </w:trPr>
        <w:tc>
          <w:tcPr>
            <w:tcW w:w="590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Reconciling items:</w:t>
            </w:r>
          </w:p>
        </w:tc>
        <w:tc>
          <w:tcPr>
            <w:tcW w:w="494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4"/>
          </w:tcPr>
          <w:p>
            <w:pPr>
              <w:ind w:left="14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83"/>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4"/>
          </w:tcPr>
          <w:p>
            <w:pPr>
              <w:ind w:left="140"/>
              <w:spacing w:after="0"/>
              <w:rPr>
                <w:sz w:val="20"/>
                <w:szCs w:val="20"/>
                <w:color w:val="auto"/>
              </w:rPr>
            </w:pPr>
            <w:r>
              <w:rPr>
                <w:rFonts w:ascii="Arial" w:cs="Arial" w:eastAsia="Arial" w:hAnsi="Arial"/>
                <w:sz w:val="11"/>
                <w:szCs w:val="11"/>
                <w:color w:val="auto"/>
              </w:rPr>
              <w:t>(Gain) loss on extinguishment of debt</w:t>
            </w:r>
          </w:p>
        </w:tc>
        <w:tc>
          <w:tcPr>
            <w:tcW w:w="4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620" w:type="dxa"/>
            <w:vAlign w:val="bottom"/>
          </w:tcPr>
          <w:p>
            <w:pPr>
              <w:jc w:val="right"/>
              <w:ind w:right="83"/>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4"/>
          </w:tcPr>
          <w:p>
            <w:pPr>
              <w:ind w:left="140"/>
              <w:spacing w:after="0"/>
              <w:rPr>
                <w:sz w:val="20"/>
                <w:szCs w:val="20"/>
                <w:color w:val="auto"/>
              </w:rPr>
            </w:pPr>
            <w:r>
              <w:rPr>
                <w:rFonts w:ascii="Arial" w:cs="Arial" w:eastAsia="Arial" w:hAnsi="Arial"/>
                <w:sz w:val="11"/>
                <w:szCs w:val="11"/>
                <w:color w:val="auto"/>
              </w:rPr>
              <w:t>(Gain) loss on divestitures and transaction costs</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83"/>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3"/>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Litigation costs (recoveries), net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4"/>
          </w:tcPr>
          <w:p>
            <w:pPr>
              <w:ind w:left="140"/>
              <w:spacing w:after="0"/>
              <w:rPr>
                <w:sz w:val="20"/>
                <w:szCs w:val="20"/>
                <w:color w:val="auto"/>
              </w:rPr>
            </w:pPr>
            <w:r>
              <w:rPr>
                <w:rFonts w:ascii="Arial" w:cs="Arial" w:eastAsia="Arial" w:hAnsi="Arial"/>
                <w:sz w:val="11"/>
                <w:szCs w:val="11"/>
                <w:color w:val="auto"/>
              </w:rPr>
              <w:t>Separation costs</w:t>
            </w:r>
          </w:p>
        </w:tc>
        <w:tc>
          <w:tcPr>
            <w:tcW w:w="4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4"/>
                <w:szCs w:val="14"/>
                <w:color w:val="auto"/>
              </w:rPr>
            </w:pP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5900" w:type="dxa"/>
            <w:vAlign w:val="bottom"/>
            <w:gridSpan w:val="5"/>
          </w:tcPr>
          <w:p>
            <w:pPr>
              <w:ind w:left="20"/>
              <w:spacing w:after="0"/>
              <w:rPr>
                <w:sz w:val="20"/>
                <w:szCs w:val="20"/>
                <w:color w:val="auto"/>
              </w:rPr>
            </w:pPr>
            <w:r>
              <w:rPr>
                <w:rFonts w:ascii="Arial" w:cs="Arial" w:eastAsia="Arial" w:hAnsi="Arial"/>
                <w:sz w:val="11"/>
                <w:szCs w:val="11"/>
                <w:b w:val="1"/>
                <w:bCs w:val="1"/>
                <w:color w:val="auto"/>
              </w:rPr>
              <w:t>Segment Pre-Tax Income (Loss)</w:t>
            </w: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620" w:type="dxa"/>
            <w:vAlign w:val="bottom"/>
          </w:tcPr>
          <w:p>
            <w:pPr>
              <w:jc w:val="right"/>
              <w:ind w:right="83"/>
              <w:spacing w:after="0"/>
              <w:rPr>
                <w:sz w:val="20"/>
                <w:szCs w:val="20"/>
                <w:color w:val="auto"/>
              </w:rPr>
            </w:pPr>
            <w:r>
              <w:rPr>
                <w:rFonts w:ascii="Arial" w:cs="Arial" w:eastAsia="Arial" w:hAnsi="Arial"/>
                <w:sz w:val="11"/>
                <w:szCs w:val="11"/>
                <w:color w:val="auto"/>
              </w:rPr>
              <w:t>422</w:t>
            </w:r>
          </w:p>
        </w:tc>
        <w:tc>
          <w:tcPr>
            <w:tcW w:w="10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417</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Segment depreciation and amortization</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4"/>
          </w:tcPr>
          <w:p>
            <w:pPr>
              <w:ind w:left="140"/>
              <w:spacing w:after="0"/>
              <w:rPr>
                <w:sz w:val="20"/>
                <w:szCs w:val="20"/>
                <w:color w:val="auto"/>
              </w:rPr>
            </w:pPr>
            <w:r>
              <w:rPr>
                <w:rFonts w:ascii="Arial" w:cs="Arial" w:eastAsia="Arial" w:hAnsi="Arial"/>
                <w:sz w:val="11"/>
                <w:szCs w:val="11"/>
                <w:color w:val="auto"/>
              </w:rPr>
              <w:t>NY MMIS charge (credit)</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88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HE charge (credit)</w:t>
            </w:r>
          </w:p>
        </w:tc>
        <w:tc>
          <w:tcPr>
            <w:tcW w:w="4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4"/>
          </w:tcPr>
          <w:p>
            <w:pPr>
              <w:ind w:left="160"/>
              <w:spacing w:after="0"/>
              <w:rPr>
                <w:sz w:val="20"/>
                <w:szCs w:val="20"/>
                <w:color w:val="auto"/>
              </w:rPr>
            </w:pPr>
            <w:r>
              <w:rPr>
                <w:rFonts w:ascii="Arial" w:cs="Arial" w:eastAsia="Arial" w:hAnsi="Arial"/>
                <w:sz w:val="11"/>
                <w:szCs w:val="11"/>
                <w:color w:val="auto"/>
              </w:rPr>
              <w:t>Other adjustments</w:t>
            </w: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8"/>
        </w:trPr>
        <w:tc>
          <w:tcPr>
            <w:tcW w:w="590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6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Geographic area data is based upon the location of the subsidiary reporting the revenue or long-lived assets and is as follows for each of the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color w:val="auto"/>
              </w:rPr>
              <w:t>Revenues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 xml:space="preserve">Long-Lived Assets </w:t>
            </w:r>
            <w:r>
              <w:rPr>
                <w:rFonts w:ascii="Arial" w:cs="Arial" w:eastAsia="Arial" w:hAnsi="Arial"/>
                <w:sz w:val="14"/>
                <w:szCs w:val="14"/>
                <w:color w:val="auto"/>
                <w:vertAlign w:val="superscript"/>
              </w:rPr>
              <w:t>(1)</w:t>
            </w:r>
          </w:p>
        </w:tc>
        <w:tc>
          <w:tcPr>
            <w:tcW w:w="820" w:type="dxa"/>
            <w:vAlign w:val="bottom"/>
            <w:tcBorders>
              <w:bottom w:val="single" w:sz="8" w:color="auto"/>
            </w:tcBorders>
          </w:tcPr>
          <w:p>
            <w:pPr>
              <w:spacing w:after="0"/>
              <w:rPr>
                <w:sz w:val="14"/>
                <w:szCs w:val="14"/>
                <w:color w:val="auto"/>
              </w:rPr>
            </w:pPr>
          </w:p>
        </w:tc>
      </w:tr>
      <w:tr>
        <w:trPr>
          <w:trHeight w:val="131"/>
        </w:trPr>
        <w:tc>
          <w:tcPr>
            <w:tcW w:w="4300" w:type="dxa"/>
            <w:vAlign w:val="bottom"/>
            <w:gridSpan w:val="3"/>
          </w:tcPr>
          <w:p>
            <w:pPr>
              <w:ind w:left="20"/>
              <w:spacing w:after="0" w:line="120" w:lineRule="exact"/>
              <w:rPr>
                <w:sz w:val="20"/>
                <w:szCs w:val="20"/>
                <w:color w:val="auto"/>
              </w:rPr>
            </w:pPr>
            <w:r>
              <w:rPr>
                <w:rFonts w:ascii="Arial" w:cs="Arial" w:eastAsia="Arial" w:hAnsi="Arial"/>
                <w:sz w:val="11"/>
                <w:szCs w:val="11"/>
                <w:color w:val="auto"/>
              </w:rPr>
              <w:t>(in millions)</w:t>
            </w:r>
          </w:p>
        </w:tc>
        <w:tc>
          <w:tcPr>
            <w:tcW w:w="320" w:type="dxa"/>
            <w:vAlign w:val="bottom"/>
          </w:tcPr>
          <w:p>
            <w:pPr>
              <w:spacing w:after="0"/>
              <w:rPr>
                <w:sz w:val="11"/>
                <w:szCs w:val="11"/>
                <w:color w:val="auto"/>
              </w:rPr>
            </w:pPr>
          </w:p>
        </w:tc>
        <w:tc>
          <w:tcPr>
            <w:tcW w:w="1020" w:type="dxa"/>
            <w:vAlign w:val="bottom"/>
          </w:tcPr>
          <w:p>
            <w:pPr>
              <w:jc w:val="right"/>
              <w:ind w:right="483"/>
              <w:spacing w:after="0" w:line="120" w:lineRule="exact"/>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483"/>
              <w:spacing w:after="0" w:line="120" w:lineRule="exact"/>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3"/>
              <w:spacing w:after="0" w:line="120" w:lineRule="exact"/>
              <w:rPr>
                <w:sz w:val="20"/>
                <w:szCs w:val="20"/>
                <w:color w:val="auto"/>
              </w:rPr>
            </w:pPr>
            <w:r>
              <w:rPr>
                <w:rFonts w:ascii="Arial" w:cs="Arial" w:eastAsia="Arial" w:hAnsi="Arial"/>
                <w:sz w:val="11"/>
                <w:szCs w:val="11"/>
                <w:color w:val="auto"/>
              </w:rPr>
              <w:t>2017</w:t>
            </w:r>
          </w:p>
        </w:tc>
        <w:tc>
          <w:tcPr>
            <w:tcW w:w="80" w:type="dxa"/>
            <w:vAlign w:val="bottom"/>
          </w:tcPr>
          <w:p>
            <w:pPr>
              <w:spacing w:after="0"/>
              <w:rPr>
                <w:sz w:val="11"/>
                <w:szCs w:val="11"/>
                <w:color w:val="auto"/>
              </w:rPr>
            </w:pPr>
          </w:p>
        </w:tc>
        <w:tc>
          <w:tcPr>
            <w:tcW w:w="860" w:type="dxa"/>
            <w:vAlign w:val="bottom"/>
          </w:tcPr>
          <w:p>
            <w:pPr>
              <w:jc w:val="right"/>
              <w:spacing w:after="0" w:line="120" w:lineRule="exact"/>
              <w:rPr>
                <w:sz w:val="20"/>
                <w:szCs w:val="20"/>
                <w:color w:val="auto"/>
              </w:rPr>
            </w:pPr>
            <w:r>
              <w:rPr>
                <w:rFonts w:ascii="Arial" w:cs="Arial" w:eastAsia="Arial" w:hAnsi="Arial"/>
                <w:sz w:val="11"/>
                <w:szCs w:val="11"/>
                <w:color w:val="auto"/>
              </w:rPr>
              <w:t>2019</w:t>
            </w:r>
            <w:r>
              <w:rPr>
                <w:rFonts w:ascii="Arial" w:cs="Arial" w:eastAsia="Arial" w:hAnsi="Arial"/>
                <w:sz w:val="13"/>
                <w:szCs w:val="13"/>
                <w:color w:val="auto"/>
                <w:vertAlign w:val="superscript"/>
              </w:rPr>
              <w:t>(2)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jc w:val="right"/>
              <w:ind w:right="483"/>
              <w:spacing w:after="0" w:line="120" w:lineRule="exact"/>
              <w:rPr>
                <w:sz w:val="20"/>
                <w:szCs w:val="20"/>
                <w:color w:val="auto"/>
              </w:rPr>
            </w:pPr>
            <w:r>
              <w:rPr>
                <w:rFonts w:ascii="Arial" w:cs="Arial" w:eastAsia="Arial" w:hAnsi="Arial"/>
                <w:sz w:val="11"/>
                <w:szCs w:val="1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5"/>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United States</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4,748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5,303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612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375</w:t>
            </w:r>
          </w:p>
        </w:tc>
      </w:tr>
      <w:tr>
        <w:trPr>
          <w:trHeight w:val="168"/>
        </w:trPr>
        <w:tc>
          <w:tcPr>
            <w:tcW w:w="4300" w:type="dxa"/>
            <w:vAlign w:val="bottom"/>
            <w:gridSpan w:val="3"/>
          </w:tcPr>
          <w:p>
            <w:pPr>
              <w:ind w:left="20"/>
              <w:spacing w:after="0"/>
              <w:rPr>
                <w:sz w:val="20"/>
                <w:szCs w:val="20"/>
                <w:color w:val="auto"/>
              </w:rPr>
            </w:pPr>
            <w:r>
              <w:rPr>
                <w:rFonts w:ascii="Arial" w:cs="Arial" w:eastAsia="Arial" w:hAnsi="Arial"/>
                <w:sz w:val="11"/>
                <w:szCs w:val="11"/>
                <w:color w:val="auto"/>
              </w:rPr>
              <w:t>Europe</w:t>
            </w:r>
          </w:p>
        </w:tc>
        <w:tc>
          <w:tcPr>
            <w:tcW w:w="32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386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538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ind w:right="83"/>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28</w:t>
            </w:r>
          </w:p>
        </w:tc>
      </w:tr>
      <w:tr>
        <w:trPr>
          <w:trHeight w:val="172"/>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 areas</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181</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r>
      <w:tr>
        <w:trPr>
          <w:trHeight w:val="168"/>
        </w:trPr>
        <w:tc>
          <w:tcPr>
            <w:tcW w:w="43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Revenues and Long-Lived Assets</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4,467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5,393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6,022</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802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465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4" w:lineRule="exact"/>
        <w:rPr>
          <w:sz w:val="20"/>
          <w:szCs w:val="20"/>
          <w:color w:val="auto"/>
        </w:rPr>
      </w:pPr>
    </w:p>
    <w:p>
      <w:pPr>
        <w:ind w:left="260" w:hanging="254"/>
        <w:spacing w:after="0"/>
        <w:tabs>
          <w:tab w:leader="none" w:pos="26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Long-lived assets are comprised of (i) Land, buildings and equipment, net, (ii) Internal use software, net, and (iii) Product software, net.</w:t>
      </w:r>
    </w:p>
    <w:p>
      <w:pPr>
        <w:spacing w:after="0" w:line="45" w:lineRule="exact"/>
        <w:rPr>
          <w:rFonts w:ascii="Arial" w:cs="Arial" w:eastAsia="Arial" w:hAnsi="Arial"/>
          <w:sz w:val="11"/>
          <w:szCs w:val="11"/>
          <w:i w:val="1"/>
          <w:iCs w:val="1"/>
          <w:color w:val="auto"/>
        </w:rPr>
      </w:pPr>
    </w:p>
    <w:p>
      <w:pPr>
        <w:ind w:left="260" w:hanging="254"/>
        <w:spacing w:after="0"/>
        <w:tabs>
          <w:tab w:leader="none" w:pos="26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Amounts include operating lease right-of-use assets.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4 – Divestiture</w:t>
      </w:r>
    </w:p>
    <w:p>
      <w:pPr>
        <w:spacing w:after="0" w:line="219"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In February 2019, the Company completed the sale of a portfolio of select standalone customer care contracts to Skyview Capital LLC. During 2019, the Company recorded additional losses and transaction costs of $17 million on the sale of this portfolio, reflecting certain changes in estimates that were made when recording the initial charge in 2018. The revenue generated from this business was $36 million for the three months ended March 31, 2019 and $439 million for the year ended December 31, 2018.</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5 – Business Acquisition</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In January 2019, the Company completed the acquisition of Health Solutions Plus (HSP), a software provider of healthcare payer administration solutions, for a total base consideration of $90 million and a maximum contingent consideration payment of $8 million based on a cumulative achievement over 2 years. Revenue recorded for the year ended December 31, 2019, was $20 million. Pre-tax income for the year ended December 31, 2019, was $6 million.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final purchase price allocation for HSP as of the acquisition date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220" w:type="dxa"/>
            <w:vAlign w:val="bottom"/>
            <w:gridSpan w:val="4"/>
          </w:tcPr>
          <w:p>
            <w:pPr>
              <w:spacing w:after="0"/>
              <w:rPr>
                <w:sz w:val="20"/>
                <w:szCs w:val="20"/>
                <w:color w:val="auto"/>
              </w:rPr>
            </w:pPr>
            <w:r>
              <w:rPr>
                <w:rFonts w:ascii="Arial" w:cs="Arial" w:eastAsia="Arial" w:hAnsi="Arial"/>
                <w:sz w:val="10"/>
                <w:szCs w:val="10"/>
                <w:color w:val="auto"/>
              </w:rPr>
              <w:t>(in millions)</w:t>
            </w: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58"/>
        </w:trPr>
        <w:tc>
          <w:tcPr>
            <w:tcW w:w="20" w:type="dxa"/>
            <w:vAlign w:val="bottom"/>
            <w:shd w:val="clear" w:color="auto" w:fill="CCEEFF"/>
          </w:tcPr>
          <w:p>
            <w:pPr>
              <w:spacing w:after="0"/>
              <w:rPr>
                <w:sz w:val="13"/>
                <w:szCs w:val="13"/>
                <w:color w:val="auto"/>
              </w:rPr>
            </w:pPr>
          </w:p>
        </w:tc>
        <w:tc>
          <w:tcPr>
            <w:tcW w:w="922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Fair Value of Consideration Transferred:</w:t>
            </w:r>
          </w:p>
        </w:tc>
        <w:tc>
          <w:tcPr>
            <w:tcW w:w="10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21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Cash paid</w:t>
            </w:r>
          </w:p>
        </w:tc>
        <w:tc>
          <w:tcPr>
            <w:tcW w:w="70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jc w:val="right"/>
              <w:ind w:right="88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CCEEFF"/>
            </w:tcBorders>
          </w:tcPr>
          <w:p>
            <w:pPr>
              <w:jc w:val="right"/>
              <w:ind w:right="83"/>
              <w:spacing w:after="0"/>
              <w:rPr>
                <w:sz w:val="20"/>
                <w:szCs w:val="20"/>
                <w:color w:val="auto"/>
              </w:rPr>
            </w:pPr>
            <w:r>
              <w:rPr>
                <w:rFonts w:ascii="Arial" w:cs="Arial" w:eastAsia="Arial" w:hAnsi="Arial"/>
                <w:sz w:val="11"/>
                <w:szCs w:val="11"/>
                <w:color w:val="auto"/>
              </w:rPr>
              <w:t>90</w:t>
            </w:r>
          </w:p>
        </w:tc>
      </w:tr>
      <w:tr>
        <w:trPr>
          <w:trHeight w:val="172"/>
        </w:trPr>
        <w:tc>
          <w:tcPr>
            <w:tcW w:w="924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Contingent consideration payable</w:t>
            </w:r>
          </w:p>
        </w:tc>
        <w:tc>
          <w:tcPr>
            <w:tcW w:w="10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r>
      <w:tr>
        <w:trPr>
          <w:trHeight w:val="168"/>
        </w:trPr>
        <w:tc>
          <w:tcPr>
            <w:tcW w:w="9240" w:type="dxa"/>
            <w:vAlign w:val="bottom"/>
            <w:gridSpan w:val="5"/>
          </w:tcPr>
          <w:p>
            <w:pPr>
              <w:ind w:left="20"/>
              <w:spacing w:after="0"/>
              <w:rPr>
                <w:sz w:val="20"/>
                <w:szCs w:val="20"/>
                <w:color w:val="auto"/>
              </w:rPr>
            </w:pPr>
            <w:r>
              <w:rPr>
                <w:rFonts w:ascii="Arial" w:cs="Arial" w:eastAsia="Arial" w:hAnsi="Arial"/>
                <w:sz w:val="11"/>
                <w:szCs w:val="11"/>
                <w:color w:val="auto"/>
              </w:rPr>
              <w:t>Total Consideration</w:t>
            </w:r>
          </w:p>
        </w:tc>
        <w:tc>
          <w:tcPr>
            <w:tcW w:w="1020" w:type="dxa"/>
            <w:vAlign w:val="bottom"/>
            <w:tcBorders>
              <w:bottom w:val="single" w:sz="8" w:color="auto"/>
            </w:tcBorders>
          </w:tcPr>
          <w:p>
            <w:pPr>
              <w:jc w:val="right"/>
              <w:ind w:right="8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4"/>
        </w:trPr>
        <w:tc>
          <w:tcPr>
            <w:tcW w:w="20" w:type="dxa"/>
            <w:vAlign w:val="bottom"/>
            <w:tcBorders>
              <w:bottom w:val="single" w:sz="8" w:color="CCEEFF"/>
            </w:tcBorders>
            <w:shd w:val="clear" w:color="auto" w:fill="CCEEFF"/>
          </w:tcPr>
          <w:p>
            <w:pPr>
              <w:spacing w:after="0"/>
              <w:rPr>
                <w:sz w:val="9"/>
                <w:szCs w:val="9"/>
                <w:color w:val="auto"/>
              </w:rPr>
            </w:pPr>
          </w:p>
        </w:tc>
        <w:tc>
          <w:tcPr>
            <w:tcW w:w="1600" w:type="dxa"/>
            <w:vAlign w:val="bottom"/>
            <w:tcBorders>
              <w:bottom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Allocation of Purchase Price:</w:t>
            </w:r>
          </w:p>
        </w:tc>
        <w:tc>
          <w:tcPr>
            <w:tcW w:w="7620" w:type="dxa"/>
            <w:vAlign w:val="bottom"/>
            <w:tcBorders>
              <w:bottom w:val="single" w:sz="8" w:color="CCEEFF"/>
            </w:tcBorders>
            <w:gridSpan w:val="2"/>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spacing w:after="0"/>
              <w:rPr>
                <w:sz w:val="9"/>
                <w:szCs w:val="9"/>
                <w:color w:val="auto"/>
              </w:rPr>
            </w:pPr>
          </w:p>
        </w:tc>
      </w:tr>
      <w:tr>
        <w:trPr>
          <w:trHeight w:val="168"/>
        </w:trPr>
        <w:tc>
          <w:tcPr>
            <w:tcW w:w="9240" w:type="dxa"/>
            <w:vAlign w:val="bottom"/>
            <w:gridSpan w:val="5"/>
          </w:tcPr>
          <w:p>
            <w:pPr>
              <w:ind w:left="20"/>
              <w:spacing w:after="0"/>
              <w:rPr>
                <w:sz w:val="20"/>
                <w:szCs w:val="20"/>
                <w:color w:val="auto"/>
              </w:rPr>
            </w:pPr>
            <w:r>
              <w:rPr>
                <w:rFonts w:ascii="Arial" w:cs="Arial" w:eastAsia="Arial" w:hAnsi="Arial"/>
                <w:sz w:val="11"/>
                <w:szCs w:val="11"/>
                <w:color w:val="auto"/>
              </w:rPr>
              <w:t>Net tangible assets</w:t>
            </w:r>
          </w:p>
        </w:tc>
        <w:tc>
          <w:tcPr>
            <w:tcW w:w="1020" w:type="dxa"/>
            <w:vAlign w:val="bottom"/>
          </w:tcPr>
          <w:p>
            <w:pPr>
              <w:jc w:val="right"/>
              <w:ind w:right="8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10</w:t>
            </w:r>
          </w:p>
        </w:tc>
      </w:tr>
      <w:tr>
        <w:trPr>
          <w:trHeight w:val="177"/>
        </w:trPr>
        <w:tc>
          <w:tcPr>
            <w:tcW w:w="924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0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w:t>
            </w:r>
          </w:p>
        </w:tc>
      </w:tr>
      <w:tr>
        <w:trPr>
          <w:trHeight w:val="168"/>
        </w:trPr>
        <w:tc>
          <w:tcPr>
            <w:tcW w:w="9240" w:type="dxa"/>
            <w:vAlign w:val="bottom"/>
            <w:gridSpan w:val="5"/>
          </w:tcPr>
          <w:p>
            <w:pPr>
              <w:ind w:left="20"/>
              <w:spacing w:after="0"/>
              <w:rPr>
                <w:sz w:val="20"/>
                <w:szCs w:val="20"/>
                <w:color w:val="auto"/>
              </w:rPr>
            </w:pPr>
            <w:r>
              <w:rPr>
                <w:rFonts w:ascii="Arial" w:cs="Arial" w:eastAsia="Arial" w:hAnsi="Arial"/>
                <w:sz w:val="11"/>
                <w:szCs w:val="11"/>
                <w:color w:val="auto"/>
              </w:rPr>
              <w:t>Costs Assigned to Intangible Assets</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7"/>
        </w:trPr>
        <w:tc>
          <w:tcPr>
            <w:tcW w:w="20" w:type="dxa"/>
            <w:vAlign w:val="bottom"/>
            <w:shd w:val="clear" w:color="auto" w:fill="CCEEFF"/>
          </w:tcPr>
          <w:p>
            <w:pPr>
              <w:spacing w:after="0"/>
              <w:rPr>
                <w:sz w:val="15"/>
                <w:szCs w:val="15"/>
                <w:color w:val="auto"/>
              </w:rPr>
            </w:pPr>
          </w:p>
        </w:tc>
        <w:tc>
          <w:tcPr>
            <w:tcW w:w="922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Customer relationships</w:t>
            </w:r>
          </w:p>
        </w:tc>
        <w:tc>
          <w:tcPr>
            <w:tcW w:w="10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r>
      <w:tr>
        <w:trPr>
          <w:trHeight w:val="168"/>
        </w:trPr>
        <w:tc>
          <w:tcPr>
            <w:tcW w:w="20" w:type="dxa"/>
            <w:vAlign w:val="bottom"/>
          </w:tcPr>
          <w:p>
            <w:pPr>
              <w:spacing w:after="0"/>
              <w:rPr>
                <w:sz w:val="14"/>
                <w:szCs w:val="14"/>
                <w:color w:val="auto"/>
              </w:rPr>
            </w:pPr>
          </w:p>
        </w:tc>
        <w:tc>
          <w:tcPr>
            <w:tcW w:w="9220" w:type="dxa"/>
            <w:vAlign w:val="bottom"/>
            <w:gridSpan w:val="4"/>
          </w:tcPr>
          <w:p>
            <w:pPr>
              <w:ind w:left="140"/>
              <w:spacing w:after="0"/>
              <w:rPr>
                <w:sz w:val="20"/>
                <w:szCs w:val="20"/>
                <w:color w:val="auto"/>
              </w:rPr>
            </w:pPr>
            <w:r>
              <w:rPr>
                <w:rFonts w:ascii="Arial" w:cs="Arial" w:eastAsia="Arial" w:hAnsi="Arial"/>
                <w:sz w:val="11"/>
                <w:szCs w:val="11"/>
                <w:color w:val="auto"/>
              </w:rPr>
              <w:t>Trademarks and trade names</w:t>
            </w:r>
          </w:p>
        </w:tc>
        <w:tc>
          <w:tcPr>
            <w:tcW w:w="102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w:t>
            </w:r>
          </w:p>
        </w:tc>
      </w:tr>
      <w:tr>
        <w:trPr>
          <w:trHeight w:val="172"/>
        </w:trPr>
        <w:tc>
          <w:tcPr>
            <w:tcW w:w="20" w:type="dxa"/>
            <w:vAlign w:val="bottom"/>
            <w:shd w:val="clear" w:color="auto" w:fill="CCEEFF"/>
          </w:tcPr>
          <w:p>
            <w:pPr>
              <w:spacing w:after="0"/>
              <w:rPr>
                <w:sz w:val="14"/>
                <w:szCs w:val="14"/>
                <w:color w:val="auto"/>
              </w:rPr>
            </w:pPr>
          </w:p>
        </w:tc>
        <w:tc>
          <w:tcPr>
            <w:tcW w:w="9220" w:type="dxa"/>
            <w:vAlign w:val="bottom"/>
            <w:gridSpan w:val="4"/>
            <w:shd w:val="clear" w:color="auto" w:fill="CCEEFF"/>
          </w:tcPr>
          <w:p>
            <w:pPr>
              <w:ind w:left="140"/>
              <w:spacing w:after="0"/>
              <w:rPr>
                <w:sz w:val="20"/>
                <w:szCs w:val="20"/>
                <w:color w:val="auto"/>
              </w:rPr>
            </w:pPr>
            <w:r>
              <w:rPr>
                <w:rFonts w:ascii="Arial" w:cs="Arial" w:eastAsia="Arial" w:hAnsi="Arial"/>
                <w:sz w:val="11"/>
                <w:szCs w:val="11"/>
                <w:color w:val="auto"/>
              </w:rPr>
              <w:t>Goodwill</w:t>
            </w:r>
          </w:p>
        </w:tc>
        <w:tc>
          <w:tcPr>
            <w:tcW w:w="10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49</w:t>
            </w:r>
          </w:p>
        </w:tc>
      </w:tr>
      <w:tr>
        <w:trPr>
          <w:trHeight w:val="243"/>
        </w:trPr>
        <w:tc>
          <w:tcPr>
            <w:tcW w:w="924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Total Intangible Assets</w:t>
            </w:r>
          </w:p>
        </w:tc>
        <w:tc>
          <w:tcPr>
            <w:tcW w:w="10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68</w:t>
            </w:r>
          </w:p>
        </w:tc>
      </w:tr>
      <w:tr>
        <w:trPr>
          <w:trHeight w:val="163"/>
        </w:trPr>
        <w:tc>
          <w:tcPr>
            <w:tcW w:w="9240" w:type="dxa"/>
            <w:vAlign w:val="bottom"/>
            <w:gridSpan w:val="5"/>
          </w:tcPr>
          <w:p>
            <w:pPr>
              <w:ind w:left="20"/>
              <w:spacing w:after="0"/>
              <w:rPr>
                <w:sz w:val="20"/>
                <w:szCs w:val="20"/>
                <w:color w:val="auto"/>
              </w:rPr>
            </w:pPr>
            <w:r>
              <w:rPr>
                <w:rFonts w:ascii="Arial" w:cs="Arial" w:eastAsia="Arial" w:hAnsi="Arial"/>
                <w:sz w:val="11"/>
                <w:szCs w:val="11"/>
                <w:color w:val="auto"/>
              </w:rPr>
              <w:t>Total Assets</w:t>
            </w:r>
          </w:p>
        </w:tc>
        <w:tc>
          <w:tcPr>
            <w:tcW w:w="1020" w:type="dxa"/>
            <w:vAlign w:val="bottom"/>
            <w:tcBorders>
              <w:bottom w:val="single" w:sz="8" w:color="auto"/>
            </w:tcBorders>
          </w:tcPr>
          <w:p>
            <w:pPr>
              <w:jc w:val="right"/>
              <w:ind w:right="88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97</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The weighted average amortization periods are 7 years, 15 years and 1.5 years for Developed technology, Customer relationships and Trademarks and trade names, respectively. The acquired goodwill is associated with the Company's Commercial Industries segment. This acquired goodwill, while tax deductible, includes $ 7 million related to contingent consideration payable that is not tax deductible until it is earned and paid. The goodwill recognized is attributable primarily to expected synergies and the assembled workforce of HSP. The Developed technology is classified as Product Software within Other long-term assets on the Consolidated Balance Sheets.</w:t>
      </w:r>
    </w:p>
    <w:p>
      <w:pPr>
        <w:spacing w:after="0" w:line="200" w:lineRule="exact"/>
        <w:rPr>
          <w:sz w:val="20"/>
          <w:szCs w:val="20"/>
          <w:color w:val="auto"/>
        </w:rPr>
      </w:pPr>
    </w:p>
    <w:p>
      <w:pPr>
        <w:spacing w:after="0" w:line="40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420"/>
        <w:spacing w:after="0" w:line="273" w:lineRule="auto"/>
        <w:rPr>
          <w:sz w:val="20"/>
          <w:szCs w:val="20"/>
          <w:color w:val="auto"/>
        </w:rPr>
      </w:pPr>
      <w:r>
        <w:rPr>
          <w:rFonts w:ascii="Arial" w:cs="Arial" w:eastAsia="Arial" w:hAnsi="Arial"/>
          <w:sz w:val="14"/>
          <w:szCs w:val="14"/>
          <w:color w:val="auto"/>
        </w:rPr>
        <w:t>The Company has not presented separate results of operations or combined pro forma financial information of the Company and the acquired business because the results of operations of the acquired business are considered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6 – Accounts Receivable, Net</w:t>
      </w:r>
    </w:p>
    <w:p>
      <w:pPr>
        <w:spacing w:after="0" w:line="219"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Accounts receivable, net balance of $652 million and $782 million at December 31, 2019 and 2018, respectively, included allowance for doubtful accounts of $2 million and $1 million at December 31, 2019 and 2018, respectively.</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Company enters into various factoring and supply chain financing programs from time to time, in the normal course of business as part of our cash and liquidity management, to sell certain accounts receivable without recourse to third-party financial institutions. Sales of accounts receivable are reflected as a reduction of accounts receivable on the Consolidated Balance Sheets and the proceeds are included in cash flow from operating activities in the Consolidated Statements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 sales were as follows:</w:t>
      </w:r>
    </w:p>
    <w:p>
      <w:pPr>
        <w:spacing w:after="0" w:line="253" w:lineRule="exact"/>
        <w:rPr>
          <w:sz w:val="20"/>
          <w:szCs w:val="20"/>
          <w:color w:val="auto"/>
        </w:rPr>
      </w:pPr>
    </w:p>
    <w:p>
      <w:pPr>
        <w:ind w:left="8920"/>
        <w:spacing w:after="0"/>
        <w:rPr>
          <w:sz w:val="20"/>
          <w:szCs w:val="20"/>
          <w:color w:val="auto"/>
        </w:rPr>
      </w:pPr>
      <w:r>
        <w:rPr>
          <w:rFonts w:ascii="Arial" w:cs="Arial" w:eastAsia="Arial" w:hAnsi="Arial"/>
          <w:sz w:val="11"/>
          <w:szCs w:val="1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4994910</wp:posOffset>
            </wp:positionH>
            <wp:positionV relativeFrom="paragraph">
              <wp:posOffset>12700</wp:posOffset>
            </wp:positionV>
            <wp:extent cx="22834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3460" cy="698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6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703"/>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683"/>
              <w:spacing w:after="0"/>
              <w:rPr>
                <w:sz w:val="20"/>
                <w:szCs w:val="20"/>
                <w:color w:val="auto"/>
              </w:rPr>
            </w:pPr>
            <w:r>
              <w:rPr>
                <w:rFonts w:ascii="Arial" w:cs="Arial" w:eastAsia="Arial" w:hAnsi="Arial"/>
                <w:sz w:val="11"/>
                <w:szCs w:val="1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5"/>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Accounts receivable sales</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119</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7 - Land, Buildings, Equipment and Software, Net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Land, buildings and equipment, net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6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rPr>
              <w:t>Estimated Useful Lives</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color w:val="auto"/>
              </w:rPr>
              <w:t>December 31,</w:t>
            </w:r>
          </w:p>
        </w:tc>
        <w:tc>
          <w:tcPr>
            <w:tcW w:w="1080" w:type="dxa"/>
            <w:vAlign w:val="bottom"/>
            <w:tcBorders>
              <w:bottom w:val="single" w:sz="8" w:color="auto"/>
            </w:tcBorders>
          </w:tcPr>
          <w:p>
            <w:pPr>
              <w:spacing w:after="0"/>
              <w:rPr>
                <w:sz w:val="12"/>
                <w:szCs w:val="12"/>
                <w:color w:val="auto"/>
              </w:rPr>
            </w:pPr>
          </w:p>
        </w:tc>
      </w:tr>
      <w:tr>
        <w:trPr>
          <w:trHeight w:val="135"/>
        </w:trPr>
        <w:tc>
          <w:tcPr>
            <w:tcW w:w="6540" w:type="dxa"/>
            <w:vAlign w:val="bottom"/>
            <w:gridSpan w:val="3"/>
          </w:tcPr>
          <w:p>
            <w:pPr>
              <w:ind w:left="20"/>
              <w:spacing w:after="0"/>
              <w:rPr>
                <w:sz w:val="20"/>
                <w:szCs w:val="20"/>
                <w:color w:val="auto"/>
              </w:rPr>
            </w:pPr>
            <w:r>
              <w:rPr>
                <w:rFonts w:ascii="Arial" w:cs="Arial" w:eastAsia="Arial" w:hAnsi="Arial"/>
                <w:sz w:val="10"/>
                <w:szCs w:val="10"/>
                <w:color w:val="auto"/>
              </w:rPr>
              <w:t>(in millions except as noted)</w:t>
            </w:r>
          </w:p>
        </w:tc>
        <w:tc>
          <w:tcPr>
            <w:tcW w:w="1760" w:type="dxa"/>
            <w:vAlign w:val="bottom"/>
            <w:gridSpan w:val="2"/>
          </w:tcPr>
          <w:p>
            <w:pPr>
              <w:jc w:val="center"/>
              <w:ind w:right="200"/>
              <w:spacing w:after="0"/>
              <w:rPr>
                <w:sz w:val="20"/>
                <w:szCs w:val="20"/>
                <w:color w:val="auto"/>
              </w:rPr>
            </w:pPr>
            <w:r>
              <w:rPr>
                <w:rFonts w:ascii="Arial" w:cs="Arial" w:eastAsia="Arial" w:hAnsi="Arial"/>
                <w:sz w:val="11"/>
                <w:szCs w:val="11"/>
                <w:color w:val="auto"/>
                <w:w w:val="99"/>
              </w:rPr>
              <w:t>(Years)</w:t>
            </w:r>
          </w:p>
        </w:tc>
        <w:tc>
          <w:tcPr>
            <w:tcW w:w="340" w:type="dxa"/>
            <w:vAlign w:val="bottom"/>
          </w:tcPr>
          <w:p>
            <w:pPr>
              <w:spacing w:after="0"/>
              <w:rPr>
                <w:sz w:val="11"/>
                <w:szCs w:val="11"/>
                <w:color w:val="auto"/>
              </w:rPr>
            </w:pPr>
          </w:p>
        </w:tc>
        <w:tc>
          <w:tcPr>
            <w:tcW w:w="1160" w:type="dxa"/>
            <w:vAlign w:val="bottom"/>
          </w:tcPr>
          <w:p>
            <w:pPr>
              <w:jc w:val="right"/>
              <w:ind w:right="56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jc w:val="right"/>
              <w:ind w:right="583"/>
              <w:spacing w:after="0"/>
              <w:rPr>
                <w:sz w:val="20"/>
                <w:szCs w:val="20"/>
                <w:color w:val="auto"/>
              </w:rPr>
            </w:pPr>
            <w:r>
              <w:rPr>
                <w:rFonts w:ascii="Arial" w:cs="Arial" w:eastAsia="Arial" w:hAnsi="Arial"/>
                <w:sz w:val="11"/>
                <w:szCs w:val="1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5"/>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Land</w:t>
            </w: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r>
      <w:tr>
        <w:trPr>
          <w:trHeight w:val="168"/>
        </w:trPr>
        <w:tc>
          <w:tcPr>
            <w:tcW w:w="6540" w:type="dxa"/>
            <w:vAlign w:val="bottom"/>
            <w:gridSpan w:val="3"/>
          </w:tcPr>
          <w:p>
            <w:pPr>
              <w:ind w:left="20"/>
              <w:spacing w:after="0"/>
              <w:rPr>
                <w:sz w:val="20"/>
                <w:szCs w:val="20"/>
                <w:color w:val="auto"/>
              </w:rPr>
            </w:pPr>
            <w:r>
              <w:rPr>
                <w:rFonts w:ascii="Arial" w:cs="Arial" w:eastAsia="Arial" w:hAnsi="Arial"/>
                <w:sz w:val="11"/>
                <w:szCs w:val="11"/>
                <w:color w:val="auto"/>
              </w:rPr>
              <w:t>Building and building equipment</w:t>
            </w:r>
          </w:p>
        </w:tc>
        <w:tc>
          <w:tcPr>
            <w:tcW w:w="1760" w:type="dxa"/>
            <w:vAlign w:val="bottom"/>
            <w:gridSpan w:val="2"/>
          </w:tcPr>
          <w:p>
            <w:pPr>
              <w:jc w:val="center"/>
              <w:ind w:right="220"/>
              <w:spacing w:after="0"/>
              <w:rPr>
                <w:sz w:val="20"/>
                <w:szCs w:val="20"/>
                <w:color w:val="auto"/>
              </w:rPr>
            </w:pPr>
            <w:r>
              <w:rPr>
                <w:rFonts w:ascii="Arial" w:cs="Arial" w:eastAsia="Arial" w:hAnsi="Arial"/>
                <w:sz w:val="11"/>
                <w:szCs w:val="11"/>
                <w:color w:val="auto"/>
              </w:rPr>
              <w:t>25 to 50</w:t>
            </w:r>
          </w:p>
        </w:tc>
        <w:tc>
          <w:tcPr>
            <w:tcW w:w="340" w:type="dxa"/>
            <w:vAlign w:val="bottom"/>
          </w:tcPr>
          <w:p>
            <w:pPr>
              <w:spacing w:after="0"/>
              <w:rPr>
                <w:sz w:val="14"/>
                <w:szCs w:val="14"/>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7</w:t>
            </w:r>
          </w:p>
        </w:tc>
      </w:tr>
      <w:tr>
        <w:trPr>
          <w:trHeight w:val="177"/>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Leasehold improvements</w:t>
            </w:r>
          </w:p>
        </w:tc>
        <w:tc>
          <w:tcPr>
            <w:tcW w:w="176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rPr>
              <w:t>Varies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246</w:t>
            </w:r>
          </w:p>
        </w:tc>
      </w:tr>
      <w:tr>
        <w:trPr>
          <w:trHeight w:val="168"/>
        </w:trPr>
        <w:tc>
          <w:tcPr>
            <w:tcW w:w="6540" w:type="dxa"/>
            <w:vAlign w:val="bottom"/>
            <w:gridSpan w:val="3"/>
          </w:tcPr>
          <w:p>
            <w:pPr>
              <w:ind w:left="20"/>
              <w:spacing w:after="0"/>
              <w:rPr>
                <w:sz w:val="20"/>
                <w:szCs w:val="20"/>
                <w:color w:val="auto"/>
              </w:rPr>
            </w:pPr>
            <w:r>
              <w:rPr>
                <w:rFonts w:ascii="Arial" w:cs="Arial" w:eastAsia="Arial" w:hAnsi="Arial"/>
                <w:sz w:val="11"/>
                <w:szCs w:val="11"/>
                <w:color w:val="auto"/>
              </w:rPr>
              <w:t>IT, other equipment and office furniture</w:t>
            </w:r>
          </w:p>
        </w:tc>
        <w:tc>
          <w:tcPr>
            <w:tcW w:w="1760" w:type="dxa"/>
            <w:vAlign w:val="bottom"/>
            <w:gridSpan w:val="2"/>
          </w:tcPr>
          <w:p>
            <w:pPr>
              <w:jc w:val="center"/>
              <w:ind w:right="220"/>
              <w:spacing w:after="0"/>
              <w:rPr>
                <w:sz w:val="20"/>
                <w:szCs w:val="20"/>
                <w:color w:val="auto"/>
              </w:rPr>
            </w:pPr>
            <w:r>
              <w:rPr>
                <w:rFonts w:ascii="Arial" w:cs="Arial" w:eastAsia="Arial" w:hAnsi="Arial"/>
                <w:sz w:val="11"/>
                <w:szCs w:val="11"/>
                <w:color w:val="auto"/>
              </w:rPr>
              <w:t>3 to 15</w:t>
            </w:r>
          </w:p>
        </w:tc>
        <w:tc>
          <w:tcPr>
            <w:tcW w:w="340" w:type="dxa"/>
            <w:vAlign w:val="bottom"/>
          </w:tcPr>
          <w:p>
            <w:pPr>
              <w:spacing w:after="0"/>
              <w:rPr>
                <w:sz w:val="14"/>
                <w:szCs w:val="14"/>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964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901</w:t>
            </w:r>
          </w:p>
        </w:tc>
      </w:tr>
      <w:tr>
        <w:trPr>
          <w:trHeight w:val="177"/>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color w:val="auto"/>
              </w:rPr>
              <w:t>4 to 20</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r>
      <w:tr>
        <w:trPr>
          <w:trHeight w:val="168"/>
        </w:trPr>
        <w:tc>
          <w:tcPr>
            <w:tcW w:w="65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Construction in progress</w:t>
            </w: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64</w:t>
            </w:r>
          </w:p>
        </w:tc>
      </w:tr>
      <w:tr>
        <w:trPr>
          <w:trHeight w:val="168"/>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Subtotal</w:t>
            </w: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1,292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1,222</w:t>
            </w:r>
          </w:p>
        </w:tc>
      </w:tr>
      <w:tr>
        <w:trPr>
          <w:trHeight w:val="168"/>
        </w:trPr>
        <w:tc>
          <w:tcPr>
            <w:tcW w:w="65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Accumulated depreciation</w:t>
            </w: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(950)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(894)</w:t>
            </w:r>
          </w:p>
        </w:tc>
      </w:tr>
      <w:tr>
        <w:trPr>
          <w:trHeight w:val="193"/>
        </w:trPr>
        <w:tc>
          <w:tcPr>
            <w:tcW w:w="6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Land, Buildings and Equipment, Net</w:t>
            </w: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342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the years ended December 31, 2019, 2018 and 2017 was $123 million, $121 million and $125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1" w:name="page72"/>
    <w:bookmarkEnd w:id="7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Additions to Internal Use and Product Software as well as year-end balances for these assets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40" w:type="dxa"/>
            <w:vAlign w:val="bottom"/>
            <w:gridSpan w:val="5"/>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3"/>
          </w:tcPr>
          <w:p>
            <w:pPr>
              <w:ind w:left="60"/>
              <w:spacing w:after="0"/>
              <w:rPr>
                <w:sz w:val="20"/>
                <w:szCs w:val="20"/>
                <w:color w:val="auto"/>
              </w:rPr>
            </w:pPr>
            <w:r>
              <w:rPr>
                <w:rFonts w:ascii="Arial" w:cs="Arial" w:eastAsia="Arial" w:hAnsi="Arial"/>
                <w:sz w:val="11"/>
                <w:szCs w:val="11"/>
                <w:color w:val="auto"/>
              </w:rPr>
              <w:t>Year Ended December 31,</w:t>
            </w: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3"/>
        </w:trPr>
        <w:tc>
          <w:tcPr>
            <w:tcW w:w="6540" w:type="dxa"/>
            <w:vAlign w:val="bottom"/>
            <w:gridSpan w:val="5"/>
          </w:tcPr>
          <w:p>
            <w:pPr>
              <w:ind w:left="20"/>
              <w:spacing w:after="0" w:line="123" w:lineRule="exact"/>
              <w:rPr>
                <w:sz w:val="20"/>
                <w:szCs w:val="20"/>
                <w:color w:val="auto"/>
              </w:rPr>
            </w:pPr>
            <w:r>
              <w:rPr>
                <w:rFonts w:ascii="Arial" w:cs="Arial" w:eastAsia="Arial" w:hAnsi="Arial"/>
                <w:sz w:val="11"/>
                <w:szCs w:val="11"/>
                <w:color w:val="auto"/>
              </w:rPr>
              <w:t>Additions to:</w:t>
            </w:r>
          </w:p>
        </w:tc>
        <w:tc>
          <w:tcPr>
            <w:tcW w:w="360" w:type="dxa"/>
            <w:vAlign w:val="bottom"/>
          </w:tcPr>
          <w:p>
            <w:pPr>
              <w:spacing w:after="0"/>
              <w:rPr>
                <w:sz w:val="10"/>
                <w:szCs w:val="10"/>
                <w:color w:val="auto"/>
              </w:rPr>
            </w:pPr>
          </w:p>
        </w:tc>
        <w:tc>
          <w:tcPr>
            <w:tcW w:w="1180" w:type="dxa"/>
            <w:vAlign w:val="bottom"/>
          </w:tcPr>
          <w:p>
            <w:pPr>
              <w:jc w:val="right"/>
              <w:ind w:right="583"/>
              <w:spacing w:after="0" w:line="123" w:lineRule="exact"/>
              <w:rPr>
                <w:sz w:val="20"/>
                <w:szCs w:val="20"/>
                <w:color w:val="auto"/>
              </w:rPr>
            </w:pPr>
            <w:r>
              <w:rPr>
                <w:rFonts w:ascii="Arial" w:cs="Arial" w:eastAsia="Arial" w:hAnsi="Arial"/>
                <w:sz w:val="11"/>
                <w:szCs w:val="11"/>
                <w:color w:val="auto"/>
              </w:rPr>
              <w:t>2019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583"/>
              <w:spacing w:after="0" w:line="123" w:lineRule="exact"/>
              <w:rPr>
                <w:sz w:val="20"/>
                <w:szCs w:val="20"/>
                <w:color w:val="auto"/>
              </w:rPr>
            </w:pPr>
            <w:r>
              <w:rPr>
                <w:rFonts w:ascii="Arial" w:cs="Arial" w:eastAsia="Arial" w:hAnsi="Arial"/>
                <w:sz w:val="11"/>
                <w:szCs w:val="11"/>
                <w:color w:val="auto"/>
              </w:rPr>
              <w:t>2018</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jc w:val="right"/>
              <w:ind w:right="603"/>
              <w:spacing w:after="0" w:line="123" w:lineRule="exact"/>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5"/>
        </w:trPr>
        <w:tc>
          <w:tcPr>
            <w:tcW w:w="654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Internal use software</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70</w:t>
            </w:r>
          </w:p>
        </w:tc>
        <w:tc>
          <w:tcPr>
            <w:tcW w:w="460" w:type="dxa"/>
            <w:vAlign w:val="bottom"/>
            <w:gridSpan w:val="3"/>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r>
      <w:tr>
        <w:trPr>
          <w:trHeight w:val="163"/>
        </w:trPr>
        <w:tc>
          <w:tcPr>
            <w:tcW w:w="6540" w:type="dxa"/>
            <w:vAlign w:val="bottom"/>
            <w:gridSpan w:val="5"/>
          </w:tcPr>
          <w:p>
            <w:pPr>
              <w:ind w:left="20"/>
              <w:spacing w:after="0"/>
              <w:rPr>
                <w:sz w:val="20"/>
                <w:szCs w:val="20"/>
                <w:color w:val="auto"/>
              </w:rPr>
            </w:pPr>
            <w:r>
              <w:rPr>
                <w:rFonts w:ascii="Arial" w:cs="Arial" w:eastAsia="Arial" w:hAnsi="Arial"/>
                <w:sz w:val="11"/>
                <w:szCs w:val="11"/>
                <w:color w:val="auto"/>
              </w:rPr>
              <w:t>Product software</w:t>
            </w:r>
          </w:p>
        </w:tc>
        <w:tc>
          <w:tcPr>
            <w:tcW w:w="360" w:type="dxa"/>
            <w:vAlign w:val="bottom"/>
          </w:tcPr>
          <w:p>
            <w:pPr>
              <w:spacing w:after="0"/>
              <w:rPr>
                <w:sz w:val="14"/>
                <w:szCs w:val="14"/>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10</w:t>
            </w:r>
          </w:p>
        </w:tc>
      </w:tr>
      <w:tr>
        <w:trPr>
          <w:trHeight w:val="451"/>
        </w:trPr>
        <w:tc>
          <w:tcPr>
            <w:tcW w:w="6540" w:type="dxa"/>
            <w:vAlign w:val="bottom"/>
            <w:gridSpan w:val="5"/>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right"/>
              <w:ind w:right="163"/>
              <w:spacing w:after="0"/>
              <w:rPr>
                <w:sz w:val="20"/>
                <w:szCs w:val="20"/>
                <w:color w:val="auto"/>
              </w:rPr>
            </w:pPr>
            <w:r>
              <w:rPr>
                <w:rFonts w:ascii="Arial" w:cs="Arial" w:eastAsia="Arial" w:hAnsi="Arial"/>
                <w:sz w:val="11"/>
                <w:szCs w:val="11"/>
                <w:color w:val="auto"/>
              </w:rPr>
              <w:t>December 31,</w:t>
            </w:r>
          </w:p>
        </w:tc>
        <w:tc>
          <w:tcPr>
            <w:tcW w:w="1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3"/>
        </w:trPr>
        <w:tc>
          <w:tcPr>
            <w:tcW w:w="6540" w:type="dxa"/>
            <w:vAlign w:val="bottom"/>
            <w:gridSpan w:val="5"/>
          </w:tcPr>
          <w:p>
            <w:pPr>
              <w:ind w:left="20"/>
              <w:spacing w:after="0" w:line="123" w:lineRule="exact"/>
              <w:rPr>
                <w:sz w:val="20"/>
                <w:szCs w:val="20"/>
                <w:color w:val="auto"/>
              </w:rPr>
            </w:pPr>
            <w:r>
              <w:rPr>
                <w:rFonts w:ascii="Arial" w:cs="Arial" w:eastAsia="Arial" w:hAnsi="Arial"/>
                <w:sz w:val="11"/>
                <w:szCs w:val="11"/>
                <w:color w:val="auto"/>
              </w:rPr>
              <w:t>Capitalized Costs, Net</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3"/>
              <w:spacing w:after="0" w:line="123" w:lineRule="exact"/>
              <w:rPr>
                <w:sz w:val="20"/>
                <w:szCs w:val="20"/>
                <w:color w:val="auto"/>
              </w:rPr>
            </w:pPr>
            <w:r>
              <w:rPr>
                <w:rFonts w:ascii="Arial" w:cs="Arial" w:eastAsia="Arial" w:hAnsi="Arial"/>
                <w:sz w:val="11"/>
                <w:szCs w:val="11"/>
                <w:color w:val="auto"/>
              </w:rPr>
              <w:t>2019</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jc w:val="right"/>
              <w:ind w:right="623"/>
              <w:spacing w:after="0" w:line="123" w:lineRule="exact"/>
              <w:rPr>
                <w:sz w:val="20"/>
                <w:szCs w:val="20"/>
                <w:color w:val="auto"/>
              </w:rPr>
            </w:pPr>
            <w:r>
              <w:rPr>
                <w:rFonts w:ascii="Arial" w:cs="Arial" w:eastAsia="Arial" w:hAnsi="Arial"/>
                <w:sz w:val="11"/>
                <w:szCs w:val="1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5"/>
        </w:trPr>
        <w:tc>
          <w:tcPr>
            <w:tcW w:w="6540" w:type="dxa"/>
            <w:vAlign w:val="bottom"/>
            <w:gridSpan w:val="5"/>
            <w:shd w:val="clear" w:color="auto" w:fill="CCEEFF"/>
          </w:tcPr>
          <w:p>
            <w:pPr>
              <w:ind w:left="20"/>
              <w:spacing w:after="0" w:line="155" w:lineRule="exact"/>
              <w:rPr>
                <w:sz w:val="20"/>
                <w:szCs w:val="20"/>
                <w:color w:val="auto"/>
              </w:rPr>
            </w:pPr>
            <w:r>
              <w:rPr>
                <w:rFonts w:ascii="Arial" w:cs="Arial" w:eastAsia="Arial" w:hAnsi="Arial"/>
                <w:sz w:val="11"/>
                <w:szCs w:val="11"/>
                <w:color w:val="auto"/>
              </w:rPr>
              <w:t>Internal use software</w:t>
            </w:r>
            <w:r>
              <w:rPr>
                <w:rFonts w:ascii="Arial" w:cs="Arial" w:eastAsia="Arial" w:hAnsi="Arial"/>
                <w:sz w:val="14"/>
                <w:szCs w:val="14"/>
                <w:color w:val="auto"/>
                <w:vertAlign w:val="superscript"/>
              </w:rPr>
              <w:t>(1)</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123</w:t>
            </w:r>
          </w:p>
        </w:tc>
      </w:tr>
      <w:tr>
        <w:trPr>
          <w:trHeight w:val="220"/>
        </w:trPr>
        <w:tc>
          <w:tcPr>
            <w:tcW w:w="6540" w:type="dxa"/>
            <w:vAlign w:val="bottom"/>
            <w:gridSpan w:val="5"/>
          </w:tcPr>
          <w:p>
            <w:pPr>
              <w:ind w:left="20"/>
              <w:spacing w:after="0"/>
              <w:rPr>
                <w:sz w:val="20"/>
                <w:szCs w:val="20"/>
                <w:color w:val="auto"/>
              </w:rPr>
            </w:pPr>
            <w:r>
              <w:rPr>
                <w:rFonts w:ascii="Arial" w:cs="Arial" w:eastAsia="Arial" w:hAnsi="Arial"/>
                <w:sz w:val="11"/>
                <w:szCs w:val="11"/>
                <w:color w:val="auto"/>
              </w:rPr>
              <w:t>Product software</w:t>
            </w:r>
            <w:r>
              <w:rPr>
                <w:rFonts w:ascii="Arial" w:cs="Arial" w:eastAsia="Arial" w:hAnsi="Arial"/>
                <w:sz w:val="14"/>
                <w:szCs w:val="14"/>
                <w:color w:val="auto"/>
                <w:vertAlign w:val="superscript"/>
              </w:rPr>
              <w:t>(1)</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18</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Refer to Note 10 – Supplementary Financial Information for additional information.</w:t>
      </w:r>
    </w:p>
    <w:p>
      <w:pPr>
        <w:spacing w:after="0" w:line="192"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Useful lives of our internal use and product software generally vary from one to seven years. Amortization expense for internal use and product software for the years ended December 31, 2019, 2018 and 2017 was $48 million, $46 million and $65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8 - Goodwill and Intangible Assets, Net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amount of goodwill, by reportable segments: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640" w:type="dxa"/>
            <w:vAlign w:val="bottom"/>
            <w:gridSpan w:val="2"/>
          </w:tcPr>
          <w:p>
            <w:pPr>
              <w:ind w:left="40"/>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0"/>
                <w:szCs w:val="10"/>
                <w:color w:val="auto"/>
              </w:rPr>
            </w:pPr>
          </w:p>
        </w:tc>
        <w:tc>
          <w:tcPr>
            <w:tcW w:w="1540" w:type="dxa"/>
            <w:vAlign w:val="bottom"/>
            <w:gridSpan w:val="2"/>
          </w:tcPr>
          <w:p>
            <w:pPr>
              <w:ind w:left="80"/>
              <w:spacing w:after="0"/>
              <w:rPr>
                <w:sz w:val="20"/>
                <w:szCs w:val="20"/>
                <w:color w:val="auto"/>
              </w:rPr>
            </w:pPr>
            <w:r>
              <w:rPr>
                <w:rFonts w:ascii="Arial" w:cs="Arial" w:eastAsia="Arial" w:hAnsi="Arial"/>
                <w:sz w:val="11"/>
                <w:szCs w:val="11"/>
                <w:color w:val="auto"/>
              </w:rPr>
              <w:t>Commercial Industries</w:t>
            </w:r>
          </w:p>
        </w:tc>
        <w:tc>
          <w:tcPr>
            <w:tcW w:w="180" w:type="dxa"/>
            <w:vAlign w:val="bottom"/>
          </w:tcPr>
          <w:p>
            <w:pPr>
              <w:spacing w:after="0"/>
              <w:rPr>
                <w:sz w:val="10"/>
                <w:szCs w:val="10"/>
                <w:color w:val="auto"/>
              </w:rPr>
            </w:pPr>
          </w:p>
        </w:tc>
        <w:tc>
          <w:tcPr>
            <w:tcW w:w="1540" w:type="dxa"/>
            <w:vAlign w:val="bottom"/>
            <w:gridSpan w:val="2"/>
          </w:tcPr>
          <w:p>
            <w:pPr>
              <w:ind w:left="80"/>
              <w:spacing w:after="0"/>
              <w:rPr>
                <w:sz w:val="20"/>
                <w:szCs w:val="20"/>
                <w:color w:val="auto"/>
              </w:rPr>
            </w:pPr>
            <w:r>
              <w:rPr>
                <w:rFonts w:ascii="Arial" w:cs="Arial" w:eastAsia="Arial" w:hAnsi="Arial"/>
                <w:sz w:val="11"/>
                <w:szCs w:val="11"/>
                <w:color w:val="auto"/>
              </w:rPr>
              <w:t>Government Services</w:t>
            </w:r>
          </w:p>
        </w:tc>
        <w:tc>
          <w:tcPr>
            <w:tcW w:w="1200" w:type="dxa"/>
            <w:vAlign w:val="bottom"/>
          </w:tcPr>
          <w:p>
            <w:pPr>
              <w:jc w:val="right"/>
              <w:spacing w:after="0"/>
              <w:rPr>
                <w:sz w:val="20"/>
                <w:szCs w:val="20"/>
                <w:color w:val="auto"/>
              </w:rPr>
            </w:pPr>
            <w:r>
              <w:rPr>
                <w:rFonts w:ascii="Arial" w:cs="Arial" w:eastAsia="Arial" w:hAnsi="Arial"/>
                <w:sz w:val="11"/>
                <w:szCs w:val="11"/>
                <w:color w:val="auto"/>
              </w:rPr>
              <w:t>Transportation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jc w:val="right"/>
              <w:ind w:right="623"/>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5"/>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1,399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1,310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8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657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3,366</w:t>
            </w:r>
          </w:p>
        </w:tc>
      </w:tr>
      <w:tr>
        <w:trPr>
          <w:trHeight w:val="168"/>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Foreign currency translation</w:t>
            </w:r>
          </w:p>
        </w:tc>
        <w:tc>
          <w:tcPr>
            <w:tcW w:w="160" w:type="dxa"/>
            <w:vAlign w:val="bottom"/>
          </w:tcPr>
          <w:p>
            <w:pPr>
              <w:spacing w:after="0"/>
              <w:rPr>
                <w:sz w:val="14"/>
                <w:szCs w:val="14"/>
                <w:color w:val="auto"/>
              </w:rPr>
            </w:pPr>
          </w:p>
        </w:tc>
        <w:tc>
          <w:tcPr>
            <w:tcW w:w="1460" w:type="dxa"/>
            <w:vAlign w:val="bottom"/>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0" w:type="dxa"/>
            <w:vAlign w:val="bottom"/>
          </w:tcPr>
          <w:p>
            <w:pPr>
              <w:spacing w:after="0"/>
              <w:rPr>
                <w:sz w:val="14"/>
                <w:szCs w:val="14"/>
                <w:color w:val="auto"/>
              </w:rPr>
            </w:pPr>
          </w:p>
        </w:tc>
        <w:tc>
          <w:tcPr>
            <w:tcW w:w="400" w:type="dxa"/>
            <w:vAlign w:val="bottom"/>
          </w:tcPr>
          <w:p>
            <w:pPr>
              <w:jc w:val="right"/>
              <w:ind w:right="43"/>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(26)</w:t>
            </w:r>
          </w:p>
        </w:tc>
      </w:tr>
      <w:tr>
        <w:trPr>
          <w:trHeight w:val="177"/>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Assets held-for-sale</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w:t>
            </w:r>
          </w:p>
        </w:tc>
      </w:tr>
      <w:tr>
        <w:trPr>
          <w:trHeight w:val="17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(1)</w:t>
            </w:r>
          </w:p>
        </w:tc>
        <w:tc>
          <w:tcPr>
            <w:tcW w:w="160" w:type="dxa"/>
            <w:vAlign w:val="bottom"/>
          </w:tcPr>
          <w:p>
            <w:pPr>
              <w:spacing w:after="0"/>
              <w:rPr>
                <w:sz w:val="14"/>
                <w:szCs w:val="14"/>
                <w:color w:val="auto"/>
              </w:rPr>
            </w:pPr>
          </w:p>
        </w:tc>
        <w:tc>
          <w:tcPr>
            <w:tcW w:w="1460" w:type="dxa"/>
            <w:vAlign w:val="bottom"/>
          </w:tcPr>
          <w:p>
            <w:pPr>
              <w:jc w:val="right"/>
              <w:ind w:right="83"/>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83"/>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80</w:t>
            </w:r>
          </w:p>
        </w:tc>
      </w:tr>
      <w:tr>
        <w:trPr>
          <w:trHeight w:val="188"/>
        </w:trPr>
        <w:tc>
          <w:tcPr>
            <w:tcW w:w="46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1,391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1,376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87"/>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641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3,408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Foreign currency translation</w:t>
            </w:r>
          </w:p>
        </w:tc>
        <w:tc>
          <w:tcPr>
            <w:tcW w:w="160" w:type="dxa"/>
            <w:vAlign w:val="bottom"/>
          </w:tcPr>
          <w:p>
            <w:pPr>
              <w:spacing w:after="0"/>
              <w:rPr>
                <w:sz w:val="11"/>
                <w:szCs w:val="1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(2)</w:t>
            </w:r>
          </w:p>
        </w:tc>
      </w:tr>
      <w:tr>
        <w:trPr>
          <w:trHeight w:val="177"/>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Acquisition</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w:t>
            </w:r>
          </w:p>
        </w:tc>
      </w:tr>
      <w:tr>
        <w:trPr>
          <w:trHeight w:val="168"/>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Impairment</w:t>
            </w:r>
          </w:p>
        </w:tc>
        <w:tc>
          <w:tcPr>
            <w:tcW w:w="160" w:type="dxa"/>
            <w:vAlign w:val="bottom"/>
          </w:tcPr>
          <w:p>
            <w:pPr>
              <w:spacing w:after="0"/>
              <w:rPr>
                <w:sz w:val="14"/>
                <w:szCs w:val="14"/>
                <w:color w:val="auto"/>
              </w:rPr>
            </w:pPr>
          </w:p>
        </w:tc>
        <w:tc>
          <w:tcPr>
            <w:tcW w:w="1460" w:type="dxa"/>
            <w:vAlign w:val="bottom"/>
          </w:tcPr>
          <w:p>
            <w:pPr>
              <w:jc w:val="right"/>
              <w:ind w:right="63"/>
              <w:spacing w:after="0"/>
              <w:rPr>
                <w:sz w:val="20"/>
                <w:szCs w:val="20"/>
                <w:color w:val="auto"/>
              </w:rPr>
            </w:pPr>
            <w:r>
              <w:rPr>
                <w:rFonts w:ascii="Arial" w:cs="Arial" w:eastAsia="Arial" w:hAnsi="Arial"/>
                <w:sz w:val="11"/>
                <w:szCs w:val="11"/>
                <w:color w:val="auto"/>
              </w:rPr>
              <w:t>(618)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63"/>
              <w:spacing w:after="0"/>
              <w:rPr>
                <w:sz w:val="20"/>
                <w:szCs w:val="20"/>
                <w:color w:val="auto"/>
              </w:rPr>
            </w:pPr>
            <w:r>
              <w:rPr>
                <w:rFonts w:ascii="Arial" w:cs="Arial" w:eastAsia="Arial" w:hAnsi="Arial"/>
                <w:sz w:val="11"/>
                <w:szCs w:val="11"/>
                <w:color w:val="auto"/>
              </w:rPr>
              <w:t>(754)</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jc w:val="right"/>
              <w:ind w:right="43"/>
              <w:spacing w:after="0"/>
              <w:rPr>
                <w:sz w:val="20"/>
                <w:szCs w:val="20"/>
                <w:color w:val="auto"/>
              </w:rPr>
            </w:pPr>
            <w:r>
              <w:rPr>
                <w:rFonts w:ascii="Arial" w:cs="Arial" w:eastAsia="Arial" w:hAnsi="Arial"/>
                <w:sz w:val="11"/>
                <w:szCs w:val="11"/>
                <w:color w:val="auto"/>
              </w:rPr>
              <w:t>(580)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(1,952)</w:t>
            </w:r>
          </w:p>
        </w:tc>
      </w:tr>
      <w:tr>
        <w:trPr>
          <w:trHeight w:val="177"/>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r>
      <w:tr>
        <w:trPr>
          <w:trHeight w:val="163"/>
        </w:trPr>
        <w:tc>
          <w:tcPr>
            <w:tcW w:w="466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821</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621</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087"/>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60</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1,502</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Represents 2018 true-up to the 2017 Assets held for sale.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Charge</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 the first quarter of 2019, the Transportation reporting unit experienced unanticipated losses of certain customer contracts, lower than expected new customer contracts and higher costs of delivery (all subsequent to February 2019), and as a result, the growth of this reporting unit decreased resulting in its fair value being below its carrying value by an estimated $284 million. Accordingly, the Company recorded a pre-tax impairment charge of $284 million for the three months ended March 31, 2019.</w:t>
      </w:r>
    </w:p>
    <w:p>
      <w:pPr>
        <w:spacing w:after="0" w:line="200" w:lineRule="exact"/>
        <w:rPr>
          <w:sz w:val="20"/>
          <w:szCs w:val="20"/>
          <w:color w:val="auto"/>
        </w:rPr>
      </w:pPr>
    </w:p>
    <w:p>
      <w:pPr>
        <w:spacing w:after="0" w:line="399"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In the second quarter of 2019, there were further unanticipated losses of certain customer contracts, lower potential future volumes and lower than expected new customer contracts (all subsequent to May 9, 2019). This led to actual results being below budget and a further downward revision of the long-term forecast across all the Company's former reporting units (Financial Services &amp; Healthcare, Consumer &amp; Industrial, Europe (together comprising Commercial Industries), Government Services, and Transportation). As a consequence of the business performance and the strategy pivot due to changes in management that occurred in the second quarter of 2019, the Company lowered its sales outlook, average margin expectation for the future years, and increased its weighted average cost of capital.</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Based upon the information identified in the second quarter of 2019, the Company performed an interim goodwill impairment assessment for all its reporting units which resulted in a pre-tax impairment charge of $1.1 billion for the three months ended June 30, 2019.</w:t>
      </w:r>
    </w:p>
    <w:p>
      <w:pPr>
        <w:spacing w:after="0" w:line="17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During the fourth quarter of 2019, the Company changed its reporting units within the Commercial Industries reportable segment to reflect how the Company currently manages its business. The Company currently has six reporting units (End-User Customer Experience, Transaction Processing, Commercial Healthcare and Human Resources and Learning Services, (together comprising Commercial Industries), Government Services and Transportation), which support its three reportable segments. No impairment was identified during the annual impairment test performed as of October 1, 2019. Subsequent to completing the annual impairment test, the Company experienced further unanticipated contract losses within the Government Services reporting unit, and as result, management performed a goodwill impairment assessment for this reporting unit as of December 31, 2019, which resulted in a pre-tax impairment charge of $512 million. In addition, in the fourth quarter the Company recorded an immaterial correction to the impairment charges recorded in the first and second quarters to properly reflect the impact of tax deductible goodwill on the previous impairments as well as the related income tax benefit. The impairment adjustment and related income tax benefit to the first quarter charge for the Transportation reporting unit totaled $20 million and $1 million, respectively. The impairment adjustment and related income tax benefit to the second quarter charge totaled $69 million and $6 million, respectively. The second quarter impairment and income tax benefit adjustments corrected the Commercial Industries reporting unit by $53 million and $5 million, respectively, and the Government Services reporting unit by $16 million and $1 million, respectively. We believe these adjustments are not material to the current period or any prior period. The cumulative impairment charge for the year ended December 31, 2019 was approximately $2.0 billion.</w:t>
      </w:r>
    </w:p>
    <w:p>
      <w:pPr>
        <w:spacing w:after="0" w:line="357"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fair values of the goodwill impairment charges were estimated based on a determination of the implied fair value of goodwill, leveraging discounted cash flows and designated as level 3 of the fair value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Intangible Assets, Net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Net intangible assets were $426 million at December 31, 2019 of which $285 million, $96 million and $45 million relate to our Commercial Industries, Government Services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Transportation segments, respectively. Intangible assets were comprised of the following:</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color w:val="auto"/>
              </w:rPr>
              <w:t>December 31, 2019</w:t>
            </w:r>
          </w:p>
        </w:tc>
        <w:tc>
          <w:tcPr>
            <w:tcW w:w="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color w:val="auto"/>
              </w:rPr>
              <w:t>December 31, 2018</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1"/>
                <w:szCs w:val="11"/>
                <w:color w:val="auto"/>
              </w:rPr>
              <w:t>Gross</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color w:val="auto"/>
              </w:rPr>
              <w:t>Gross</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color w:val="auto"/>
              </w:rPr>
              <w:t>Weighted Average</w:t>
            </w:r>
          </w:p>
        </w:tc>
        <w:tc>
          <w:tcPr>
            <w:tcW w:w="240" w:type="dxa"/>
            <w:vAlign w:val="bottom"/>
          </w:tcPr>
          <w:p>
            <w:pPr>
              <w:spacing w:after="0"/>
              <w:rPr>
                <w:sz w:val="11"/>
                <w:szCs w:val="1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11"/>
                <w:szCs w:val="1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color w:val="auto"/>
              </w:rPr>
              <w:t>Accumulated</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Net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11"/>
                <w:szCs w:val="1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11"/>
                <w:szCs w:val="11"/>
                <w:color w:val="auto"/>
              </w:rPr>
            </w:pPr>
          </w:p>
        </w:tc>
        <w:tc>
          <w:tcPr>
            <w:tcW w:w="980" w:type="dxa"/>
            <w:vAlign w:val="bottom"/>
          </w:tcPr>
          <w:p>
            <w:pPr>
              <w:jc w:val="right"/>
              <w:ind w:right="463"/>
              <w:spacing w:after="0"/>
              <w:rPr>
                <w:sz w:val="20"/>
                <w:szCs w:val="20"/>
                <w:color w:val="auto"/>
              </w:rPr>
            </w:pPr>
            <w:r>
              <w:rPr>
                <w:rFonts w:ascii="Arial" w:cs="Arial" w:eastAsia="Arial" w:hAnsi="Arial"/>
                <w:sz w:val="11"/>
                <w:szCs w:val="11"/>
                <w:color w:val="auto"/>
              </w:rPr>
              <w:t>Net</w:t>
            </w:r>
          </w:p>
        </w:tc>
      </w:tr>
      <w:tr>
        <w:trPr>
          <w:trHeight w:val="115"/>
        </w:trPr>
        <w:tc>
          <w:tcPr>
            <w:tcW w:w="20" w:type="dxa"/>
            <w:vAlign w:val="bottom"/>
          </w:tcPr>
          <w:p>
            <w:pPr>
              <w:spacing w:after="0"/>
              <w:rPr>
                <w:sz w:val="9"/>
                <w:szCs w:val="9"/>
                <w:color w:val="auto"/>
              </w:rPr>
            </w:pPr>
          </w:p>
        </w:tc>
        <w:tc>
          <w:tcPr>
            <w:tcW w:w="2480" w:type="dxa"/>
            <w:vAlign w:val="bottom"/>
            <w:gridSpan w:val="2"/>
          </w:tcPr>
          <w:p>
            <w:pPr>
              <w:spacing w:after="0" w:line="115" w:lineRule="exact"/>
              <w:rPr>
                <w:sz w:val="20"/>
                <w:szCs w:val="20"/>
                <w:color w:val="auto"/>
              </w:rPr>
            </w:pPr>
            <w:r>
              <w:rPr>
                <w:rFonts w:ascii="Arial" w:cs="Arial" w:eastAsia="Arial" w:hAnsi="Arial"/>
                <w:sz w:val="11"/>
                <w:szCs w:val="11"/>
                <w:color w:val="auto"/>
              </w:rPr>
              <w:t>(in millions except years)</w:t>
            </w:r>
          </w:p>
        </w:tc>
        <w:tc>
          <w:tcPr>
            <w:tcW w:w="1280" w:type="dxa"/>
            <w:vAlign w:val="bottom"/>
            <w:gridSpan w:val="2"/>
          </w:tcPr>
          <w:p>
            <w:pPr>
              <w:jc w:val="center"/>
              <w:ind w:right="80"/>
              <w:spacing w:after="0" w:line="115" w:lineRule="exact"/>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9"/>
                <w:szCs w:val="9"/>
                <w:color w:val="auto"/>
              </w:rPr>
            </w:pPr>
          </w:p>
        </w:tc>
        <w:tc>
          <w:tcPr>
            <w:tcW w:w="1040" w:type="dxa"/>
            <w:vAlign w:val="bottom"/>
            <w:gridSpan w:val="2"/>
          </w:tcPr>
          <w:p>
            <w:pPr>
              <w:jc w:val="center"/>
              <w:ind w:right="320"/>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9"/>
                <w:szCs w:val="9"/>
                <w:color w:val="auto"/>
              </w:rPr>
            </w:pPr>
          </w:p>
        </w:tc>
        <w:tc>
          <w:tcPr>
            <w:tcW w:w="1200" w:type="dxa"/>
            <w:vAlign w:val="bottom"/>
            <w:gridSpan w:val="2"/>
          </w:tcPr>
          <w:p>
            <w:pPr>
              <w:jc w:val="center"/>
              <w:ind w:right="160"/>
              <w:spacing w:after="0" w:line="115" w:lineRule="exact"/>
              <w:rPr>
                <w:sz w:val="20"/>
                <w:szCs w:val="20"/>
                <w:color w:val="auto"/>
              </w:rPr>
            </w:pPr>
            <w:r>
              <w:rPr>
                <w:rFonts w:ascii="Arial" w:cs="Arial" w:eastAsia="Arial" w:hAnsi="Arial"/>
                <w:sz w:val="11"/>
                <w:szCs w:val="11"/>
                <w:color w:val="auto"/>
              </w:rPr>
              <w:t>Amortization</w:t>
            </w:r>
          </w:p>
        </w:tc>
        <w:tc>
          <w:tcPr>
            <w:tcW w:w="820" w:type="dxa"/>
            <w:vAlign w:val="bottom"/>
          </w:tcPr>
          <w:p>
            <w:pPr>
              <w:jc w:val="right"/>
              <w:spacing w:after="0" w:line="115" w:lineRule="exact"/>
              <w:rPr>
                <w:sz w:val="20"/>
                <w:szCs w:val="20"/>
                <w:color w:val="auto"/>
              </w:rPr>
            </w:pPr>
            <w:r>
              <w:rPr>
                <w:rFonts w:ascii="Arial" w:cs="Arial" w:eastAsia="Arial" w:hAnsi="Arial"/>
                <w:sz w:val="11"/>
                <w:szCs w:val="11"/>
                <w:color w:val="auto"/>
              </w:rPr>
              <w:t>Amount</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320"/>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9"/>
                <w:szCs w:val="9"/>
                <w:color w:val="auto"/>
              </w:rPr>
            </w:pPr>
          </w:p>
        </w:tc>
        <w:tc>
          <w:tcPr>
            <w:tcW w:w="1200" w:type="dxa"/>
            <w:vAlign w:val="bottom"/>
            <w:gridSpan w:val="2"/>
          </w:tcPr>
          <w:p>
            <w:pPr>
              <w:jc w:val="center"/>
              <w:ind w:right="180"/>
              <w:spacing w:after="0" w:line="115" w:lineRule="exact"/>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9"/>
                <w:szCs w:val="9"/>
                <w:color w:val="auto"/>
              </w:rPr>
            </w:pPr>
          </w:p>
        </w:tc>
        <w:tc>
          <w:tcPr>
            <w:tcW w:w="980" w:type="dxa"/>
            <w:vAlign w:val="bottom"/>
          </w:tcPr>
          <w:p>
            <w:pPr>
              <w:jc w:val="right"/>
              <w:ind w:right="363"/>
              <w:spacing w:after="0" w:line="115" w:lineRule="exact"/>
              <w:rPr>
                <w:sz w:val="20"/>
                <w:szCs w:val="20"/>
                <w:color w:val="auto"/>
              </w:rPr>
            </w:pPr>
            <w:r>
              <w:rPr>
                <w:rFonts w:ascii="Arial" w:cs="Arial" w:eastAsia="Arial" w:hAnsi="Arial"/>
                <w:sz w:val="11"/>
                <w:szCs w:val="1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Customer relationships</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12 years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2,494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2,914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2,264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650</w:t>
            </w:r>
          </w:p>
        </w:tc>
      </w:tr>
      <w:tr>
        <w:trPr>
          <w:trHeight w:val="168"/>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1"/>
                <w:szCs w:val="11"/>
                <w:color w:val="auto"/>
              </w:rPr>
              <w:t>Technology, patents and non-compete</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color w:val="auto"/>
              </w:rPr>
              <w:t>4 years</w:t>
            </w:r>
          </w:p>
        </w:tc>
        <w:tc>
          <w:tcPr>
            <w:tcW w:w="24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w:t>
            </w: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Intangible Assets</w:t>
            </w: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2,921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2,920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related to intangible assets was $246 million, $242 million and $243 million for the years ended December 31, 2019, 2018 and 2017,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is expected to approximate $240 million in 2020, $122 million in 2021, $24 million in 2022, $6 million in 2023 and $4 million in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3" w:name="page74"/>
    <w:bookmarkEnd w:id="7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9 – Restructuring Programs and Related Costs</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strategic transformation program and various productivity initiatives have reduced the Company's real estate footprint across all geographies and segments resulting in increased lease cancellation and other related costs. Also included in Restructuring and Related Costs are incremental, non-recurring costs related to the consolidation of our data centers, which totaled $21 million and $4 million for the years ended December 31, 2019 and 2018, respectively. Management continues to evaluate the Company's business and in the future, there may be additional provisions for new plan initiatives and/or changes in previously recorded estimates as payments are made, or actions are completed.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we have either a formal severance plan or a history of consistently providing severance benefits representing a substantive plan, we recognize employee severance costs when they are both probable and reasonably estimable.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 summary of our restructuring program activity during the two years ended December 31, 2019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1"/>
                <w:szCs w:val="11"/>
                <w:color w:val="auto"/>
              </w:rPr>
              <w:t>Other Contractual Termination</w:t>
            </w:r>
          </w:p>
        </w:tc>
        <w:tc>
          <w:tcPr>
            <w:tcW w:w="2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15"/>
        </w:trPr>
        <w:tc>
          <w:tcPr>
            <w:tcW w:w="368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(in millions)</w:t>
            </w:r>
          </w:p>
        </w:tc>
        <w:tc>
          <w:tcPr>
            <w:tcW w:w="120" w:type="dxa"/>
            <w:vAlign w:val="bottom"/>
          </w:tcPr>
          <w:p>
            <w:pPr>
              <w:spacing w:after="0"/>
              <w:rPr>
                <w:sz w:val="9"/>
                <w:szCs w:val="9"/>
                <w:color w:val="auto"/>
              </w:rPr>
            </w:pPr>
          </w:p>
        </w:tc>
        <w:tc>
          <w:tcPr>
            <w:tcW w:w="1840" w:type="dxa"/>
            <w:vAlign w:val="bottom"/>
            <w:gridSpan w:val="2"/>
          </w:tcPr>
          <w:p>
            <w:pPr>
              <w:ind w:left="60"/>
              <w:spacing w:after="0" w:line="115" w:lineRule="exact"/>
              <w:rPr>
                <w:sz w:val="20"/>
                <w:szCs w:val="20"/>
                <w:color w:val="auto"/>
              </w:rPr>
            </w:pPr>
            <w:r>
              <w:rPr>
                <w:rFonts w:ascii="Arial" w:cs="Arial" w:eastAsia="Arial" w:hAnsi="Arial"/>
                <w:sz w:val="11"/>
                <w:szCs w:val="11"/>
                <w:color w:val="auto"/>
              </w:rPr>
              <w:t>Severance and Related Costs</w:t>
            </w:r>
          </w:p>
        </w:tc>
        <w:tc>
          <w:tcPr>
            <w:tcW w:w="140" w:type="dxa"/>
            <w:vAlign w:val="bottom"/>
          </w:tcPr>
          <w:p>
            <w:pPr>
              <w:spacing w:after="0"/>
              <w:rPr>
                <w:sz w:val="9"/>
                <w:szCs w:val="9"/>
                <w:color w:val="auto"/>
              </w:rPr>
            </w:pPr>
          </w:p>
        </w:tc>
        <w:tc>
          <w:tcPr>
            <w:tcW w:w="1840" w:type="dxa"/>
            <w:vAlign w:val="bottom"/>
            <w:gridSpan w:val="2"/>
          </w:tcPr>
          <w:p>
            <w:pPr>
              <w:jc w:val="center"/>
              <w:ind w:right="220"/>
              <w:spacing w:after="0" w:line="115" w:lineRule="exact"/>
              <w:rPr>
                <w:sz w:val="20"/>
                <w:szCs w:val="20"/>
                <w:color w:val="auto"/>
              </w:rPr>
            </w:pPr>
            <w:r>
              <w:rPr>
                <w:rFonts w:ascii="Arial" w:cs="Arial" w:eastAsia="Arial" w:hAnsi="Arial"/>
                <w:sz w:val="11"/>
                <w:szCs w:val="11"/>
                <w:color w:val="auto"/>
              </w:rPr>
              <w:t>Costs</w:t>
            </w:r>
          </w:p>
        </w:tc>
        <w:tc>
          <w:tcPr>
            <w:tcW w:w="260" w:type="dxa"/>
            <w:vAlign w:val="bottom"/>
          </w:tcPr>
          <w:p>
            <w:pPr>
              <w:spacing w:after="0"/>
              <w:rPr>
                <w:sz w:val="9"/>
                <w:szCs w:val="9"/>
                <w:color w:val="auto"/>
              </w:rPr>
            </w:pPr>
          </w:p>
        </w:tc>
        <w:tc>
          <w:tcPr>
            <w:tcW w:w="1700" w:type="dxa"/>
            <w:vAlign w:val="bottom"/>
            <w:gridSpan w:val="2"/>
          </w:tcPr>
          <w:p>
            <w:pPr>
              <w:ind w:left="200"/>
              <w:spacing w:after="0" w:line="115" w:lineRule="exact"/>
              <w:rPr>
                <w:sz w:val="20"/>
                <w:szCs w:val="20"/>
                <w:color w:val="auto"/>
              </w:rPr>
            </w:pPr>
            <w:r>
              <w:rPr>
                <w:rFonts w:ascii="Arial" w:cs="Arial" w:eastAsia="Arial" w:hAnsi="Arial"/>
                <w:sz w:val="11"/>
                <w:szCs w:val="11"/>
                <w:color w:val="auto"/>
              </w:rPr>
              <w:t>Asset Impairments</w:t>
            </w:r>
          </w:p>
        </w:tc>
        <w:tc>
          <w:tcPr>
            <w:tcW w:w="460" w:type="dxa"/>
            <w:vAlign w:val="bottom"/>
          </w:tcPr>
          <w:p>
            <w:pPr>
              <w:spacing w:after="0"/>
              <w:rPr>
                <w:sz w:val="9"/>
                <w:szCs w:val="9"/>
                <w:color w:val="auto"/>
              </w:rPr>
            </w:pPr>
          </w:p>
        </w:tc>
        <w:tc>
          <w:tcPr>
            <w:tcW w:w="1420" w:type="dxa"/>
            <w:vAlign w:val="bottom"/>
          </w:tcPr>
          <w:p>
            <w:pPr>
              <w:jc w:val="right"/>
              <w:ind w:right="763"/>
              <w:spacing w:after="0" w:line="115" w:lineRule="exact"/>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5"/>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w:t>
            </w:r>
          </w:p>
        </w:tc>
      </w:tr>
      <w:tr>
        <w:trPr>
          <w:trHeight w:val="158"/>
        </w:trPr>
        <w:tc>
          <w:tcPr>
            <w:tcW w:w="20" w:type="dxa"/>
            <w:vAlign w:val="bottom"/>
          </w:tcPr>
          <w:p>
            <w:pPr>
              <w:spacing w:after="0"/>
              <w:rPr>
                <w:sz w:val="13"/>
                <w:szCs w:val="13"/>
                <w:color w:val="auto"/>
              </w:rPr>
            </w:pPr>
          </w:p>
        </w:tc>
        <w:tc>
          <w:tcPr>
            <w:tcW w:w="3660" w:type="dxa"/>
            <w:vAlign w:val="bottom"/>
            <w:gridSpan w:val="2"/>
          </w:tcPr>
          <w:p>
            <w:pPr>
              <w:ind w:left="140"/>
              <w:spacing w:after="0"/>
              <w:rPr>
                <w:sz w:val="20"/>
                <w:szCs w:val="20"/>
                <w:color w:val="auto"/>
              </w:rPr>
            </w:pPr>
            <w:r>
              <w:rPr>
                <w:rFonts w:ascii="Arial" w:cs="Arial" w:eastAsia="Arial" w:hAnsi="Arial"/>
                <w:sz w:val="11"/>
                <w:szCs w:val="11"/>
                <w:color w:val="auto"/>
              </w:rPr>
              <w:t>Provision</w:t>
            </w: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78</w:t>
            </w:r>
          </w:p>
        </w:tc>
      </w:tr>
      <w:tr>
        <w:trPr>
          <w:trHeight w:val="177"/>
        </w:trPr>
        <w:tc>
          <w:tcPr>
            <w:tcW w:w="20" w:type="dxa"/>
            <w:vAlign w:val="bottom"/>
            <w:shd w:val="clear" w:color="auto" w:fill="CCEEFF"/>
          </w:tcPr>
          <w:p>
            <w:pPr>
              <w:spacing w:after="0"/>
              <w:rPr>
                <w:sz w:val="15"/>
                <w:szCs w:val="15"/>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Changes in estimates</w:t>
            </w:r>
          </w:p>
        </w:tc>
        <w:tc>
          <w:tcPr>
            <w:tcW w:w="1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3"/>
        </w:trPr>
        <w:tc>
          <w:tcPr>
            <w:tcW w:w="3680" w:type="dxa"/>
            <w:vAlign w:val="bottom"/>
            <w:gridSpan w:val="3"/>
          </w:tcPr>
          <w:p>
            <w:pPr>
              <w:ind w:left="20"/>
              <w:spacing w:after="0"/>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20" w:type="dxa"/>
            <w:vAlign w:val="bottom"/>
          </w:tcPr>
          <w:p>
            <w:pPr>
              <w:spacing w:after="0"/>
              <w:rPr>
                <w:sz w:val="14"/>
                <w:szCs w:val="14"/>
                <w:color w:val="auto"/>
              </w:rPr>
            </w:pPr>
          </w:p>
        </w:tc>
        <w:tc>
          <w:tcPr>
            <w:tcW w:w="1760" w:type="dxa"/>
            <w:vAlign w:val="bottom"/>
          </w:tcPr>
          <w:p>
            <w:pPr>
              <w:jc w:val="right"/>
              <w:ind w:right="83"/>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right"/>
              <w:ind w:right="83"/>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8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78</w:t>
            </w:r>
          </w:p>
        </w:tc>
      </w:tr>
      <w:tr>
        <w:trPr>
          <w:trHeight w:val="172"/>
        </w:trPr>
        <w:tc>
          <w:tcPr>
            <w:tcW w:w="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Charges against reserve and currency</w:t>
            </w:r>
          </w:p>
        </w:tc>
        <w:tc>
          <w:tcPr>
            <w:tcW w:w="1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(73)</w:t>
            </w:r>
          </w:p>
        </w:tc>
      </w:tr>
      <w:tr>
        <w:trPr>
          <w:trHeight w:val="159"/>
        </w:trPr>
        <w:tc>
          <w:tcPr>
            <w:tcW w:w="368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tcPr>
          <w:p>
            <w:pPr>
              <w:jc w:val="right"/>
              <w:ind w:right="83"/>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740" w:type="dxa"/>
            <w:vAlign w:val="bottom"/>
          </w:tcPr>
          <w:p>
            <w:pPr>
              <w:jc w:val="right"/>
              <w:ind w:right="83"/>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Provision</w:t>
            </w: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78</w:t>
            </w:r>
          </w:p>
        </w:tc>
      </w:tr>
      <w:tr>
        <w:trPr>
          <w:trHeight w:val="168"/>
        </w:trPr>
        <w:tc>
          <w:tcPr>
            <w:tcW w:w="20" w:type="dxa"/>
            <w:vAlign w:val="bottom"/>
          </w:tcPr>
          <w:p>
            <w:pPr>
              <w:spacing w:after="0"/>
              <w:rPr>
                <w:sz w:val="14"/>
                <w:szCs w:val="14"/>
                <w:color w:val="auto"/>
              </w:rPr>
            </w:pPr>
          </w:p>
        </w:tc>
        <w:tc>
          <w:tcPr>
            <w:tcW w:w="3660" w:type="dxa"/>
            <w:vAlign w:val="bottom"/>
            <w:gridSpan w:val="2"/>
          </w:tcPr>
          <w:p>
            <w:pPr>
              <w:ind w:left="140"/>
              <w:spacing w:after="0"/>
              <w:rPr>
                <w:sz w:val="20"/>
                <w:szCs w:val="20"/>
                <w:color w:val="auto"/>
              </w:rPr>
            </w:pPr>
            <w:r>
              <w:rPr>
                <w:rFonts w:ascii="Arial" w:cs="Arial" w:eastAsia="Arial" w:hAnsi="Arial"/>
                <w:sz w:val="11"/>
                <w:szCs w:val="11"/>
                <w:color w:val="auto"/>
              </w:rPr>
              <w:t>Changes in estimates</w:t>
            </w:r>
          </w:p>
        </w:tc>
        <w:tc>
          <w:tcPr>
            <w:tcW w:w="120" w:type="dxa"/>
            <w:vAlign w:val="bottom"/>
          </w:tcPr>
          <w:p>
            <w:pPr>
              <w:spacing w:after="0"/>
              <w:rPr>
                <w:sz w:val="14"/>
                <w:szCs w:val="14"/>
                <w:color w:val="auto"/>
              </w:rPr>
            </w:pPr>
          </w:p>
        </w:tc>
        <w:tc>
          <w:tcPr>
            <w:tcW w:w="1760" w:type="dxa"/>
            <w:vAlign w:val="bottom"/>
          </w:tcPr>
          <w:p>
            <w:pPr>
              <w:jc w:val="right"/>
              <w:ind w:right="6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right"/>
              <w:ind w:right="4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4"/>
                <w:szCs w:val="14"/>
                <w:color w:val="auto"/>
              </w:rPr>
            </w:pPr>
          </w:p>
        </w:tc>
        <w:tc>
          <w:tcPr>
            <w:tcW w:w="1420" w:type="dxa"/>
            <w:vAlign w:val="bottom"/>
          </w:tcPr>
          <w:p>
            <w:pPr>
              <w:jc w:val="right"/>
              <w:ind w:right="43"/>
              <w:spacing w:after="0"/>
              <w:rPr>
                <w:sz w:val="20"/>
                <w:szCs w:val="20"/>
                <w:color w:val="auto"/>
              </w:rPr>
            </w:pPr>
            <w:r>
              <w:rPr>
                <w:rFonts w:ascii="Arial" w:cs="Arial" w:eastAsia="Arial" w:hAnsi="Arial"/>
                <w:sz w:val="11"/>
                <w:szCs w:val="11"/>
                <w:color w:val="auto"/>
              </w:rPr>
              <w:t>(11)</w:t>
            </w:r>
          </w:p>
        </w:tc>
      </w:tr>
      <w:tr>
        <w:trPr>
          <w:trHeight w:val="168"/>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2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67</w:t>
            </w:r>
          </w:p>
        </w:tc>
      </w:tr>
      <w:tr>
        <w:trPr>
          <w:trHeight w:val="168"/>
        </w:trPr>
        <w:tc>
          <w:tcPr>
            <w:tcW w:w="20" w:type="dxa"/>
            <w:vAlign w:val="bottom"/>
          </w:tcPr>
          <w:p>
            <w:pPr>
              <w:spacing w:after="0"/>
              <w:rPr>
                <w:sz w:val="14"/>
                <w:szCs w:val="14"/>
                <w:color w:val="auto"/>
              </w:rPr>
            </w:pPr>
          </w:p>
        </w:tc>
        <w:tc>
          <w:tcPr>
            <w:tcW w:w="3660" w:type="dxa"/>
            <w:vAlign w:val="bottom"/>
            <w:gridSpan w:val="2"/>
          </w:tcPr>
          <w:p>
            <w:pPr>
              <w:ind w:left="140"/>
              <w:spacing w:after="0"/>
              <w:rPr>
                <w:sz w:val="20"/>
                <w:szCs w:val="20"/>
                <w:color w:val="auto"/>
              </w:rPr>
            </w:pPr>
            <w:r>
              <w:rPr>
                <w:rFonts w:ascii="Arial" w:cs="Arial" w:eastAsia="Arial" w:hAnsi="Arial"/>
                <w:sz w:val="11"/>
                <w:szCs w:val="11"/>
                <w:color w:val="auto"/>
              </w:rPr>
              <w:t>Charges against reserve and currency</w:t>
            </w:r>
          </w:p>
        </w:tc>
        <w:tc>
          <w:tcPr>
            <w:tcW w:w="120" w:type="dxa"/>
            <w:vAlign w:val="bottom"/>
          </w:tcPr>
          <w:p>
            <w:pPr>
              <w:spacing w:after="0"/>
              <w:rPr>
                <w:sz w:val="14"/>
                <w:szCs w:val="14"/>
                <w:color w:val="auto"/>
              </w:rPr>
            </w:pPr>
          </w:p>
        </w:tc>
        <w:tc>
          <w:tcPr>
            <w:tcW w:w="1760" w:type="dxa"/>
            <w:vAlign w:val="bottom"/>
          </w:tcPr>
          <w:p>
            <w:pPr>
              <w:jc w:val="right"/>
              <w:ind w:right="63"/>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right"/>
              <w:ind w:right="43"/>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6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43"/>
              <w:spacing w:after="0"/>
              <w:rPr>
                <w:sz w:val="20"/>
                <w:szCs w:val="20"/>
                <w:color w:val="auto"/>
              </w:rPr>
            </w:pPr>
            <w:r>
              <w:rPr>
                <w:rFonts w:ascii="Arial" w:cs="Arial" w:eastAsia="Arial" w:hAnsi="Arial"/>
                <w:sz w:val="11"/>
                <w:szCs w:val="11"/>
                <w:color w:val="auto"/>
              </w:rPr>
              <w:t>(73)</w:t>
            </w:r>
          </w:p>
        </w:tc>
      </w:tr>
      <w:tr>
        <w:trPr>
          <w:trHeight w:val="177"/>
        </w:trPr>
        <w:tc>
          <w:tcPr>
            <w:tcW w:w="20" w:type="dxa"/>
            <w:vAlign w:val="bottom"/>
            <w:shd w:val="clear" w:color="auto" w:fill="CCEEFF"/>
          </w:tcPr>
          <w:p>
            <w:pPr>
              <w:spacing w:after="0"/>
              <w:rPr>
                <w:sz w:val="15"/>
                <w:szCs w:val="15"/>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Reclassification to operating lease ROU assets</w:t>
            </w:r>
            <w:r>
              <w:rPr>
                <w:rFonts w:ascii="Arial" w:cs="Arial" w:eastAsia="Arial" w:hAnsi="Arial"/>
                <w:sz w:val="14"/>
                <w:szCs w:val="14"/>
                <w:color w:val="auto"/>
                <w:vertAlign w:val="superscript"/>
              </w:rPr>
              <w:t>(2)</w:t>
            </w:r>
          </w:p>
        </w:tc>
        <w:tc>
          <w:tcPr>
            <w:tcW w:w="1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w:t>
            </w:r>
          </w:p>
        </w:tc>
      </w:tr>
      <w:tr>
        <w:trPr>
          <w:trHeight w:val="158"/>
        </w:trPr>
        <w:tc>
          <w:tcPr>
            <w:tcW w:w="368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tcPr>
          <w:p>
            <w:pPr>
              <w:jc w:val="right"/>
              <w:ind w:right="8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740" w:type="dxa"/>
            <w:vAlign w:val="bottom"/>
          </w:tcPr>
          <w:p>
            <w:pPr>
              <w:jc w:val="right"/>
              <w:ind w:right="8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21</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 w:lineRule="exact"/>
        <w:rPr>
          <w:sz w:val="20"/>
          <w:szCs w:val="20"/>
          <w:color w:val="auto"/>
        </w:rPr>
      </w:pPr>
    </w:p>
    <w:p>
      <w:pPr>
        <w:ind w:left="260" w:hanging="254"/>
        <w:spacing w:after="0"/>
        <w:tabs>
          <w:tab w:leader="none" w:pos="260" w:val="left"/>
        </w:tabs>
        <w:numPr>
          <w:ilvl w:val="0"/>
          <w:numId w:val="32"/>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amounts recognized within the Consolidated Statements of Income (Loss) for the years shown.</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32"/>
        </w:numPr>
        <w:rPr>
          <w:rFonts w:ascii="Arial" w:cs="Arial" w:eastAsia="Arial" w:hAnsi="Arial"/>
          <w:sz w:val="11"/>
          <w:szCs w:val="11"/>
          <w:i w:val="1"/>
          <w:iCs w:val="1"/>
          <w:color w:val="auto"/>
        </w:rPr>
      </w:pPr>
      <w:r>
        <w:rPr>
          <w:rFonts w:ascii="Arial" w:cs="Arial" w:eastAsia="Arial" w:hAnsi="Arial"/>
          <w:sz w:val="11"/>
          <w:szCs w:val="11"/>
          <w:i w:val="1"/>
          <w:iCs w:val="1"/>
          <w:color w:val="auto"/>
        </w:rPr>
        <w:t>Relates to the adoption of the new lease guidance.</w:t>
      </w:r>
    </w:p>
    <w:p>
      <w:pPr>
        <w:spacing w:after="0" w:line="192"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We also recorded costs related to professional support services associated with the implementation of the strategic transformation program of $4 million, $3 million and $9 million during the years ended December 31, 2019, 2018 and 2017,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total amount of costs incurred in connection with these restructuring programs by reportable and non-reportable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35"/>
        </w:trPr>
        <w:tc>
          <w:tcPr>
            <w:tcW w:w="648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1"/>
                <w:szCs w:val="11"/>
                <w:color w:val="auto"/>
              </w:rPr>
            </w:pPr>
          </w:p>
        </w:tc>
        <w:tc>
          <w:tcPr>
            <w:tcW w:w="1220" w:type="dxa"/>
            <w:vAlign w:val="bottom"/>
          </w:tcPr>
          <w:p>
            <w:pPr>
              <w:jc w:val="right"/>
              <w:ind w:right="60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right"/>
              <w:ind w:right="58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ind w:right="62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5"/>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Commercial Industries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r>
      <w:tr>
        <w:trPr>
          <w:trHeight w:val="168"/>
        </w:trPr>
        <w:tc>
          <w:tcPr>
            <w:tcW w:w="6480" w:type="dxa"/>
            <w:vAlign w:val="bottom"/>
            <w:gridSpan w:val="3"/>
          </w:tcPr>
          <w:p>
            <w:pPr>
              <w:ind w:left="20"/>
              <w:spacing w:after="0"/>
              <w:rPr>
                <w:sz w:val="20"/>
                <w:szCs w:val="20"/>
                <w:color w:val="auto"/>
              </w:rPr>
            </w:pPr>
            <w:r>
              <w:rPr>
                <w:rFonts w:ascii="Arial" w:cs="Arial" w:eastAsia="Arial" w:hAnsi="Arial"/>
                <w:sz w:val="11"/>
                <w:szCs w:val="11"/>
                <w:color w:val="auto"/>
              </w:rPr>
              <w:t>Government Services</w:t>
            </w: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2</w:t>
            </w:r>
          </w:p>
        </w:tc>
      </w:tr>
      <w:tr>
        <w:trPr>
          <w:trHeight w:val="177"/>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Transportation</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r>
      <w:tr>
        <w:trPr>
          <w:trHeight w:val="168"/>
        </w:trPr>
        <w:tc>
          <w:tcPr>
            <w:tcW w:w="6480" w:type="dxa"/>
            <w:vAlign w:val="bottom"/>
            <w:gridSpan w:val="3"/>
          </w:tcPr>
          <w:p>
            <w:pPr>
              <w:ind w:left="20"/>
              <w:spacing w:after="0"/>
              <w:rPr>
                <w:sz w:val="20"/>
                <w:szCs w:val="20"/>
                <w:color w:val="auto"/>
              </w:rPr>
            </w:pPr>
            <w:r>
              <w:rPr>
                <w:rFonts w:ascii="Arial" w:cs="Arial" w:eastAsia="Arial" w:hAnsi="Arial"/>
                <w:sz w:val="11"/>
                <w:szCs w:val="11"/>
                <w:color w:val="auto"/>
              </w:rPr>
              <w:t>Other</w:t>
            </w:r>
          </w:p>
        </w:tc>
        <w:tc>
          <w:tcPr>
            <w:tcW w:w="3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460" w:type="dxa"/>
            <w:vAlign w:val="bottom"/>
          </w:tcPr>
          <w:p>
            <w:pPr>
              <w:jc w:val="right"/>
              <w:ind w:right="6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4</w:t>
            </w:r>
          </w:p>
        </w:tc>
      </w:tr>
      <w:tr>
        <w:trPr>
          <w:trHeight w:val="177"/>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Shared IT / Infrastructure &amp; Corporate Costs</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70</w:t>
            </w:r>
          </w:p>
        </w:tc>
      </w:tr>
      <w:tr>
        <w:trPr>
          <w:trHeight w:val="158"/>
        </w:trPr>
        <w:tc>
          <w:tcPr>
            <w:tcW w:w="648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Net Restructuring Charges</w:t>
            </w: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4" w:name="page75"/>
    <w:bookmarkEnd w:id="7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10 – Supplementary Financial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assets and liabilities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1"/>
                <w:szCs w:val="11"/>
                <w:color w:val="auto"/>
              </w:rPr>
              <w:t>December 31,</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 millions)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2018</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Current Assets</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Prepaid expenses</w:t>
            </w: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4"/>
                <w:szCs w:val="14"/>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taxes receivable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Value-added tax (VAT) receivable</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Net receivable from buyers of divested businesses</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(1)</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63"/>
        </w:trPr>
        <w:tc>
          <w:tcPr>
            <w:tcW w:w="7800" w:type="dxa"/>
            <w:vAlign w:val="bottom"/>
          </w:tcPr>
          <w:p>
            <w:pPr>
              <w:ind w:left="20"/>
              <w:spacing w:after="0"/>
              <w:rPr>
                <w:sz w:val="20"/>
                <w:szCs w:val="20"/>
                <w:color w:val="auto"/>
              </w:rPr>
            </w:pPr>
            <w:r>
              <w:rPr>
                <w:rFonts w:ascii="Arial" w:cs="Arial" w:eastAsia="Arial" w:hAnsi="Arial"/>
                <w:sz w:val="11"/>
                <w:szCs w:val="11"/>
                <w:b w:val="1"/>
                <w:bCs w:val="1"/>
                <w:color w:val="auto"/>
              </w:rPr>
              <w:t>Total Other Current Assets</w:t>
            </w: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283</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Current Liabilities</w:t>
            </w: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Accrued liabilities</w:t>
            </w: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309</w:t>
            </w:r>
          </w:p>
        </w:tc>
        <w:tc>
          <w:tcPr>
            <w:tcW w:w="100" w:type="dxa"/>
            <w:vAlign w:val="bottom"/>
          </w:tcPr>
          <w:p>
            <w:pPr>
              <w:spacing w:after="0"/>
              <w:rPr>
                <w:sz w:val="14"/>
                <w:szCs w:val="14"/>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Litigation related accruals</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Current operating lease liabilities</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Restructure reserves</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Income tax payable</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taxes payable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9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Current Liabilities</w:t>
            </w: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647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Other Long-term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Internal use software, net</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72"/>
        </w:trPr>
        <w:tc>
          <w:tcPr>
            <w:tcW w:w="7800" w:type="dxa"/>
            <w:vAlign w:val="bottom"/>
          </w:tcPr>
          <w:p>
            <w:pPr>
              <w:ind w:left="20"/>
              <w:spacing w:after="0"/>
              <w:rPr>
                <w:sz w:val="20"/>
                <w:szCs w:val="20"/>
                <w:color w:val="auto"/>
              </w:rPr>
            </w:pPr>
            <w:r>
              <w:rPr>
                <w:rFonts w:ascii="Arial" w:cs="Arial" w:eastAsia="Arial" w:hAnsi="Arial"/>
                <w:sz w:val="11"/>
                <w:szCs w:val="11"/>
                <w:color w:val="auto"/>
              </w:rPr>
              <w:t>Deferred contract costs, net</w:t>
            </w:r>
            <w:r>
              <w:rPr>
                <w:rFonts w:ascii="Arial" w:cs="Arial" w:eastAsia="Arial" w:hAnsi="Arial"/>
                <w:sz w:val="14"/>
                <w:szCs w:val="14"/>
                <w:color w:val="auto"/>
                <w:vertAlign w:val="superscript"/>
              </w:rPr>
              <w:t>(2)</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72"/>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Product software, net</w:t>
            </w: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7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(1)</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Long-term Assets</w:t>
            </w: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387</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Other Long-term Liabilities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Litigation related accruals</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Income tax liabilities</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77"/>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Unearned income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color w:val="auto"/>
              </w:rPr>
              <w:t>Restructuring reserves</w:t>
            </w:r>
          </w:p>
        </w:tc>
        <w:tc>
          <w:tcPr>
            <w:tcW w:w="420" w:type="dxa"/>
            <w:vAlign w:val="bottom"/>
          </w:tcPr>
          <w:p>
            <w:pPr>
              <w:spacing w:after="0"/>
              <w:rPr>
                <w:sz w:val="14"/>
                <w:szCs w:val="14"/>
                <w:color w:val="auto"/>
              </w:rPr>
            </w:pPr>
          </w:p>
        </w:tc>
        <w:tc>
          <w:tcPr>
            <w:tcW w:w="1360" w:type="dxa"/>
            <w:vAlign w:val="bottom"/>
          </w:tcPr>
          <w:p>
            <w:pPr>
              <w:jc w:val="right"/>
              <w:ind w:right="8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2"/>
        </w:trPr>
        <w:tc>
          <w:tcPr>
            <w:tcW w:w="7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68"/>
        </w:trPr>
        <w:tc>
          <w:tcPr>
            <w:tcW w:w="7800" w:type="dxa"/>
            <w:vAlign w:val="bottom"/>
          </w:tcPr>
          <w:p>
            <w:pPr>
              <w:ind w:left="20"/>
              <w:spacing w:after="0"/>
              <w:rPr>
                <w:sz w:val="20"/>
                <w:szCs w:val="20"/>
                <w:color w:val="auto"/>
              </w:rPr>
            </w:pPr>
            <w:r>
              <w:rPr>
                <w:rFonts w:ascii="Arial" w:cs="Arial" w:eastAsia="Arial" w:hAnsi="Arial"/>
                <w:sz w:val="11"/>
                <w:szCs w:val="11"/>
                <w:b w:val="1"/>
                <w:bCs w:val="1"/>
                <w:color w:val="auto"/>
              </w:rPr>
              <w:t>Total Other Long-term Liabilities</w:t>
            </w: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4" w:lineRule="exact"/>
        <w:rPr>
          <w:sz w:val="20"/>
          <w:szCs w:val="20"/>
          <w:color w:val="auto"/>
        </w:rPr>
      </w:pPr>
    </w:p>
    <w:p>
      <w:pPr>
        <w:ind w:left="260" w:right="100" w:hanging="254"/>
        <w:spacing w:after="0" w:line="267" w:lineRule="auto"/>
        <w:tabs>
          <w:tab w:leader="none" w:pos="249" w:val="left"/>
        </w:tabs>
        <w:numPr>
          <w:ilvl w:val="0"/>
          <w:numId w:val="33"/>
        </w:numPr>
        <w:rPr>
          <w:rFonts w:ascii="Arial" w:cs="Arial" w:eastAsia="Arial" w:hAnsi="Arial"/>
          <w:sz w:val="11"/>
          <w:szCs w:val="11"/>
          <w:i w:val="1"/>
          <w:iCs w:val="1"/>
          <w:color w:val="auto"/>
        </w:rPr>
      </w:pPr>
      <w:r>
        <w:rPr>
          <w:rFonts w:ascii="Arial" w:cs="Arial" w:eastAsia="Arial" w:hAnsi="Arial"/>
          <w:sz w:val="11"/>
          <w:szCs w:val="11"/>
          <w:i w:val="1"/>
          <w:iCs w:val="1"/>
          <w:color w:val="auto"/>
        </w:rPr>
        <w:t>The balances at December 31, 2019 and 2018 include capitalized cloud computing implementation costs, net, which represents technology solutions, of $40 million and $5 million at December 31, 2019 and 2018, respectively. The costs have estimated useful lives of 3 to 5 years with amortization expense of $2 million, $0 million and $0 million for the years ended December 31, 2019, 2018 and 2017, respectively. The amortization expense and the associated hosting fees are included in Cost of services and Selling, general and administrative expenses on the Company's Consolidated Statements of Income (Loss).</w:t>
      </w:r>
    </w:p>
    <w:p>
      <w:pPr>
        <w:spacing w:after="0" w:line="8" w:lineRule="exact"/>
        <w:rPr>
          <w:rFonts w:ascii="Arial" w:cs="Arial" w:eastAsia="Arial" w:hAnsi="Arial"/>
          <w:sz w:val="11"/>
          <w:szCs w:val="11"/>
          <w:i w:val="1"/>
          <w:iCs w:val="1"/>
          <w:color w:val="auto"/>
        </w:rPr>
      </w:pPr>
    </w:p>
    <w:p>
      <w:pPr>
        <w:ind w:left="260" w:hanging="254"/>
        <w:spacing w:after="0"/>
        <w:tabs>
          <w:tab w:leader="none" w:pos="260" w:val="left"/>
        </w:tabs>
        <w:numPr>
          <w:ilvl w:val="0"/>
          <w:numId w:val="33"/>
        </w:numPr>
        <w:rPr>
          <w:rFonts w:ascii="Arial" w:cs="Arial" w:eastAsia="Arial" w:hAnsi="Arial"/>
          <w:sz w:val="11"/>
          <w:szCs w:val="11"/>
          <w:i w:val="1"/>
          <w:iCs w:val="1"/>
          <w:color w:val="auto"/>
        </w:rPr>
      </w:pPr>
      <w:r>
        <w:rPr>
          <w:rFonts w:ascii="Arial" w:cs="Arial" w:eastAsia="Arial" w:hAnsi="Arial"/>
          <w:sz w:val="11"/>
          <w:szCs w:val="11"/>
          <w:i w:val="1"/>
          <w:iCs w:val="1"/>
          <w:color w:val="auto"/>
        </w:rPr>
        <w:t>The balances at December 31, 2019 and 2018 are expected to be amortized over a weighted average remaining life of approximately 12 and 10 years,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for deferred contract costs for the years ended December 31, 2019, 2018 and 2017 was $42 million, $50 million and $62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5" w:name="page76"/>
    <w:bookmarkEnd w:id="7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for the next five years and thereafter for deferred contract costs is expected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43"/>
              <w:spacing w:after="0"/>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color w:val="auto"/>
              </w:rPr>
              <w:t>Thereafter</w:t>
            </w:r>
          </w:p>
        </w:tc>
      </w:tr>
      <w:tr>
        <w:trPr>
          <w:trHeight w:val="168"/>
        </w:trPr>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11 – Debt</w:t>
      </w:r>
    </w:p>
    <w:p>
      <w:pPr>
        <w:spacing w:after="0" w:line="219" w:lineRule="exact"/>
        <w:rPr>
          <w:sz w:val="20"/>
          <w:szCs w:val="20"/>
          <w:color w:val="auto"/>
        </w:rPr>
      </w:pPr>
    </w:p>
    <w:p>
      <w:pPr>
        <w:ind w:right="720"/>
        <w:spacing w:after="0" w:line="273" w:lineRule="auto"/>
        <w:rPr>
          <w:sz w:val="20"/>
          <w:szCs w:val="20"/>
          <w:color w:val="auto"/>
        </w:rPr>
      </w:pPr>
      <w:r>
        <w:rPr>
          <w:rFonts w:ascii="Arial" w:cs="Arial" w:eastAsia="Arial" w:hAnsi="Arial"/>
          <w:sz w:val="14"/>
          <w:szCs w:val="14"/>
          <w:color w:val="auto"/>
        </w:rPr>
        <w:t>We classify our debt based on the contractual maturity dates of the underlying debt instruments or as of the earliest put date available to the debt holders. We defer costs associated with debt issuance over the applicable term. These costs are amortized as interest expense in our Consolidated Statements of Income (Loss).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Long-term debt was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1"/>
                <w:szCs w:val="11"/>
                <w:color w:val="auto"/>
              </w:rPr>
              <w:t>December 31,</w:t>
            </w: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620" w:type="dxa"/>
            <w:vAlign w:val="bottom"/>
            <w:gridSpan w:val="2"/>
            <w:vMerge w:val="restart"/>
          </w:tcPr>
          <w:p>
            <w:pPr>
              <w:spacing w:after="0"/>
              <w:rPr>
                <w:sz w:val="20"/>
                <w:szCs w:val="20"/>
                <w:color w:val="auto"/>
              </w:rPr>
            </w:pPr>
            <w:r>
              <w:rPr>
                <w:rFonts w:ascii="Arial" w:cs="Arial" w:eastAsia="Arial" w:hAnsi="Arial"/>
                <w:sz w:val="11"/>
                <w:szCs w:val="11"/>
                <w:color w:val="auto"/>
              </w:rPr>
              <w:t>(in millions)</w:t>
            </w:r>
          </w:p>
        </w:tc>
        <w:tc>
          <w:tcPr>
            <w:tcW w:w="2400" w:type="dxa"/>
            <w:vAlign w:val="bottom"/>
            <w:gridSpan w:val="3"/>
          </w:tcPr>
          <w:p>
            <w:pPr>
              <w:jc w:val="right"/>
              <w:ind w:right="560"/>
              <w:spacing w:after="0" w:line="114" w:lineRule="exact"/>
              <w:rPr>
                <w:sz w:val="20"/>
                <w:szCs w:val="20"/>
                <w:color w:val="auto"/>
              </w:rPr>
            </w:pPr>
            <w:r>
              <w:rPr>
                <w:rFonts w:ascii="Arial" w:cs="Arial" w:eastAsia="Arial" w:hAnsi="Arial"/>
                <w:sz w:val="11"/>
                <w:szCs w:val="11"/>
                <w:color w:val="auto"/>
              </w:rPr>
              <w:t>Weighted Average Interest Rates at</w:t>
            </w:r>
          </w:p>
        </w:tc>
        <w:tc>
          <w:tcPr>
            <w:tcW w:w="1420" w:type="dxa"/>
            <w:vAlign w:val="bottom"/>
            <w:vMerge w:val="restart"/>
          </w:tcPr>
          <w:p>
            <w:pPr>
              <w:jc w:val="right"/>
              <w:ind w:right="74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vMerge w:val="restart"/>
          </w:tcPr>
          <w:p>
            <w:pPr>
              <w:jc w:val="right"/>
              <w:ind w:right="763"/>
              <w:spacing w:after="0"/>
              <w:rPr>
                <w:sz w:val="20"/>
                <w:szCs w:val="20"/>
                <w:color w:val="auto"/>
              </w:rPr>
            </w:pPr>
            <w:r>
              <w:rPr>
                <w:rFonts w:ascii="Arial" w:cs="Arial" w:eastAsia="Arial" w:hAnsi="Arial"/>
                <w:sz w:val="11"/>
                <w:szCs w:val="11"/>
                <w:color w:val="auto"/>
              </w:rPr>
              <w:t>2018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gridSpan w:val="2"/>
            <w:vMerge w:val="continue"/>
          </w:tcPr>
          <w:p>
            <w:pPr>
              <w:spacing w:after="0"/>
              <w:rPr>
                <w:sz w:val="9"/>
                <w:szCs w:val="9"/>
                <w:color w:val="auto"/>
              </w:rPr>
            </w:pPr>
          </w:p>
        </w:tc>
        <w:tc>
          <w:tcPr>
            <w:tcW w:w="2400" w:type="dxa"/>
            <w:vAlign w:val="bottom"/>
            <w:gridSpan w:val="3"/>
          </w:tcPr>
          <w:p>
            <w:pPr>
              <w:jc w:val="right"/>
              <w:ind w:right="940"/>
              <w:spacing w:after="0" w:line="88" w:lineRule="exact"/>
              <w:rPr>
                <w:sz w:val="20"/>
                <w:szCs w:val="20"/>
                <w:color w:val="auto"/>
              </w:rPr>
            </w:pPr>
            <w:r>
              <w:rPr>
                <w:rFonts w:ascii="Arial" w:cs="Arial" w:eastAsia="Arial" w:hAnsi="Arial"/>
                <w:sz w:val="8"/>
                <w:szCs w:val="8"/>
                <w:color w:val="auto"/>
              </w:rPr>
              <w:t>December 31, 2019</w:t>
            </w:r>
            <w:r>
              <w:rPr>
                <w:rFonts w:ascii="Arial" w:cs="Arial" w:eastAsia="Arial" w:hAnsi="Arial"/>
                <w:sz w:val="10"/>
                <w:szCs w:val="10"/>
                <w:color w:val="auto"/>
                <w:vertAlign w:val="superscript"/>
              </w:rPr>
              <w:t>(1)</w:t>
            </w: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4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1"/>
                <w:szCs w:val="11"/>
                <w:color w:val="auto"/>
              </w:rPr>
              <w:t>Term loan A due 2022</w:t>
            </w:r>
          </w:p>
        </w:tc>
        <w:tc>
          <w:tcPr>
            <w:tcW w:w="2400" w:type="dxa"/>
            <w:vAlign w:val="bottom"/>
            <w:gridSpan w:val="3"/>
          </w:tcPr>
          <w:p>
            <w:pPr>
              <w:jc w:val="right"/>
              <w:ind w:right="360"/>
              <w:spacing w:after="0"/>
              <w:rPr>
                <w:sz w:val="20"/>
                <w:szCs w:val="20"/>
                <w:color w:val="auto"/>
              </w:rPr>
            </w:pPr>
            <w:r>
              <w:rPr>
                <w:rFonts w:ascii="Arial" w:cs="Arial" w:eastAsia="Arial" w:hAnsi="Arial"/>
                <w:sz w:val="11"/>
                <w:szCs w:val="11"/>
                <w:color w:val="auto"/>
              </w:rPr>
              <w:t>3.42 %  $</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664</w:t>
            </w:r>
          </w:p>
        </w:tc>
        <w:tc>
          <w:tcPr>
            <w:tcW w:w="100" w:type="dxa"/>
            <w:vAlign w:val="bottom"/>
          </w:tcPr>
          <w:p>
            <w:pPr>
              <w:spacing w:after="0"/>
              <w:rPr>
                <w:sz w:val="14"/>
                <w:szCs w:val="14"/>
                <w:color w:val="auto"/>
              </w:rPr>
            </w:pP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705</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 loan B due 2023</w:t>
            </w: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5.48 %</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824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1"/>
                <w:szCs w:val="11"/>
                <w:color w:val="auto"/>
              </w:rPr>
              <w:t>Senior notes due 2024</w:t>
            </w:r>
          </w:p>
        </w:tc>
        <w:tc>
          <w:tcPr>
            <w:tcW w:w="1880" w:type="dxa"/>
            <w:vAlign w:val="bottom"/>
          </w:tcPr>
          <w:p>
            <w:pPr>
              <w:jc w:val="right"/>
              <w:spacing w:after="0"/>
              <w:rPr>
                <w:sz w:val="20"/>
                <w:szCs w:val="20"/>
                <w:color w:val="auto"/>
              </w:rPr>
            </w:pPr>
            <w:r>
              <w:rPr>
                <w:rFonts w:ascii="Arial" w:cs="Arial" w:eastAsia="Arial" w:hAnsi="Arial"/>
                <w:sz w:val="11"/>
                <w:szCs w:val="11"/>
                <w:color w:val="auto"/>
              </w:rPr>
              <w:t>10.91 %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Finance lease obligations</w:t>
            </w: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4.79 %</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Principal Debt Balance</w:t>
            </w:r>
          </w:p>
        </w:tc>
        <w:tc>
          <w:tcPr>
            <w:tcW w:w="24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1,539</w:t>
            </w:r>
          </w:p>
        </w:tc>
        <w:tc>
          <w:tcPr>
            <w:tcW w:w="100" w:type="dxa"/>
            <w:vAlign w:val="bottom"/>
          </w:tcPr>
          <w:p>
            <w:pPr>
              <w:spacing w:after="0"/>
              <w:rPr>
                <w:sz w:val="13"/>
                <w:szCs w:val="13"/>
                <w:color w:val="auto"/>
              </w:rPr>
            </w:pP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1,598</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Debt issuance costs and unamortized discounts</w:t>
            </w: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Less: current maturities</w:t>
            </w: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Long-term Debt</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1,464</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Represents weighted average effective interest rate which includes the effect of discounts and premiums on issued debt.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Scheduled principal payments due on our long-term debt for the next five years and thereafter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2020</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w w:val="97"/>
              </w:rPr>
              <w:t>2021</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Thereafter</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Total</w:t>
            </w:r>
          </w:p>
        </w:tc>
      </w:tr>
      <w:tr>
        <w:trPr>
          <w:trHeight w:val="168"/>
        </w:trPr>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571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4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1,539</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Credit Facility</w:t>
      </w:r>
    </w:p>
    <w:p>
      <w:pPr>
        <w:spacing w:after="0" w:line="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4"/>
          <w:szCs w:val="14"/>
          <w:color w:val="auto"/>
        </w:rPr>
        <w:t>On December 7, 2016, we entered into a senior secured credit agreement (Credit Agreement) among the Company, its subsidiaries: Conduent Business Services, LLC (CBS), Affiliated Computer Services International B.V. and Conduent Finance, Inc. (CFI), the lenders party and JP Morgan Chase Bank, N.A., as the administrative agent. The Credit Agreement contains senior secured credit facilities (Senior Credit Facilities) consisting of:</w:t>
      </w:r>
    </w:p>
    <w:p>
      <w:pPr>
        <w:spacing w:after="0" w:line="179" w:lineRule="exact"/>
        <w:rPr>
          <w:sz w:val="20"/>
          <w:szCs w:val="20"/>
          <w:color w:val="auto"/>
        </w:rPr>
      </w:pPr>
    </w:p>
    <w:p>
      <w:pPr>
        <w:ind w:left="180" w:hanging="174"/>
        <w:spacing w:after="0"/>
        <w:tabs>
          <w:tab w:leader="none" w:pos="1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Senior Secured Term Loan A (Term Loan A) with an aggregate principal amount of $700 million;</w:t>
      </w:r>
    </w:p>
    <w:p>
      <w:pPr>
        <w:spacing w:after="0" w:line="11" w:lineRule="exact"/>
        <w:rPr>
          <w:rFonts w:ascii="Arial" w:cs="Arial" w:eastAsia="Arial" w:hAnsi="Arial"/>
          <w:sz w:val="14"/>
          <w:szCs w:val="14"/>
          <w:color w:val="auto"/>
        </w:rPr>
      </w:pPr>
    </w:p>
    <w:p>
      <w:pPr>
        <w:ind w:left="200" w:hanging="194"/>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Senior Secured Term Loan B (Term Loan B) with an aggregate principal amount of $850 million;</w:t>
      </w:r>
    </w:p>
    <w:p>
      <w:pPr>
        <w:spacing w:after="0" w:line="11" w:lineRule="exact"/>
        <w:rPr>
          <w:rFonts w:ascii="Arial" w:cs="Arial" w:eastAsia="Arial" w:hAnsi="Arial"/>
          <w:sz w:val="14"/>
          <w:szCs w:val="14"/>
          <w:color w:val="auto"/>
        </w:rPr>
      </w:pPr>
    </w:p>
    <w:p>
      <w:pPr>
        <w:ind w:left="520" w:right="560" w:hanging="514"/>
        <w:spacing w:after="0" w:line="273" w:lineRule="auto"/>
        <w:tabs>
          <w:tab w:leader="none" w:pos="2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Senior Revolving Credit Facility (Revolving Credit Facility) with an aggregate available amount of $750 million including a sub-limit for up to $300 million available for the issuance of letters of credit.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we have utilized $83 million of our revolving credit facility capacity to issue letters of credit.</w:t>
      </w:r>
    </w:p>
    <w:p>
      <w:pPr>
        <w:spacing w:after="0" w:line="205" w:lineRule="exact"/>
        <w:rPr>
          <w:sz w:val="20"/>
          <w:szCs w:val="20"/>
          <w:color w:val="auto"/>
        </w:rPr>
      </w:pPr>
    </w:p>
    <w:p>
      <w:pPr>
        <w:ind w:right="500"/>
        <w:spacing w:after="0" w:line="256" w:lineRule="auto"/>
        <w:rPr>
          <w:sz w:val="20"/>
          <w:szCs w:val="20"/>
          <w:color w:val="auto"/>
        </w:rPr>
      </w:pPr>
      <w:r>
        <w:rPr>
          <w:rFonts w:ascii="Arial" w:cs="Arial" w:eastAsia="Arial" w:hAnsi="Arial"/>
          <w:sz w:val="14"/>
          <w:szCs w:val="14"/>
          <w:color w:val="auto"/>
        </w:rPr>
        <w:t>The Credit Agreement permits us to incur incremental term loan borrowings and /or increase commitments under the revolving credit facility, subject to certain limitations and satisfaction of certain conditions. Currently additional term loans of up to $300 million are permitted.</w:t>
      </w:r>
    </w:p>
    <w:p>
      <w:pPr>
        <w:spacing w:after="0" w:line="200" w:lineRule="exact"/>
        <w:rPr>
          <w:sz w:val="20"/>
          <w:szCs w:val="20"/>
          <w:color w:val="auto"/>
        </w:rPr>
      </w:pPr>
    </w:p>
    <w:p>
      <w:pPr>
        <w:spacing w:after="0" w:line="39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6" w:name="page77"/>
    <w:bookmarkEnd w:id="7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All obligations under the Credit Agreement are unconditionally guaranteed by the Company, CBS, Conduent Finance, Inc. (CFI) and the existing and future direct and indirect wholly owned domestic subsidiaries of CBS (subject to certain exceptions). All obligations under the Credit Agreement, and the guarantees of those obligations, are secured, subject to certain exceptions, by substantially all of the assets of CBS and the guarantors under the Credit Agreement (other than the Company and CFI), including a first-priority pledge of all the capital stock of CBS and the subsidiaries of CBS directly held by CBS or the guarantors (other than the Company and CFI) under the Credit Agreement (which pledges, in the case of any foreign subsidiary, will be limited to 65% of the capital stock of any first-tier foreign subsidiary).</w:t>
      </w:r>
    </w:p>
    <w:p>
      <w:pPr>
        <w:spacing w:after="0" w:line="183"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The Credit Agreement contains certain customary affirmative and negative covenants, restrictions and events of default. The Credit Agreement requires total net leverage ratio for December 31, 2019 and thereafter not to exceed 3.75 to 1.00.</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Senior Notes</w:t>
      </w:r>
    </w:p>
    <w:p>
      <w:pPr>
        <w:spacing w:after="0" w:line="223"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Senior Notes are jointly and severally guaranteed on a senior unsecured basis by the Company and each of the existing and future domestic subsidiaries of CFI or CBS that guarantee the obligations under the Senior Credit Facilities.</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Interest is payable semi-annually. At the option of the Issuers, the Senior Notes are redeemable in whole or in part, at any time prior to December 15, 2020, at a price equal to 100% of the aggregate principal amount of the Senior Notes plus accrued and unpaid interest, if any, to, but excluding, the redemption date plus a “make-whole” premium. The Issuers may also redeem the Senior Notes, in whole or in part, at any time on or after December 15, 2020, at the redemption prices specified in the Indenture, plus accrued and unpaid interest, if any, to but excluding the redemption date.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Loans Repricing and Redemption</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On June 28, 2018, the Company entered into Amendment No. 3 (Amendment) to the December 7, 2016 Credit Agreement, which (i) extended the revolving credit maturity from December 7, 2021 to December 7, 2022 and reduced the interest rate on the revolving credit by 0.5% from 2.25% over LIBOR to 1.75% over LIBOR; (ii) extended the maturity date of the Term A Loans from December 7, 2021 to December 7, 2022 and reduced the interest rate by 0.5% from 2.25% over LIBOR to 1.75% over LIBOR, and (iii) reduced the interest rate on the Term B Loans by 0.5% from 3.0% over LIBOR to 2.5% over LIBOR. These transactions resulted in a write-off of unamortized discount and issuance costs of $3 million.</w:t>
      </w:r>
    </w:p>
    <w:p>
      <w:pPr>
        <w:spacing w:after="0" w:line="352"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In July 2018, the Company redeemed $476 million of its $510 million 10.50% Senior Notes due 2024. As part of the redemption, the Company paid a premium of $95 million and wrote off the associated unamortized discount and issuance costs of $13 million.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Interest paid on our short-term and long-term debt amounted to $69 million, $100 million, $129 million for the years ended December 31, 2019, 2018 and 2017,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and interest income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5"/>
        </w:trPr>
        <w:tc>
          <w:tcPr>
            <w:tcW w:w="678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Pr>
          <w:p>
            <w:pPr>
              <w:spacing w:after="0"/>
              <w:rPr>
                <w:sz w:val="11"/>
                <w:szCs w:val="11"/>
                <w:color w:val="auto"/>
              </w:rPr>
            </w:pPr>
          </w:p>
        </w:tc>
        <w:tc>
          <w:tcPr>
            <w:tcW w:w="1140" w:type="dxa"/>
            <w:vAlign w:val="bottom"/>
          </w:tcPr>
          <w:p>
            <w:pPr>
              <w:jc w:val="right"/>
              <w:ind w:right="56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4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4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5"/>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5"/>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137</w:t>
            </w:r>
          </w:p>
        </w:tc>
      </w:tr>
      <w:tr>
        <w:trPr>
          <w:trHeight w:val="220"/>
        </w:trPr>
        <w:tc>
          <w:tcPr>
            <w:tcW w:w="6780" w:type="dxa"/>
            <w:vAlign w:val="bottom"/>
            <w:gridSpan w:val="3"/>
          </w:tcPr>
          <w:p>
            <w:pPr>
              <w:ind w:left="20"/>
              <w:spacing w:after="0"/>
              <w:rPr>
                <w:sz w:val="20"/>
                <w:szCs w:val="20"/>
                <w:color w:val="auto"/>
              </w:rPr>
            </w:pPr>
            <w:r>
              <w:rPr>
                <w:rFonts w:ascii="Arial" w:cs="Arial" w:eastAsia="Arial" w:hAnsi="Arial"/>
                <w:sz w:val="11"/>
                <w:szCs w:val="11"/>
                <w:color w:val="auto"/>
              </w:rPr>
              <w:t>Interest income</w:t>
            </w:r>
            <w:r>
              <w:rPr>
                <w:rFonts w:ascii="Arial" w:cs="Arial" w:eastAsia="Arial" w:hAnsi="Arial"/>
                <w:sz w:val="14"/>
                <w:szCs w:val="14"/>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3</w:t>
            </w: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Included in Other (income) expenses, net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12 – Financial Instruments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exposed to market risk from changes in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These derivative financial instruments are utilized to hedge economic exposures, as well as to reduce earnings and cash flow volatility resulting from shifts in market rates. We enter into limited types of derivative contracts to manage foreign currency exposures that we hedge. Our primary foreign currency market exposures include the Philippine Peso, Indian Rupee and Mexican Peso. The fair market values of all our derivative contracts change with fluctuations in interest rates 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our derivative activities are reflected as cash flows from operating activities.</w:t>
      </w:r>
    </w:p>
    <w:p>
      <w:pPr>
        <w:spacing w:after="0" w:line="183"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We do not believe there is significant risk of loss in the event of non-performance by the counterparty associated with our derivative instruments because these transactions are executed with a major financial institution. Further, our policy is to deal only with counterparties having a minimum investment grade or better credit rating. Credit risk is managed through the continuous monitoring of exposures to such counterparties.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Summary of Foreign Exchange Hedging Positions</w:t>
      </w:r>
    </w:p>
    <w:p>
      <w:pPr>
        <w:spacing w:after="0" w:line="223" w:lineRule="exact"/>
        <w:rPr>
          <w:sz w:val="20"/>
          <w:szCs w:val="20"/>
          <w:color w:val="auto"/>
        </w:rPr>
      </w:pPr>
    </w:p>
    <w:p>
      <w:pPr>
        <w:ind w:right="760"/>
        <w:spacing w:after="0" w:line="273" w:lineRule="auto"/>
        <w:rPr>
          <w:sz w:val="20"/>
          <w:szCs w:val="20"/>
          <w:color w:val="auto"/>
        </w:rPr>
      </w:pPr>
      <w:r>
        <w:rPr>
          <w:rFonts w:ascii="Arial" w:cs="Arial" w:eastAsia="Arial" w:hAnsi="Arial"/>
          <w:sz w:val="14"/>
          <w:szCs w:val="14"/>
          <w:color w:val="auto"/>
        </w:rPr>
        <w:t>At December 31, 2019 and 2018, we had outstanding forward exchange with gross notional values of $207 million and $167 million, respectively. At December 31, 2019, approximately 76% of these contracts mature within three months, 9% in three to six months, 12% in six to twelve months and 3% in greater than 12 months.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primary hedging positions and corresponding fair values: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1"/>
                <w:szCs w:val="11"/>
                <w:color w:val="auto"/>
              </w:rPr>
              <w:t>December 31, 2019</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1"/>
                <w:szCs w:val="11"/>
                <w:color w:val="auto"/>
              </w:rPr>
              <w:t>December 31, 2018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20" w:type="dxa"/>
            <w:vAlign w:val="bottom"/>
          </w:tcPr>
          <w:p>
            <w:pPr>
              <w:jc w:val="center"/>
              <w:ind w:left="284"/>
              <w:spacing w:after="0"/>
              <w:rPr>
                <w:sz w:val="20"/>
                <w:szCs w:val="20"/>
                <w:color w:val="auto"/>
              </w:rPr>
            </w:pPr>
            <w:r>
              <w:rPr>
                <w:rFonts w:ascii="Arial" w:cs="Arial" w:eastAsia="Arial" w:hAnsi="Arial"/>
                <w:sz w:val="11"/>
                <w:szCs w:val="11"/>
                <w:color w:val="auto"/>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Fair</w:t>
            </w: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1"/>
                <w:szCs w:val="11"/>
                <w:color w:val="auto"/>
              </w:rPr>
              <w:t>Value</w:t>
            </w:r>
          </w:p>
        </w:tc>
        <w:tc>
          <w:tcPr>
            <w:tcW w:w="2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color w:val="auto"/>
              </w:rPr>
              <w:t>Gross</w:t>
            </w:r>
          </w:p>
        </w:tc>
        <w:tc>
          <w:tcPr>
            <w:tcW w:w="200" w:type="dxa"/>
            <w:vAlign w:val="bottom"/>
          </w:tcPr>
          <w:p>
            <w:pPr>
              <w:spacing w:after="0"/>
              <w:rPr>
                <w:sz w:val="13"/>
                <w:szCs w:val="13"/>
                <w:color w:val="auto"/>
              </w:rPr>
            </w:pPr>
          </w:p>
        </w:tc>
        <w:tc>
          <w:tcPr>
            <w:tcW w:w="980" w:type="dxa"/>
            <w:vAlign w:val="bottom"/>
            <w:vMerge w:val="restart"/>
          </w:tcPr>
          <w:p>
            <w:pPr>
              <w:jc w:val="center"/>
              <w:ind w:right="145"/>
              <w:spacing w:after="0"/>
              <w:rPr>
                <w:sz w:val="20"/>
                <w:szCs w:val="20"/>
                <w:color w:val="auto"/>
              </w:rPr>
            </w:pPr>
            <w:r>
              <w:rPr>
                <w:rFonts w:ascii="Arial" w:cs="Arial" w:eastAsia="Arial" w:hAnsi="Arial"/>
                <w:sz w:val="11"/>
                <w:szCs w:val="11"/>
                <w:color w:val="auto"/>
              </w:rPr>
              <w:t>Fair Value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20" w:type="dxa"/>
            <w:vAlign w:val="bottom"/>
            <w:vMerge w:val="restart"/>
          </w:tcPr>
          <w:p>
            <w:pPr>
              <w:jc w:val="center"/>
              <w:ind w:left="304"/>
              <w:spacing w:after="0"/>
              <w:rPr>
                <w:sz w:val="20"/>
                <w:szCs w:val="20"/>
                <w:color w:val="auto"/>
              </w:rPr>
            </w:pPr>
            <w:r>
              <w:rPr>
                <w:rFonts w:ascii="Arial" w:cs="Arial" w:eastAsia="Arial" w:hAnsi="Arial"/>
                <w:sz w:val="11"/>
                <w:szCs w:val="11"/>
                <w:color w:val="auto"/>
              </w:rPr>
              <w:t>Notional</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1"/>
                <w:szCs w:val="11"/>
                <w:color w:val="auto"/>
              </w:rPr>
              <w:t>Notional</w:t>
            </w: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tcPr>
          <w:p>
            <w:pPr>
              <w:ind w:left="420"/>
              <w:spacing w:after="0" w:line="104" w:lineRule="exact"/>
              <w:rPr>
                <w:sz w:val="20"/>
                <w:szCs w:val="20"/>
                <w:color w:val="auto"/>
              </w:rPr>
            </w:pPr>
            <w:r>
              <w:rPr>
                <w:rFonts w:ascii="Arial" w:cs="Arial" w:eastAsia="Arial" w:hAnsi="Arial"/>
                <w:sz w:val="11"/>
                <w:szCs w:val="11"/>
                <w:color w:val="auto"/>
              </w:rPr>
              <w:t>Asset</w:t>
            </w:r>
          </w:p>
        </w:tc>
        <w:tc>
          <w:tcPr>
            <w:tcW w:w="2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center"/>
              <w:ind w:right="125"/>
              <w:spacing w:after="0" w:line="104" w:lineRule="exact"/>
              <w:rPr>
                <w:sz w:val="20"/>
                <w:szCs w:val="20"/>
                <w:color w:val="auto"/>
              </w:rPr>
            </w:pPr>
            <w:r>
              <w:rPr>
                <w:rFonts w:ascii="Arial" w:cs="Arial" w:eastAsia="Arial" w:hAnsi="Arial"/>
                <w:sz w:val="11"/>
                <w:szCs w:val="11"/>
                <w:color w:val="auto"/>
              </w:rPr>
              <w:t>Asset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gridSpan w:val="2"/>
          </w:tcPr>
          <w:p>
            <w:pPr>
              <w:spacing w:after="0" w:line="88" w:lineRule="exact"/>
              <w:rPr>
                <w:sz w:val="20"/>
                <w:szCs w:val="20"/>
                <w:color w:val="auto"/>
              </w:rPr>
            </w:pPr>
            <w:r>
              <w:rPr>
                <w:rFonts w:ascii="Arial" w:cs="Arial" w:eastAsia="Arial" w:hAnsi="Arial"/>
                <w:sz w:val="10"/>
                <w:szCs w:val="10"/>
                <w:color w:val="auto"/>
              </w:rPr>
              <w:t>(in millions)</w:t>
            </w:r>
          </w:p>
        </w:tc>
        <w:tc>
          <w:tcPr>
            <w:tcW w:w="820" w:type="dxa"/>
            <w:vAlign w:val="bottom"/>
          </w:tcPr>
          <w:p>
            <w:pPr>
              <w:jc w:val="center"/>
              <w:ind w:left="284"/>
              <w:spacing w:after="0" w:line="88" w:lineRule="exact"/>
              <w:rPr>
                <w:sz w:val="20"/>
                <w:szCs w:val="20"/>
                <w:color w:val="auto"/>
              </w:rPr>
            </w:pPr>
            <w:r>
              <w:rPr>
                <w:rFonts w:ascii="Arial" w:cs="Arial" w:eastAsia="Arial" w:hAnsi="Arial"/>
                <w:sz w:val="10"/>
                <w:szCs w:val="10"/>
                <w:color w:val="auto"/>
              </w:rPr>
              <w:t>Value</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tcPr>
          <w:p>
            <w:pPr>
              <w:jc w:val="right"/>
              <w:ind w:right="380"/>
              <w:spacing w:after="0" w:line="88" w:lineRule="exact"/>
              <w:rPr>
                <w:sz w:val="20"/>
                <w:szCs w:val="20"/>
                <w:color w:val="auto"/>
              </w:rPr>
            </w:pPr>
            <w:r>
              <w:rPr>
                <w:rFonts w:ascii="Arial" w:cs="Arial" w:eastAsia="Arial" w:hAnsi="Arial"/>
                <w:sz w:val="8"/>
                <w:szCs w:val="8"/>
                <w:color w:val="auto"/>
              </w:rPr>
              <w:t>(Liability)</w:t>
            </w:r>
            <w:r>
              <w:rPr>
                <w:rFonts w:ascii="Arial" w:cs="Arial" w:eastAsia="Arial" w:hAnsi="Arial"/>
                <w:sz w:val="10"/>
                <w:szCs w:val="10"/>
                <w:color w:val="auto"/>
                <w:vertAlign w:val="superscript"/>
              </w:rPr>
              <w:t>(1)</w:t>
            </w:r>
          </w:p>
        </w:tc>
        <w:tc>
          <w:tcPr>
            <w:tcW w:w="240" w:type="dxa"/>
            <w:vAlign w:val="bottom"/>
          </w:tcPr>
          <w:p>
            <w:pPr>
              <w:spacing w:after="0"/>
              <w:rPr>
                <w:sz w:val="9"/>
                <w:szCs w:val="9"/>
                <w:color w:val="auto"/>
              </w:rPr>
            </w:pPr>
          </w:p>
        </w:tc>
        <w:tc>
          <w:tcPr>
            <w:tcW w:w="1020" w:type="dxa"/>
            <w:vAlign w:val="bottom"/>
            <w:gridSpan w:val="2"/>
          </w:tcPr>
          <w:p>
            <w:pPr>
              <w:jc w:val="center"/>
              <w:ind w:right="320"/>
              <w:spacing w:after="0" w:line="88" w:lineRule="exact"/>
              <w:rPr>
                <w:sz w:val="20"/>
                <w:szCs w:val="20"/>
                <w:color w:val="auto"/>
              </w:rPr>
            </w:pPr>
            <w:r>
              <w:rPr>
                <w:rFonts w:ascii="Arial" w:cs="Arial" w:eastAsia="Arial" w:hAnsi="Arial"/>
                <w:sz w:val="10"/>
                <w:szCs w:val="10"/>
                <w:color w:val="auto"/>
              </w:rPr>
              <w:t>Value</w:t>
            </w:r>
          </w:p>
        </w:tc>
        <w:tc>
          <w:tcPr>
            <w:tcW w:w="200" w:type="dxa"/>
            <w:vAlign w:val="bottom"/>
          </w:tcPr>
          <w:p>
            <w:pPr>
              <w:spacing w:after="0"/>
              <w:rPr>
                <w:sz w:val="9"/>
                <w:szCs w:val="9"/>
                <w:color w:val="auto"/>
              </w:rPr>
            </w:pPr>
          </w:p>
        </w:tc>
        <w:tc>
          <w:tcPr>
            <w:tcW w:w="980" w:type="dxa"/>
            <w:vAlign w:val="bottom"/>
          </w:tcPr>
          <w:p>
            <w:pPr>
              <w:jc w:val="center"/>
              <w:ind w:right="145"/>
              <w:spacing w:after="0" w:line="88" w:lineRule="exact"/>
              <w:rPr>
                <w:sz w:val="20"/>
                <w:szCs w:val="20"/>
                <w:color w:val="auto"/>
              </w:rPr>
            </w:pPr>
            <w:r>
              <w:rPr>
                <w:rFonts w:ascii="Arial" w:cs="Arial" w:eastAsia="Arial" w:hAnsi="Arial"/>
                <w:sz w:val="8"/>
                <w:szCs w:val="8"/>
                <w:color w:val="auto"/>
              </w:rPr>
              <w:t>(Liability)</w:t>
            </w:r>
            <w:r>
              <w:rPr>
                <w:rFonts w:ascii="Arial" w:cs="Arial" w:eastAsia="Arial" w:hAnsi="Arial"/>
                <w:sz w:val="10"/>
                <w:szCs w:val="10"/>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gridSpan w:val="2"/>
            <w:vMerge w:val="restart"/>
          </w:tcPr>
          <w:p>
            <w:pPr>
              <w:spacing w:after="0"/>
              <w:rPr>
                <w:sz w:val="20"/>
                <w:szCs w:val="20"/>
                <w:color w:val="auto"/>
              </w:rPr>
            </w:pPr>
            <w:r>
              <w:rPr>
                <w:rFonts w:ascii="Arial" w:cs="Arial" w:eastAsia="Arial" w:hAnsi="Arial"/>
                <w:sz w:val="11"/>
                <w:szCs w:val="11"/>
                <w:color w:val="auto"/>
              </w:rPr>
              <w:t>Currencies Hedged (Buy/Sell)</w:t>
            </w: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Philippine Peso/U.S. Dollar</w:t>
            </w:r>
          </w:p>
        </w:tc>
        <w:tc>
          <w:tcPr>
            <w:tcW w:w="820" w:type="dxa"/>
            <w:vAlign w:val="bottom"/>
            <w:shd w:val="clear" w:color="auto" w:fill="CCEEFF"/>
          </w:tcPr>
          <w:p>
            <w:pPr>
              <w:jc w:val="right"/>
              <w:ind w:right="684"/>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6520" w:type="dxa"/>
            <w:vAlign w:val="bottom"/>
            <w:gridSpan w:val="3"/>
          </w:tcPr>
          <w:p>
            <w:pPr>
              <w:ind w:left="20"/>
              <w:spacing w:after="0"/>
              <w:rPr>
                <w:sz w:val="20"/>
                <w:szCs w:val="20"/>
                <w:color w:val="auto"/>
              </w:rPr>
            </w:pPr>
            <w:r>
              <w:rPr>
                <w:rFonts w:ascii="Arial" w:cs="Arial" w:eastAsia="Arial" w:hAnsi="Arial"/>
                <w:sz w:val="11"/>
                <w:szCs w:val="11"/>
                <w:color w:val="auto"/>
              </w:rPr>
              <w:t>Indian Rupee/U.S. Dollar</w:t>
            </w:r>
          </w:p>
        </w:tc>
        <w:tc>
          <w:tcPr>
            <w:tcW w:w="820" w:type="dxa"/>
            <w:vAlign w:val="bottom"/>
          </w:tcPr>
          <w:p>
            <w:pPr>
              <w:spacing w:after="0"/>
              <w:rPr>
                <w:sz w:val="14"/>
                <w:szCs w:val="14"/>
                <w:color w:val="auto"/>
              </w:rPr>
            </w:pPr>
          </w:p>
        </w:tc>
        <w:tc>
          <w:tcPr>
            <w:tcW w:w="340" w:type="dxa"/>
            <w:vAlign w:val="bottom"/>
          </w:tcPr>
          <w:p>
            <w:pPr>
              <w:jc w:val="right"/>
              <w:ind w:right="83"/>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Mexican Peso/U.S. Dollar</w:t>
            </w:r>
          </w:p>
        </w:tc>
        <w:tc>
          <w:tcPr>
            <w:tcW w:w="8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6520" w:type="dxa"/>
            <w:vAlign w:val="bottom"/>
            <w:gridSpan w:val="3"/>
          </w:tcPr>
          <w:p>
            <w:pPr>
              <w:ind w:left="20"/>
              <w:spacing w:after="0"/>
              <w:rPr>
                <w:sz w:val="20"/>
                <w:szCs w:val="20"/>
                <w:color w:val="auto"/>
              </w:rPr>
            </w:pPr>
            <w:r>
              <w:rPr>
                <w:rFonts w:ascii="Arial" w:cs="Arial" w:eastAsia="Arial" w:hAnsi="Arial"/>
                <w:sz w:val="11"/>
                <w:szCs w:val="11"/>
                <w:color w:val="auto"/>
              </w:rPr>
              <w:t>All Other</w:t>
            </w:r>
          </w:p>
        </w:tc>
        <w:tc>
          <w:tcPr>
            <w:tcW w:w="820" w:type="dxa"/>
            <w:vAlign w:val="bottom"/>
          </w:tcPr>
          <w:p>
            <w:pPr>
              <w:spacing w:after="0"/>
              <w:rPr>
                <w:sz w:val="14"/>
                <w:szCs w:val="14"/>
                <w:color w:val="auto"/>
              </w:rPr>
            </w:pPr>
          </w:p>
        </w:tc>
        <w:tc>
          <w:tcPr>
            <w:tcW w:w="340" w:type="dxa"/>
            <w:vAlign w:val="bottom"/>
          </w:tcPr>
          <w:p>
            <w:pPr>
              <w:jc w:val="right"/>
              <w:ind w:right="83"/>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65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Foreign Exchange Hedging</w:t>
            </w:r>
          </w:p>
        </w:tc>
        <w:tc>
          <w:tcPr>
            <w:tcW w:w="82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w:t>
      </w:r>
    </w:p>
    <w:p>
      <w:pPr>
        <w:spacing w:after="0" w:line="15" w:lineRule="exact"/>
        <w:rPr>
          <w:sz w:val="20"/>
          <w:szCs w:val="20"/>
          <w:color w:val="auto"/>
        </w:rPr>
      </w:pPr>
    </w:p>
    <w:p>
      <w:pPr>
        <w:ind w:left="380" w:hanging="374"/>
        <w:spacing w:after="0"/>
        <w:tabs>
          <w:tab w:leader="none" w:pos="38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net receivable (payable) amount included in the Consolidated Balance Sheet.</w:t>
      </w:r>
    </w:p>
    <w:p>
      <w:pPr>
        <w:spacing w:after="0" w:line="200" w:lineRule="exact"/>
        <w:rPr>
          <w:sz w:val="20"/>
          <w:szCs w:val="20"/>
          <w:color w:val="auto"/>
        </w:rPr>
      </w:pPr>
    </w:p>
    <w:p>
      <w:pPr>
        <w:spacing w:after="0" w:line="294"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13 – Fair Value of Financial Assets and Liabilities</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Level 1: Fair value is determined using an unadjusted quoted price in an active market for identical assets or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Level 2: Fair value is estimated using inputs other than quoted prices included within Level 1 that are observable, either directly or indirectly.</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Level 3: Fair value is estimated using unobservable inputs that are significant to the fair value of the assets or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Financial Assets and Liabilities Accounted for at Fair Value on a Recurring Basis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assets and liabilities measured at fair value on a recurring basis. The basis for the measurement at fair value in all cases was Level 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2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0"/>
                <w:szCs w:val="10"/>
                <w:color w:val="auto"/>
              </w:rPr>
            </w:pPr>
          </w:p>
        </w:tc>
        <w:tc>
          <w:tcPr>
            <w:tcW w:w="1700" w:type="dxa"/>
            <w:vAlign w:val="bottom"/>
            <w:gridSpan w:val="2"/>
          </w:tcPr>
          <w:p>
            <w:pPr>
              <w:ind w:left="180"/>
              <w:spacing w:after="0"/>
              <w:rPr>
                <w:sz w:val="20"/>
                <w:szCs w:val="20"/>
                <w:color w:val="auto"/>
              </w:rPr>
            </w:pPr>
            <w:r>
              <w:rPr>
                <w:rFonts w:ascii="Arial" w:cs="Arial" w:eastAsia="Arial" w:hAnsi="Arial"/>
                <w:sz w:val="11"/>
                <w:szCs w:val="11"/>
                <w:color w:val="auto"/>
              </w:rPr>
              <w:t>December 31, 2019</w:t>
            </w:r>
          </w:p>
        </w:tc>
        <w:tc>
          <w:tcPr>
            <w:tcW w:w="260" w:type="dxa"/>
            <w:vAlign w:val="bottom"/>
          </w:tcPr>
          <w:p>
            <w:pPr>
              <w:spacing w:after="0"/>
              <w:rPr>
                <w:sz w:val="10"/>
                <w:szCs w:val="10"/>
                <w:color w:val="auto"/>
              </w:rPr>
            </w:pPr>
          </w:p>
        </w:tc>
        <w:tc>
          <w:tcPr>
            <w:tcW w:w="1620" w:type="dxa"/>
            <w:vAlign w:val="bottom"/>
          </w:tcPr>
          <w:p>
            <w:pPr>
              <w:jc w:val="right"/>
              <w:ind w:right="383"/>
              <w:spacing w:after="0"/>
              <w:rPr>
                <w:sz w:val="20"/>
                <w:szCs w:val="20"/>
                <w:color w:val="auto"/>
              </w:rPr>
            </w:pPr>
            <w:r>
              <w:rPr>
                <w:rFonts w:ascii="Arial" w:cs="Arial" w:eastAsia="Arial" w:hAnsi="Arial"/>
                <w:sz w:val="11"/>
                <w:szCs w:val="11"/>
                <w:color w:val="auto"/>
              </w:rPr>
              <w:t>December 31, 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Foreign exchange contract - forward</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93"/>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6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Foreign exchange contracts - forwards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8"/>
        </w:trPr>
        <w:tc>
          <w:tcPr>
            <w:tcW w:w="762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Liabilities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62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Other Financial Assets and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values of our other financial assets and liabilities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2019</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2018</w:t>
            </w:r>
          </w:p>
        </w:tc>
        <w:tc>
          <w:tcPr>
            <w:tcW w:w="840" w:type="dxa"/>
            <w:vAlign w:val="bottom"/>
            <w:tcBorders>
              <w:bottom w:val="single" w:sz="8" w:color="auto"/>
            </w:tcBorders>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1"/>
                <w:szCs w:val="11"/>
                <w:color w:val="auto"/>
              </w:rPr>
              <w:t>Carrying</w:t>
            </w:r>
          </w:p>
        </w:tc>
        <w:tc>
          <w:tcPr>
            <w:tcW w:w="480" w:type="dxa"/>
            <w:vAlign w:val="bottom"/>
          </w:tcPr>
          <w:p>
            <w:pPr>
              <w:spacing w:after="0"/>
              <w:rPr>
                <w:sz w:val="13"/>
                <w:szCs w:val="13"/>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1"/>
                <w:szCs w:val="11"/>
                <w:color w:val="auto"/>
              </w:rPr>
              <w:t>Fair</w:t>
            </w:r>
          </w:p>
        </w:tc>
        <w:tc>
          <w:tcPr>
            <w:tcW w:w="26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1"/>
                <w:szCs w:val="11"/>
                <w:color w:val="auto"/>
              </w:rPr>
              <w:t>Carrying</w:t>
            </w:r>
          </w:p>
        </w:tc>
        <w:tc>
          <w:tcPr>
            <w:tcW w:w="500" w:type="dxa"/>
            <w:vAlign w:val="bottom"/>
          </w:tcPr>
          <w:p>
            <w:pPr>
              <w:spacing w:after="0"/>
              <w:rPr>
                <w:sz w:val="13"/>
                <w:szCs w:val="13"/>
                <w:color w:val="auto"/>
              </w:rPr>
            </w:pPr>
          </w:p>
        </w:tc>
        <w:tc>
          <w:tcPr>
            <w:tcW w:w="840" w:type="dxa"/>
            <w:vAlign w:val="bottom"/>
          </w:tcPr>
          <w:p>
            <w:pPr>
              <w:jc w:val="right"/>
              <w:ind w:right="523"/>
              <w:spacing w:after="0"/>
              <w:rPr>
                <w:sz w:val="20"/>
                <w:szCs w:val="20"/>
                <w:color w:val="auto"/>
              </w:rPr>
            </w:pPr>
            <w:r>
              <w:rPr>
                <w:rFonts w:ascii="Arial" w:cs="Arial" w:eastAsia="Arial" w:hAnsi="Arial"/>
                <w:sz w:val="11"/>
                <w:szCs w:val="11"/>
                <w:color w:val="auto"/>
              </w:rPr>
              <w:t>Fair</w:t>
            </w:r>
          </w:p>
        </w:tc>
      </w:tr>
      <w:tr>
        <w:trPr>
          <w:trHeight w:val="115"/>
        </w:trPr>
        <w:tc>
          <w:tcPr>
            <w:tcW w:w="582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260" w:type="dxa"/>
            <w:vAlign w:val="bottom"/>
          </w:tcPr>
          <w:p>
            <w:pPr>
              <w:spacing w:after="0"/>
              <w:rPr>
                <w:sz w:val="9"/>
                <w:szCs w:val="9"/>
                <w:color w:val="auto"/>
              </w:rPr>
            </w:pPr>
          </w:p>
        </w:tc>
        <w:tc>
          <w:tcPr>
            <w:tcW w:w="1160" w:type="dxa"/>
            <w:vAlign w:val="bottom"/>
            <w:gridSpan w:val="2"/>
          </w:tcPr>
          <w:p>
            <w:pPr>
              <w:jc w:val="center"/>
              <w:ind w:right="360"/>
              <w:spacing w:after="0" w:line="115" w:lineRule="exact"/>
              <w:rPr>
                <w:sz w:val="20"/>
                <w:szCs w:val="20"/>
                <w:color w:val="auto"/>
              </w:rPr>
            </w:pPr>
            <w:r>
              <w:rPr>
                <w:rFonts w:ascii="Arial" w:cs="Arial" w:eastAsia="Arial" w:hAnsi="Arial"/>
                <w:sz w:val="11"/>
                <w:szCs w:val="11"/>
                <w:color w:val="auto"/>
              </w:rPr>
              <w:t>Amount</w:t>
            </w:r>
          </w:p>
        </w:tc>
        <w:tc>
          <w:tcPr>
            <w:tcW w:w="480" w:type="dxa"/>
            <w:vAlign w:val="bottom"/>
          </w:tcPr>
          <w:p>
            <w:pPr>
              <w:spacing w:after="0"/>
              <w:rPr>
                <w:sz w:val="9"/>
                <w:szCs w:val="9"/>
                <w:color w:val="auto"/>
              </w:rPr>
            </w:pPr>
          </w:p>
        </w:tc>
        <w:tc>
          <w:tcPr>
            <w:tcW w:w="940" w:type="dxa"/>
            <w:vAlign w:val="bottom"/>
            <w:gridSpan w:val="2"/>
          </w:tcPr>
          <w:p>
            <w:pPr>
              <w:jc w:val="center"/>
              <w:ind w:right="580"/>
              <w:spacing w:after="0" w:line="115" w:lineRule="exact"/>
              <w:rPr>
                <w:sz w:val="20"/>
                <w:szCs w:val="20"/>
                <w:color w:val="auto"/>
              </w:rPr>
            </w:pPr>
            <w:r>
              <w:rPr>
                <w:rFonts w:ascii="Arial" w:cs="Arial" w:eastAsia="Arial" w:hAnsi="Arial"/>
                <w:sz w:val="11"/>
                <w:szCs w:val="11"/>
                <w:color w:val="auto"/>
                <w:w w:val="99"/>
              </w:rPr>
              <w:t>Value</w:t>
            </w:r>
          </w:p>
        </w:tc>
        <w:tc>
          <w:tcPr>
            <w:tcW w:w="260" w:type="dxa"/>
            <w:vAlign w:val="bottom"/>
          </w:tcPr>
          <w:p>
            <w:pPr>
              <w:spacing w:after="0"/>
              <w:rPr>
                <w:sz w:val="9"/>
                <w:szCs w:val="9"/>
                <w:color w:val="auto"/>
              </w:rPr>
            </w:pPr>
          </w:p>
        </w:tc>
        <w:tc>
          <w:tcPr>
            <w:tcW w:w="1180" w:type="dxa"/>
            <w:vAlign w:val="bottom"/>
            <w:gridSpan w:val="2"/>
          </w:tcPr>
          <w:p>
            <w:pPr>
              <w:jc w:val="center"/>
              <w:ind w:right="360"/>
              <w:spacing w:after="0" w:line="115" w:lineRule="exact"/>
              <w:rPr>
                <w:sz w:val="20"/>
                <w:szCs w:val="20"/>
                <w:color w:val="auto"/>
              </w:rPr>
            </w:pPr>
            <w:r>
              <w:rPr>
                <w:rFonts w:ascii="Arial" w:cs="Arial" w:eastAsia="Arial" w:hAnsi="Arial"/>
                <w:sz w:val="11"/>
                <w:szCs w:val="11"/>
                <w:color w:val="auto"/>
              </w:rPr>
              <w:t>Amount</w:t>
            </w:r>
          </w:p>
        </w:tc>
        <w:tc>
          <w:tcPr>
            <w:tcW w:w="500" w:type="dxa"/>
            <w:vAlign w:val="bottom"/>
          </w:tcPr>
          <w:p>
            <w:pPr>
              <w:spacing w:after="0"/>
              <w:rPr>
                <w:sz w:val="9"/>
                <w:szCs w:val="9"/>
                <w:color w:val="auto"/>
              </w:rPr>
            </w:pPr>
          </w:p>
        </w:tc>
        <w:tc>
          <w:tcPr>
            <w:tcW w:w="840" w:type="dxa"/>
            <w:vAlign w:val="bottom"/>
          </w:tcPr>
          <w:p>
            <w:pPr>
              <w:jc w:val="right"/>
              <w:ind w:right="483"/>
              <w:spacing w:after="0" w:line="115" w:lineRule="exact"/>
              <w:rPr>
                <w:sz w:val="20"/>
                <w:szCs w:val="20"/>
                <w:color w:val="auto"/>
              </w:rPr>
            </w:pPr>
            <w:r>
              <w:rPr>
                <w:rFonts w:ascii="Arial" w:cs="Arial" w:eastAsia="Arial" w:hAnsi="Arial"/>
                <w:sz w:val="11"/>
                <w:szCs w:val="11"/>
                <w:color w:val="auto"/>
                <w:w w:val="99"/>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5"/>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800" w:type="dxa"/>
            <w:vAlign w:val="bottom"/>
            <w:gridSpan w:val="2"/>
          </w:tcPr>
          <w:p>
            <w:pPr>
              <w:ind w:left="140"/>
              <w:spacing w:after="0"/>
              <w:rPr>
                <w:sz w:val="20"/>
                <w:szCs w:val="20"/>
                <w:color w:val="auto"/>
              </w:rPr>
            </w:pPr>
            <w:r>
              <w:rPr>
                <w:rFonts w:ascii="Arial" w:cs="Arial" w:eastAsia="Arial" w:hAnsi="Arial"/>
                <w:sz w:val="11"/>
                <w:szCs w:val="11"/>
                <w:color w:val="auto"/>
              </w:rPr>
              <w:t>Assets held for sale</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15</w:t>
            </w:r>
          </w:p>
        </w:tc>
      </w:tr>
      <w:tr>
        <w:trPr>
          <w:trHeight w:val="177"/>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800" w:type="dxa"/>
            <w:vAlign w:val="bottom"/>
            <w:gridSpan w:val="2"/>
          </w:tcPr>
          <w:p>
            <w:pPr>
              <w:ind w:left="140"/>
              <w:spacing w:after="0"/>
              <w:rPr>
                <w:sz w:val="20"/>
                <w:szCs w:val="20"/>
                <w:color w:val="auto"/>
              </w:rPr>
            </w:pPr>
            <w:r>
              <w:rPr>
                <w:rFonts w:ascii="Arial" w:cs="Arial" w:eastAsia="Arial" w:hAnsi="Arial"/>
                <w:sz w:val="11"/>
                <w:szCs w:val="11"/>
                <w:color w:val="auto"/>
              </w:rPr>
              <w:t>Long-term debt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1,464</w:t>
            </w:r>
          </w:p>
        </w:tc>
        <w:tc>
          <w:tcPr>
            <w:tcW w:w="100" w:type="dxa"/>
            <w:vAlign w:val="bottom"/>
          </w:tcPr>
          <w:p>
            <w:pPr>
              <w:spacing w:after="0"/>
              <w:rPr>
                <w:sz w:val="14"/>
                <w:szCs w:val="14"/>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1,449</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1,512</w:t>
            </w:r>
          </w:p>
        </w:tc>
        <w:tc>
          <w:tcPr>
            <w:tcW w:w="100" w:type="dxa"/>
            <w:vAlign w:val="bottom"/>
          </w:tcPr>
          <w:p>
            <w:pPr>
              <w:spacing w:after="0"/>
              <w:rPr>
                <w:sz w:val="14"/>
                <w:szCs w:val="14"/>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1,463</w:t>
            </w:r>
          </w:p>
        </w:tc>
      </w:tr>
      <w:tr>
        <w:trPr>
          <w:trHeight w:val="177"/>
        </w:trPr>
        <w:tc>
          <w:tcPr>
            <w:tcW w:w="20" w:type="dxa"/>
            <w:vAlign w:val="bottom"/>
            <w:shd w:val="clear" w:color="auto" w:fill="CCEEFF"/>
          </w:tcPr>
          <w:p>
            <w:pPr>
              <w:spacing w:after="0"/>
              <w:rPr>
                <w:sz w:val="15"/>
                <w:szCs w:val="15"/>
                <w:color w:val="auto"/>
              </w:rPr>
            </w:pPr>
          </w:p>
        </w:tc>
        <w:tc>
          <w:tcPr>
            <w:tcW w:w="58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Liabilities held for sale</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w:t>
            </w:r>
          </w:p>
        </w:tc>
      </w:tr>
      <w:tr>
        <w:trPr>
          <w:trHeight w:val="163"/>
        </w:trPr>
        <w:tc>
          <w:tcPr>
            <w:tcW w:w="20" w:type="dxa"/>
            <w:vAlign w:val="bottom"/>
          </w:tcPr>
          <w:p>
            <w:pPr>
              <w:spacing w:after="0"/>
              <w:rPr>
                <w:sz w:val="14"/>
                <w:szCs w:val="14"/>
                <w:color w:val="auto"/>
              </w:rPr>
            </w:pPr>
          </w:p>
        </w:tc>
        <w:tc>
          <w:tcPr>
            <w:tcW w:w="5800" w:type="dxa"/>
            <w:vAlign w:val="bottom"/>
            <w:gridSpan w:val="2"/>
          </w:tcPr>
          <w:p>
            <w:pPr>
              <w:ind w:left="140"/>
              <w:spacing w:after="0"/>
              <w:rPr>
                <w:sz w:val="20"/>
                <w:szCs w:val="20"/>
                <w:color w:val="auto"/>
              </w:rPr>
            </w:pPr>
            <w:r>
              <w:rPr>
                <w:rFonts w:ascii="Arial" w:cs="Arial" w:eastAsia="Arial" w:hAnsi="Arial"/>
                <w:sz w:val="11"/>
                <w:szCs w:val="11"/>
                <w:color w:val="auto"/>
              </w:rPr>
              <w:t>Contingent consideration payable</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4"/>
                <w:szCs w:val="14"/>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w:t>
            </w:r>
          </w:p>
        </w:tc>
      </w:tr>
    </w:tbl>
    <w:p>
      <w:pPr>
        <w:spacing w:after="0" w:line="288" w:lineRule="exact"/>
        <w:rPr>
          <w:sz w:val="20"/>
          <w:szCs w:val="20"/>
          <w:color w:val="auto"/>
        </w:rPr>
      </w:pPr>
    </w:p>
    <w:p>
      <w:pPr>
        <w:ind w:right="640"/>
        <w:spacing w:after="0" w:line="273" w:lineRule="auto"/>
        <w:rPr>
          <w:sz w:val="20"/>
          <w:szCs w:val="20"/>
          <w:color w:val="auto"/>
        </w:rPr>
      </w:pPr>
      <w:r>
        <w:rPr>
          <w:rFonts w:ascii="Arial" w:cs="Arial" w:eastAsia="Arial" w:hAnsi="Arial"/>
          <w:sz w:val="14"/>
          <w:szCs w:val="14"/>
          <w:color w:val="auto"/>
        </w:rPr>
        <w:t>The fair value amounts for Cash and cash equivalents, Restricted cash, Accounts receivable, net and Short-term debt approximate carrying amounts due to the short-term maturities of these instruments.</w:t>
      </w:r>
    </w:p>
    <w:p>
      <w:pPr>
        <w:spacing w:after="0" w:line="172"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fair value of the contingent consideration payable related to the HSP acquisition was measured using a Monte Carlo simulation model and calibrated to management’s financial projections of the acquired business. The value of the contingent consideration payable is then estimated to be the arithmetic average of all simulation paths, discounted to the valuation date (Level 3). The changes in the fair value are recorded in Other income (expense), net on the Consolidated Statements of Income (Loss). Refer to Note 5 – Business Acquisition for additional information.</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The fair value of the Assets held for sale and the Liabilities held for sale were measured based on the sale’s price less estimated transactions costs (Level 3). Refer to Note 4 – Divestiture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Long-term debt was estimated based on the current rates offered to the Company for debt of similar maturities (Level 2).</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14 – Employee Benefit Plans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Benefit Plans</w:t>
      </w:r>
    </w:p>
    <w:p>
      <w:pPr>
        <w:spacing w:after="0" w:line="223"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In 2018, all the U.S. and the majority of the international plan assets and obligations were sold as part of the divestiture of the U.S. human resource consulting and actuarial business and the human resource consulting and outsourcing business located in Canada and the U.K. The Company's remaining benefit obligations and plan assets at December 31, 2019 were $14 million and $2 million, respectively. The Company's remaining benefit obligations and plan assets at December 31, 2018 were $12 million and $3 million, respectively.</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Contribution Plans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post-retirement savings and investment plans in several countries, including the U.S., U.K. and Canada. In many instances, employees from those defined benefit pension plans that have been amended to freeze future service accruals were transitioned to an enhanced defined contribution plan. In these plans employees are allowed to contribute a portion of their salaries and bonuses to the plans, and we match a portion of the employee contributions. However, beginning in 2019, the Company suspended its match to the 401(k) plan for all U.S. salaried employees.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Company recorded charges related to its defined contribution plans of $9 million in 2019, $28 million in 2018 and $35 million in 2017. As a result of suspending 401(k) match for U.S. employees in 2019, there was a $12 million reduction in expense for the year ended December 31, 2019.</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15 -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income taxes (pre-tax income (loss)) was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6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11"/>
                <w:szCs w:val="11"/>
                <w:color w:val="auto"/>
              </w:rPr>
            </w:pPr>
          </w:p>
        </w:tc>
        <w:tc>
          <w:tcPr>
            <w:tcW w:w="1160" w:type="dxa"/>
            <w:vAlign w:val="bottom"/>
          </w:tcPr>
          <w:p>
            <w:pPr>
              <w:jc w:val="right"/>
              <w:ind w:right="56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jc w:val="right"/>
              <w:ind w:right="56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ind w:right="58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Domestic loss</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(411)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(91)</w:t>
            </w:r>
          </w:p>
        </w:tc>
      </w:tr>
      <w:tr>
        <w:trPr>
          <w:trHeight w:val="168"/>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Foreign income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75</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Loss Before Income Taxes</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(2,106)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(395)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Provision (benefit) for income taxes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5"/>
        </w:trPr>
        <w:tc>
          <w:tcPr>
            <w:tcW w:w="670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1"/>
                <w:szCs w:val="11"/>
                <w:color w:val="auto"/>
              </w:rPr>
            </w:pPr>
          </w:p>
        </w:tc>
        <w:tc>
          <w:tcPr>
            <w:tcW w:w="1160" w:type="dxa"/>
            <w:vAlign w:val="bottom"/>
          </w:tcPr>
          <w:p>
            <w:pPr>
              <w:jc w:val="right"/>
              <w:ind w:right="583"/>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right"/>
              <w:ind w:right="58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jc w:val="right"/>
              <w:ind w:right="58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5"/>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Federal Income Taxes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680" w:type="dxa"/>
            <w:vAlign w:val="bottom"/>
            <w:gridSpan w:val="2"/>
          </w:tcPr>
          <w:p>
            <w:pPr>
              <w:ind w:left="140"/>
              <w:spacing w:after="0"/>
              <w:rPr>
                <w:sz w:val="20"/>
                <w:szCs w:val="20"/>
                <w:color w:val="auto"/>
              </w:rPr>
            </w:pPr>
            <w:r>
              <w:rPr>
                <w:rFonts w:ascii="Arial" w:cs="Arial" w:eastAsia="Arial" w:hAnsi="Arial"/>
                <w:sz w:val="11"/>
                <w:szCs w:val="11"/>
                <w:color w:val="auto"/>
              </w:rPr>
              <w:t>Current</w:t>
            </w: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4"/>
                <w:szCs w:val="14"/>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4</w:t>
            </w:r>
          </w:p>
        </w:tc>
      </w:tr>
      <w:tr>
        <w:trPr>
          <w:trHeight w:val="177"/>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Deferred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(233)</w:t>
            </w:r>
          </w:p>
        </w:tc>
      </w:tr>
      <w:tr>
        <w:trPr>
          <w:trHeight w:val="168"/>
        </w:trPr>
        <w:tc>
          <w:tcPr>
            <w:tcW w:w="6700" w:type="dxa"/>
            <w:vAlign w:val="bottom"/>
            <w:gridSpan w:val="3"/>
          </w:tcPr>
          <w:p>
            <w:pPr>
              <w:ind w:left="20"/>
              <w:spacing w:after="0"/>
              <w:rPr>
                <w:sz w:val="20"/>
                <w:szCs w:val="20"/>
                <w:color w:val="auto"/>
              </w:rPr>
            </w:pPr>
            <w:r>
              <w:rPr>
                <w:rFonts w:ascii="Arial" w:cs="Arial" w:eastAsia="Arial" w:hAnsi="Arial"/>
                <w:sz w:val="11"/>
                <w:szCs w:val="11"/>
                <w:b w:val="1"/>
                <w:bCs w:val="1"/>
                <w:color w:val="auto"/>
              </w:rPr>
              <w:t>Foreign Income Taxes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7"/>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Current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w:t>
            </w:r>
          </w:p>
        </w:tc>
      </w:tr>
      <w:tr>
        <w:trPr>
          <w:trHeight w:val="168"/>
        </w:trPr>
        <w:tc>
          <w:tcPr>
            <w:tcW w:w="20" w:type="dxa"/>
            <w:vAlign w:val="bottom"/>
          </w:tcPr>
          <w:p>
            <w:pPr>
              <w:spacing w:after="0"/>
              <w:rPr>
                <w:sz w:val="14"/>
                <w:szCs w:val="14"/>
                <w:color w:val="auto"/>
              </w:rPr>
            </w:pPr>
          </w:p>
        </w:tc>
        <w:tc>
          <w:tcPr>
            <w:tcW w:w="6680" w:type="dxa"/>
            <w:vAlign w:val="bottom"/>
            <w:gridSpan w:val="2"/>
          </w:tcPr>
          <w:p>
            <w:pPr>
              <w:ind w:left="140"/>
              <w:spacing w:after="0"/>
              <w:rPr>
                <w:sz w:val="20"/>
                <w:szCs w:val="20"/>
                <w:color w:val="auto"/>
              </w:rPr>
            </w:pPr>
            <w:r>
              <w:rPr>
                <w:rFonts w:ascii="Arial" w:cs="Arial" w:eastAsia="Arial" w:hAnsi="Arial"/>
                <w:sz w:val="11"/>
                <w:szCs w:val="11"/>
                <w:color w:val="auto"/>
              </w:rPr>
              <w:t>Deferred</w:t>
            </w:r>
          </w:p>
        </w:tc>
        <w:tc>
          <w:tcPr>
            <w:tcW w:w="360" w:type="dxa"/>
            <w:vAlign w:val="bottom"/>
          </w:tcPr>
          <w:p>
            <w:pPr>
              <w:spacing w:after="0"/>
              <w:rPr>
                <w:sz w:val="14"/>
                <w:szCs w:val="14"/>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63"/>
              <w:spacing w:after="0"/>
              <w:rPr>
                <w:sz w:val="20"/>
                <w:szCs w:val="20"/>
                <w:color w:val="auto"/>
              </w:rPr>
            </w:pPr>
            <w:r>
              <w:rPr>
                <w:rFonts w:ascii="Arial" w:cs="Arial" w:eastAsia="Arial" w:hAnsi="Arial"/>
                <w:sz w:val="11"/>
                <w:szCs w:val="11"/>
                <w:color w:val="auto"/>
              </w:rPr>
              <w:t>(3)</w:t>
            </w:r>
          </w:p>
        </w:tc>
      </w:tr>
      <w:tr>
        <w:trPr>
          <w:trHeight w:val="17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State Income Taxes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6680" w:type="dxa"/>
            <w:vAlign w:val="bottom"/>
            <w:gridSpan w:val="2"/>
          </w:tcPr>
          <w:p>
            <w:pPr>
              <w:ind w:left="140"/>
              <w:spacing w:after="0"/>
              <w:rPr>
                <w:sz w:val="20"/>
                <w:szCs w:val="20"/>
                <w:color w:val="auto"/>
              </w:rPr>
            </w:pPr>
            <w:r>
              <w:rPr>
                <w:rFonts w:ascii="Arial" w:cs="Arial" w:eastAsia="Arial" w:hAnsi="Arial"/>
                <w:sz w:val="11"/>
                <w:szCs w:val="11"/>
                <w:color w:val="auto"/>
              </w:rPr>
              <w:t>Current</w:t>
            </w:r>
          </w:p>
        </w:tc>
        <w:tc>
          <w:tcPr>
            <w:tcW w:w="360" w:type="dxa"/>
            <w:vAlign w:val="bottom"/>
          </w:tcPr>
          <w:p>
            <w:pPr>
              <w:spacing w:after="0"/>
              <w:rPr>
                <w:sz w:val="14"/>
                <w:szCs w:val="14"/>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8</w:t>
            </w:r>
          </w:p>
        </w:tc>
      </w:tr>
      <w:tr>
        <w:trPr>
          <w:trHeight w:val="172"/>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Deferred</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w:t>
            </w:r>
          </w:p>
        </w:tc>
      </w:tr>
      <w:tr>
        <w:trPr>
          <w:trHeight w:val="168"/>
        </w:trPr>
        <w:tc>
          <w:tcPr>
            <w:tcW w:w="67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Provision (Benefit)</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(172)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(193)</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consolidated effective income tax rate was as follows:</w:t>
      </w:r>
    </w:p>
    <w:p>
      <w:pPr>
        <w:sectPr>
          <w:pgSz w:w="11900" w:h="16838" w:orient="portrait"/>
          <w:cols w:equalWidth="0" w:num="1">
            <w:col w:w="11460"/>
          </w:cols>
          <w:pgMar w:left="220" w:top="15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1"/>
          <w:szCs w:val="11"/>
          <w:color w:val="auto"/>
        </w:rPr>
        <w:t>U.S. federal statutory income tax rate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Nondeductible expenses</w:t>
      </w:r>
      <w:r>
        <w:rPr>
          <w:rFonts w:ascii="Arial" w:cs="Arial" w:eastAsia="Arial" w:hAnsi="Arial"/>
          <w:sz w:val="14"/>
          <w:szCs w:val="14"/>
          <w:color w:val="auto"/>
          <w:vertAlign w:val="superscript"/>
        </w:rPr>
        <w:t>(1)</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Effect of tax law changes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1"/>
          <w:szCs w:val="11"/>
          <w:color w:val="auto"/>
        </w:rPr>
        <w:t>Change in valuation allowance for deferred tax assets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State taxes, net of federal benefit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1"/>
          <w:szCs w:val="11"/>
          <w:color w:val="auto"/>
        </w:rPr>
        <w:t>Tax-exempt income, credits and incentives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Foreign rate differential adjusted for U.S. taxation of foreign profits</w:t>
      </w:r>
      <w:r>
        <w:rPr>
          <w:rFonts w:ascii="Arial" w:cs="Arial" w:eastAsia="Arial" w:hAnsi="Arial"/>
          <w:sz w:val="14"/>
          <w:szCs w:val="14"/>
          <w:color w:val="auto"/>
          <w:vertAlign w:val="superscript"/>
        </w:rPr>
        <w:t>(2)</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Divestitures</w:t>
      </w:r>
      <w:r>
        <w:rPr>
          <w:rFonts w:ascii="Arial" w:cs="Arial" w:eastAsia="Arial" w:hAnsi="Arial"/>
          <w:sz w:val="14"/>
          <w:szCs w:val="14"/>
          <w:color w:val="auto"/>
          <w:vertAlign w:val="superscript"/>
        </w:rPr>
        <w:t>(3)</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Goodwill impairment</w:t>
      </w:r>
      <w:r>
        <w:rPr>
          <w:rFonts w:ascii="Arial" w:cs="Arial" w:eastAsia="Arial" w:hAnsi="Arial"/>
          <w:sz w:val="14"/>
          <w:szCs w:val="14"/>
          <w:color w:val="auto"/>
          <w:vertAlign w:val="superscript"/>
        </w:rPr>
        <w:t>(4)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Unrecognized tax benefits and other</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Effective Income Tax Rate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31584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58490" cy="698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2"/>
                <w:szCs w:val="12"/>
                <w:color w:val="auto"/>
              </w:rPr>
            </w:pPr>
          </w:p>
        </w:tc>
        <w:tc>
          <w:tcPr>
            <w:tcW w:w="16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2"/>
                <w:szCs w:val="12"/>
                <w:color w:val="auto"/>
              </w:rPr>
            </w:pPr>
          </w:p>
        </w:tc>
        <w:tc>
          <w:tcPr>
            <w:tcW w:w="160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color w:val="auto"/>
              </w:rPr>
              <w:t>2017</w:t>
            </w:r>
          </w:p>
        </w:tc>
      </w:tr>
      <w:tr>
        <w:trPr>
          <w:trHeight w:val="158"/>
        </w:trPr>
        <w:tc>
          <w:tcPr>
            <w:tcW w:w="1600" w:type="dxa"/>
            <w:vAlign w:val="bottom"/>
          </w:tcPr>
          <w:p>
            <w:pPr>
              <w:jc w:val="right"/>
              <w:spacing w:after="0"/>
              <w:rPr>
                <w:sz w:val="20"/>
                <w:szCs w:val="20"/>
                <w:color w:val="auto"/>
              </w:rPr>
            </w:pPr>
            <w:r>
              <w:rPr>
                <w:rFonts w:ascii="Arial" w:cs="Arial" w:eastAsia="Arial" w:hAnsi="Arial"/>
                <w:sz w:val="11"/>
                <w:szCs w:val="11"/>
                <w:color w:val="auto"/>
              </w:rPr>
              <w:t>21.0 %</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21.0 %</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35.0 %</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(104.0)%</w:t>
            </w:r>
          </w:p>
        </w:tc>
      </w:tr>
      <w:tr>
        <w:trPr>
          <w:trHeight w:val="172"/>
        </w:trPr>
        <w:tc>
          <w:tcPr>
            <w:tcW w:w="16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600" w:type="dxa"/>
            <w:vAlign w:val="bottom"/>
          </w:tcPr>
          <w:p>
            <w:pPr>
              <w:jc w:val="right"/>
              <w:spacing w:after="0"/>
              <w:rPr>
                <w:sz w:val="20"/>
                <w:szCs w:val="20"/>
                <w:color w:val="auto"/>
              </w:rPr>
            </w:pPr>
            <w:r>
              <w:rPr>
                <w:rFonts w:ascii="Arial" w:cs="Arial" w:eastAsia="Arial" w:hAnsi="Arial"/>
                <w:sz w:val="11"/>
                <w:szCs w:val="11"/>
                <w:color w:val="auto"/>
              </w:rPr>
              <w:t>0.5 %</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1,282.4 %</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(39.5)%</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1.8 %</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1.2 %</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0.3 %</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2.2 %</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38.9 %</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1.9 %</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47.7 %</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0.2 %</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(51.9)%</w:t>
            </w:r>
          </w:p>
        </w:tc>
      </w:tr>
      <w:tr>
        <w:trPr>
          <w:trHeight w:val="172"/>
        </w:trPr>
        <w:tc>
          <w:tcPr>
            <w:tcW w:w="1600" w:type="dxa"/>
            <w:vAlign w:val="bottom"/>
          </w:tcPr>
          <w:p>
            <w:pPr>
              <w:jc w:val="right"/>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60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77"/>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0.6 %</w:t>
            </w:r>
          </w:p>
        </w:tc>
        <w:tc>
          <w:tcPr>
            <w:tcW w:w="8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r>
      <w:tr>
        <w:trPr>
          <w:trHeight w:val="163"/>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8.2 %</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1,206.3 %</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-1243965</wp:posOffset>
            </wp:positionV>
            <wp:extent cx="7260590" cy="116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0590" cy="11620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-1017905</wp:posOffset>
            </wp:positionV>
            <wp:extent cx="7260590" cy="109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0590" cy="1092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-799465</wp:posOffset>
            </wp:positionV>
            <wp:extent cx="7260590" cy="1092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0590" cy="1092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-580390</wp:posOffset>
            </wp:positionV>
            <wp:extent cx="7260590" cy="109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0590" cy="1092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-361950</wp:posOffset>
            </wp:positionV>
            <wp:extent cx="7260590" cy="1092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0590" cy="1092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-142875</wp:posOffset>
            </wp:positionV>
            <wp:extent cx="7260590" cy="130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0590" cy="13017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5760" w:space="720"/>
            <w:col w:w="4980"/>
          </w:cols>
          <w:pgMar w:left="220" w:top="153" w:right="219" w:bottom="1440" w:gutter="0" w:footer="0" w:header="0"/>
          <w:type w:val="continuous"/>
        </w:sectPr>
      </w:pPr>
    </w:p>
    <w:p>
      <w:pPr>
        <w:ind w:left="40"/>
        <w:spacing w:after="0"/>
        <w:rPr>
          <w:sz w:val="20"/>
          <w:szCs w:val="20"/>
          <w:color w:val="auto"/>
        </w:rPr>
      </w:pPr>
      <w:r>
        <w:rPr>
          <w:rFonts w:ascii="Arial" w:cs="Arial" w:eastAsia="Arial" w:hAnsi="Arial"/>
          <w:sz w:val="9"/>
          <w:szCs w:val="9"/>
          <w:color w:val="auto"/>
        </w:rPr>
        <w:t>____________</w:t>
      </w:r>
    </w:p>
    <w:p>
      <w:pPr>
        <w:spacing w:after="0" w:line="74" w:lineRule="exact"/>
        <w:rPr>
          <w:sz w:val="20"/>
          <w:szCs w:val="20"/>
          <w:color w:val="auto"/>
        </w:rPr>
      </w:pPr>
    </w:p>
    <w:p>
      <w:pPr>
        <w:ind w:left="260" w:hanging="254"/>
        <w:spacing w:after="0"/>
        <w:tabs>
          <w:tab w:leader="none" w:pos="26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In 2017, nondeductible expenses primarily related to officers life insurance.</w:t>
      </w:r>
    </w:p>
    <w:p>
      <w:pPr>
        <w:spacing w:after="0" w:line="14" w:lineRule="exact"/>
        <w:rPr>
          <w:rFonts w:ascii="Arial" w:cs="Arial" w:eastAsia="Arial" w:hAnsi="Arial"/>
          <w:sz w:val="11"/>
          <w:szCs w:val="11"/>
          <w:i w:val="1"/>
          <w:iCs w:val="1"/>
          <w:color w:val="auto"/>
        </w:rPr>
      </w:pPr>
    </w:p>
    <w:p>
      <w:pPr>
        <w:ind w:left="260" w:hanging="254"/>
        <w:spacing w:after="0"/>
        <w:tabs>
          <w:tab w:leader="none" w:pos="26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The “U.S. taxation of foreign profits” represents the U.S. tax, net of foreign tax credits, associated with actual and deemed repatriations of earnings from our non-U.S. subsidiaries.</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2018 and 2017 divestitures include nondeductible goodwill allocated to divested businesses.</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Goodwill impairment represents adjustments for impairment of non-deductible component of goodwill.</w:t>
      </w:r>
    </w:p>
    <w:p>
      <w:pPr>
        <w:spacing w:after="0" w:line="192" w:lineRule="exact"/>
        <w:rPr>
          <w:sz w:val="20"/>
          <w:szCs w:val="20"/>
          <w:color w:val="auto"/>
        </w:rPr>
      </w:pPr>
    </w:p>
    <w:p>
      <w:pPr>
        <w:ind w:right="700"/>
        <w:spacing w:after="0" w:line="273" w:lineRule="auto"/>
        <w:rPr>
          <w:sz w:val="20"/>
          <w:szCs w:val="20"/>
          <w:color w:val="auto"/>
        </w:rPr>
      </w:pPr>
      <w:r>
        <w:rPr>
          <w:rFonts w:ascii="Arial" w:cs="Arial" w:eastAsia="Arial" w:hAnsi="Arial"/>
          <w:sz w:val="14"/>
          <w:szCs w:val="14"/>
          <w:color w:val="auto"/>
        </w:rPr>
        <w:t>On a consolidated basis, we paid a total of $46 million, $108 million and $29 million in income taxes to federal, foreign and state jurisdictions during the three years ended December 31, 2019, 2018 and 2017, respectively.</w:t>
      </w:r>
    </w:p>
    <w:p>
      <w:pPr>
        <w:spacing w:after="0" w:line="200" w:lineRule="exact"/>
        <w:rPr>
          <w:sz w:val="20"/>
          <w:szCs w:val="20"/>
          <w:color w:val="auto"/>
        </w:rPr>
      </w:pP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type w:val="continuous"/>
        </w:sectPr>
      </w:pPr>
    </w:p>
    <w:bookmarkStart w:id="81" w:name="page82"/>
    <w:bookmarkEnd w:id="8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Total income tax expense (benefit) was allocated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35"/>
        </w:trPr>
        <w:tc>
          <w:tcPr>
            <w:tcW w:w="648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360" w:type="dxa"/>
            <w:vAlign w:val="bottom"/>
          </w:tcPr>
          <w:p>
            <w:pPr>
              <w:spacing w:after="0"/>
              <w:rPr>
                <w:sz w:val="11"/>
                <w:szCs w:val="11"/>
                <w:color w:val="auto"/>
              </w:rPr>
            </w:pPr>
          </w:p>
        </w:tc>
        <w:tc>
          <w:tcPr>
            <w:tcW w:w="1200" w:type="dxa"/>
            <w:vAlign w:val="bottom"/>
          </w:tcPr>
          <w:p>
            <w:pPr>
              <w:jc w:val="right"/>
              <w:ind w:right="58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60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ind w:right="60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5"/>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(193)</w:t>
            </w:r>
          </w:p>
        </w:tc>
      </w:tr>
      <w:tr>
        <w:trPr>
          <w:trHeight w:val="168"/>
        </w:trPr>
        <w:tc>
          <w:tcPr>
            <w:tcW w:w="6480" w:type="dxa"/>
            <w:vAlign w:val="bottom"/>
            <w:gridSpan w:val="3"/>
          </w:tcPr>
          <w:p>
            <w:pPr>
              <w:ind w:left="20"/>
              <w:spacing w:after="0"/>
              <w:rPr>
                <w:sz w:val="20"/>
                <w:szCs w:val="20"/>
                <w:color w:val="auto"/>
              </w:rPr>
            </w:pPr>
            <w:r>
              <w:rPr>
                <w:rFonts w:ascii="Arial" w:cs="Arial" w:eastAsia="Arial" w:hAnsi="Arial"/>
                <w:sz w:val="11"/>
                <w:szCs w:val="11"/>
                <w:color w:val="auto"/>
              </w:rPr>
              <w:t>Discontinued operations</w:t>
            </w:r>
          </w:p>
        </w:tc>
        <w:tc>
          <w:tcPr>
            <w:tcW w:w="3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3</w:t>
            </w:r>
          </w:p>
        </w:tc>
      </w:tr>
      <w:tr>
        <w:trPr>
          <w:trHeight w:val="193"/>
        </w:trPr>
        <w:tc>
          <w:tcPr>
            <w:tcW w:w="6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Income Tax Expense (Benefit)</w:t>
            </w: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Unrecognized Tax Benefits and Audit Resolutions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recognize tax liabilities when, despite our belief that our tax return positions are supportable, we believe that certain positions may not be fully sustained upon review by tax authorities. Each period we assess uncertain tax positions for recognition, measurement and effective settlement. Benefits from uncertain tax positions are measured at the largest amount of benefit that is greater than 50 percent likely of being realized upon settlement. Where we have determined that our tax return filing position does not satisfy the more-likely-than-not recognition threshold, we have recorded no tax benefits.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color w:val="auto"/>
        </w:rPr>
        <w:t>We are also subject to ongoing tax examinations in numerous jurisdictions due to the extensive geographical scope of our operations. Our ongoing assessments of the more-likely-than-not outcomes of the examinations and related tax positions require judgment and can increase or decrease our effective tax rate, as well as impact our operating results. The specific timing of when the resolution of each tax position will be reached is uncertain.</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As of December 31, 2019, the Company had $24 million of total unrecognized tax benefits, of which $23 million, if recognized, would impact the Company's effective tax rate. Due to expected settlements, the Company estimates that $14 million of the total unrecognized tax benefits will reverse within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 of unrecognized tax benefits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0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58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0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5"/>
        </w:trPr>
        <w:tc>
          <w:tcPr>
            <w:tcW w:w="65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January 1</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w:t>
            </w:r>
          </w:p>
        </w:tc>
      </w:tr>
      <w:tr>
        <w:trPr>
          <w:trHeight w:val="168"/>
        </w:trPr>
        <w:tc>
          <w:tcPr>
            <w:tcW w:w="6500" w:type="dxa"/>
            <w:vAlign w:val="bottom"/>
            <w:gridSpan w:val="3"/>
          </w:tcPr>
          <w:p>
            <w:pPr>
              <w:ind w:left="20"/>
              <w:spacing w:after="0"/>
              <w:rPr>
                <w:sz w:val="20"/>
                <w:szCs w:val="20"/>
                <w:color w:val="auto"/>
              </w:rPr>
            </w:pPr>
            <w:r>
              <w:rPr>
                <w:rFonts w:ascii="Arial" w:cs="Arial" w:eastAsia="Arial" w:hAnsi="Arial"/>
                <w:sz w:val="11"/>
                <w:szCs w:val="11"/>
                <w:color w:val="auto"/>
              </w:rPr>
              <w:t>Additions related to current year</w:t>
            </w:r>
          </w:p>
        </w:tc>
        <w:tc>
          <w:tcPr>
            <w:tcW w:w="38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65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Additions related to prior years positions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8"/>
        </w:trPr>
        <w:tc>
          <w:tcPr>
            <w:tcW w:w="6500" w:type="dxa"/>
            <w:vAlign w:val="bottom"/>
            <w:gridSpan w:val="3"/>
          </w:tcPr>
          <w:p>
            <w:pPr>
              <w:ind w:left="20"/>
              <w:spacing w:after="0"/>
              <w:rPr>
                <w:sz w:val="20"/>
                <w:szCs w:val="20"/>
                <w:color w:val="auto"/>
              </w:rPr>
            </w:pPr>
            <w:r>
              <w:rPr>
                <w:rFonts w:ascii="Arial" w:cs="Arial" w:eastAsia="Arial" w:hAnsi="Arial"/>
                <w:sz w:val="11"/>
                <w:szCs w:val="11"/>
                <w:color w:val="auto"/>
              </w:rPr>
              <w:t>Reductions related to prior years positions</w:t>
            </w:r>
          </w:p>
        </w:tc>
        <w:tc>
          <w:tcPr>
            <w:tcW w:w="38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65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Settlements with taxing authorities</w:t>
            </w:r>
            <w:r>
              <w:rPr>
                <w:rFonts w:ascii="Arial" w:cs="Arial" w:eastAsia="Arial" w:hAnsi="Arial"/>
                <w:sz w:val="14"/>
                <w:szCs w:val="14"/>
                <w:color w:val="auto"/>
                <w:vertAlign w:val="superscript"/>
              </w:rPr>
              <w:t>(1)</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68"/>
        </w:trPr>
        <w:tc>
          <w:tcPr>
            <w:tcW w:w="6500" w:type="dxa"/>
            <w:vAlign w:val="bottom"/>
            <w:gridSpan w:val="3"/>
          </w:tcPr>
          <w:p>
            <w:pPr>
              <w:ind w:left="20"/>
              <w:spacing w:after="0"/>
              <w:rPr>
                <w:sz w:val="20"/>
                <w:szCs w:val="20"/>
                <w:color w:val="auto"/>
              </w:rPr>
            </w:pPr>
            <w:r>
              <w:rPr>
                <w:rFonts w:ascii="Arial" w:cs="Arial" w:eastAsia="Arial" w:hAnsi="Arial"/>
                <w:sz w:val="11"/>
                <w:szCs w:val="11"/>
                <w:color w:val="auto"/>
              </w:rPr>
              <w:t>Currency</w:t>
            </w:r>
          </w:p>
        </w:tc>
        <w:tc>
          <w:tcPr>
            <w:tcW w:w="3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1</w:t>
            </w:r>
          </w:p>
        </w:tc>
      </w:tr>
      <w:tr>
        <w:trPr>
          <w:trHeight w:val="193"/>
        </w:trPr>
        <w:tc>
          <w:tcPr>
            <w:tcW w:w="6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w:t>
            </w: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9"/>
          <w:szCs w:val="9"/>
          <w:i w:val="1"/>
          <w:iCs w:val="1"/>
          <w:color w:val="auto"/>
        </w:rPr>
        <w:t>_______________</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2019 and 2018 settlement resulted in $1 million and $1 million cash paid, respectively.</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maintain offsetting benefits from other jurisdictions of $16 million, $15 million and $16 million, at December 31, 2019, 2018 and 2017, respectively. We recognized interest and penalties accrued on unrecognized tax benefits within income tax expense. We had $14 million, $10 million and $6 million accrued for the payment of interest and penalties associated with unrecognized tax benefits at December 31, 2019, 2018 and 2017, respectively. In the U.S., we are no longer subject to U.S. federal income tax examinations for years before 2015. With respect to our major foreign jurisdictions, the years generally remain open back to 2006.</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Deferred Income Taxes</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 is indefinitely reinvested in the undistributed earnings of its foreign subsidiaries with respect to the U.S. These foreign subsidiaries have aggregate cumulative undistributed earnings of $222 million as of December 31, 2019. For years after 2017, the Tax Reform does allow for certain earnings to be repatriated free from U.S. Federal taxes. However, the repatriation of earnings could give rise to additional tax liabilities. We have also not provided for deferred taxes on outside basis differences in our investments in our foreign subsidiaries that are unrelated to unremitted earnings. A determination of the unrecognized deferred taxes related to these other components of our outside basis differences is not practicable. We have provided for deferred taxes with respect to certain unremitted earnings of foreign subsidiaries that are not indefinitely reinvested between foreign subsidiaries outside of the U.S.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that give rise to significant portions of the deferred taxes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12"/>
                <w:szCs w:val="12"/>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5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jc w:val="right"/>
              <w:ind w:right="58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jc w:val="right"/>
              <w:ind w:right="583"/>
              <w:spacing w:after="0"/>
              <w:rPr>
                <w:sz w:val="20"/>
                <w:szCs w:val="20"/>
                <w:color w:val="auto"/>
              </w:rPr>
            </w:pPr>
            <w:r>
              <w:rPr>
                <w:rFonts w:ascii="Arial" w:cs="Arial" w:eastAsia="Arial" w:hAnsi="Arial"/>
                <w:sz w:val="11"/>
                <w:szCs w:val="11"/>
                <w:color w:val="auto"/>
              </w:rPr>
              <w:t>2018</w:t>
            </w: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5"/>
        </w:trPr>
        <w:tc>
          <w:tcPr>
            <w:tcW w:w="5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5520" w:type="dxa"/>
            <w:vAlign w:val="bottom"/>
            <w:gridSpan w:val="2"/>
            <w:shd w:val="clear" w:color="auto" w:fill="CCEEFF"/>
          </w:tcPr>
          <w:p>
            <w:pPr>
              <w:jc w:val="right"/>
              <w:ind w:right="3940"/>
              <w:spacing w:after="0"/>
              <w:rPr>
                <w:sz w:val="20"/>
                <w:szCs w:val="20"/>
                <w:color w:val="auto"/>
              </w:rPr>
            </w:pPr>
            <w:r>
              <w:rPr>
                <w:rFonts w:ascii="Arial" w:cs="Arial" w:eastAsia="Arial" w:hAnsi="Arial"/>
                <w:sz w:val="11"/>
                <w:szCs w:val="11"/>
                <w:b w:val="1"/>
                <w:bCs w:val="1"/>
                <w:color w:val="auto"/>
              </w:rPr>
              <w:t>Deferred Tax Assets</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2960" w:type="dxa"/>
            <w:vAlign w:val="bottom"/>
            <w:gridSpan w:val="2"/>
          </w:tcPr>
          <w:p>
            <w:pPr>
              <w:spacing w:after="0"/>
              <w:rPr>
                <w:sz w:val="20"/>
                <w:szCs w:val="20"/>
                <w:color w:val="auto"/>
              </w:rPr>
            </w:pPr>
            <w:r>
              <w:rPr>
                <w:rFonts w:ascii="Arial" w:cs="Arial" w:eastAsia="Arial" w:hAnsi="Arial"/>
                <w:sz w:val="11"/>
                <w:szCs w:val="11"/>
                <w:color w:val="auto"/>
              </w:rPr>
              <w:t>Net operating losses and capital loss carryforward</w:t>
            </w:r>
          </w:p>
        </w:tc>
        <w:tc>
          <w:tcPr>
            <w:tcW w:w="55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4"/>
                <w:szCs w:val="14"/>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46</w:t>
            </w:r>
          </w:p>
        </w:tc>
      </w:tr>
      <w:tr>
        <w:trPr>
          <w:trHeight w:val="177"/>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reserves, accruals and deferrals</w:t>
            </w:r>
          </w:p>
        </w:tc>
        <w:tc>
          <w:tcPr>
            <w:tcW w:w="5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68</w:t>
            </w:r>
          </w:p>
        </w:tc>
      </w:tr>
      <w:tr>
        <w:trPr>
          <w:trHeight w:val="168"/>
        </w:trPr>
        <w:tc>
          <w:tcPr>
            <w:tcW w:w="2960" w:type="dxa"/>
            <w:vAlign w:val="bottom"/>
            <w:gridSpan w:val="2"/>
          </w:tcPr>
          <w:p>
            <w:pPr>
              <w:spacing w:after="0"/>
              <w:rPr>
                <w:sz w:val="20"/>
                <w:szCs w:val="20"/>
                <w:color w:val="auto"/>
              </w:rPr>
            </w:pPr>
            <w:r>
              <w:rPr>
                <w:rFonts w:ascii="Arial" w:cs="Arial" w:eastAsia="Arial" w:hAnsi="Arial"/>
                <w:sz w:val="11"/>
                <w:szCs w:val="11"/>
                <w:color w:val="auto"/>
              </w:rPr>
              <w:t>Deferred compensation</w:t>
            </w:r>
          </w:p>
        </w:tc>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16</w:t>
            </w:r>
          </w:p>
        </w:tc>
      </w:tr>
      <w:tr>
        <w:trPr>
          <w:trHeight w:val="177"/>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Settlement reserves</w:t>
            </w:r>
          </w:p>
        </w:tc>
        <w:tc>
          <w:tcPr>
            <w:tcW w:w="5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67</w:t>
            </w:r>
          </w:p>
        </w:tc>
      </w:tr>
      <w:tr>
        <w:trPr>
          <w:trHeight w:val="168"/>
        </w:trPr>
        <w:tc>
          <w:tcPr>
            <w:tcW w:w="2960" w:type="dxa"/>
            <w:vAlign w:val="bottom"/>
            <w:gridSpan w:val="2"/>
          </w:tcPr>
          <w:p>
            <w:pPr>
              <w:spacing w:after="0"/>
              <w:rPr>
                <w:sz w:val="20"/>
                <w:szCs w:val="20"/>
                <w:color w:val="auto"/>
              </w:rPr>
            </w:pPr>
            <w:r>
              <w:rPr>
                <w:rFonts w:ascii="Arial" w:cs="Arial" w:eastAsia="Arial" w:hAnsi="Arial"/>
                <w:sz w:val="11"/>
                <w:szCs w:val="11"/>
                <w:color w:val="auto"/>
              </w:rPr>
              <w:t>Operating lease liabilities</w:t>
            </w:r>
          </w:p>
        </w:tc>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r>
      <w:tr>
        <w:trPr>
          <w:trHeight w:val="177"/>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5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13</w:t>
            </w:r>
          </w:p>
        </w:tc>
      </w:tr>
      <w:tr>
        <w:trPr>
          <w:trHeight w:val="158"/>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Subtotal</w:t>
            </w:r>
          </w:p>
        </w:tc>
        <w:tc>
          <w:tcPr>
            <w:tcW w:w="5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309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210</w:t>
            </w:r>
          </w:p>
        </w:tc>
      </w:tr>
      <w:tr>
        <w:trPr>
          <w:trHeight w:val="172"/>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Valuation allowance</w:t>
            </w:r>
          </w:p>
        </w:tc>
        <w:tc>
          <w:tcPr>
            <w:tcW w:w="5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(44)</w:t>
            </w:r>
          </w:p>
        </w:tc>
      </w:tr>
      <w:tr>
        <w:trPr>
          <w:trHeight w:val="168"/>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5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4"/>
                <w:szCs w:val="14"/>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166</w:t>
            </w: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520" w:type="dxa"/>
            <w:vAlign w:val="bottom"/>
            <w:gridSpan w:val="2"/>
          </w:tcPr>
          <w:p>
            <w:pPr>
              <w:jc w:val="right"/>
              <w:ind w:right="3860"/>
              <w:spacing w:after="0"/>
              <w:rPr>
                <w:sz w:val="20"/>
                <w:szCs w:val="20"/>
                <w:color w:val="auto"/>
              </w:rPr>
            </w:pPr>
            <w:r>
              <w:rPr>
                <w:rFonts w:ascii="Arial" w:cs="Arial" w:eastAsia="Arial" w:hAnsi="Arial"/>
                <w:sz w:val="11"/>
                <w:szCs w:val="11"/>
                <w:b w:val="1"/>
                <w:bCs w:val="1"/>
                <w:color w:val="auto"/>
              </w:rPr>
              <w:t>Deferred Tax Liabilities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7"/>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Unearned income</w:t>
            </w:r>
          </w:p>
        </w:tc>
        <w:tc>
          <w:tcPr>
            <w:tcW w:w="55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86</w:t>
            </w:r>
          </w:p>
        </w:tc>
      </w:tr>
      <w:tr>
        <w:trPr>
          <w:trHeight w:val="168"/>
        </w:trPr>
        <w:tc>
          <w:tcPr>
            <w:tcW w:w="2960" w:type="dxa"/>
            <w:vAlign w:val="bottom"/>
            <w:gridSpan w:val="2"/>
          </w:tcPr>
          <w:p>
            <w:pPr>
              <w:spacing w:after="0"/>
              <w:rPr>
                <w:sz w:val="20"/>
                <w:szCs w:val="20"/>
                <w:color w:val="auto"/>
              </w:rPr>
            </w:pPr>
            <w:r>
              <w:rPr>
                <w:rFonts w:ascii="Arial" w:cs="Arial" w:eastAsia="Arial" w:hAnsi="Arial"/>
                <w:sz w:val="11"/>
                <w:szCs w:val="11"/>
                <w:color w:val="auto"/>
              </w:rPr>
              <w:t>Intangibles and goodwill</w:t>
            </w:r>
          </w:p>
        </w:tc>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341</w:t>
            </w:r>
          </w:p>
        </w:tc>
      </w:tr>
      <w:tr>
        <w:trPr>
          <w:trHeight w:val="177"/>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w:t>
            </w:r>
          </w:p>
        </w:tc>
        <w:tc>
          <w:tcPr>
            <w:tcW w:w="5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30</w:t>
            </w:r>
          </w:p>
        </w:tc>
      </w:tr>
      <w:tr>
        <w:trPr>
          <w:trHeight w:val="168"/>
        </w:trPr>
        <w:tc>
          <w:tcPr>
            <w:tcW w:w="2960" w:type="dxa"/>
            <w:vAlign w:val="bottom"/>
            <w:gridSpan w:val="2"/>
          </w:tcPr>
          <w:p>
            <w:pPr>
              <w:spacing w:after="0"/>
              <w:rPr>
                <w:sz w:val="20"/>
                <w:szCs w:val="20"/>
                <w:color w:val="auto"/>
              </w:rPr>
            </w:pPr>
            <w:r>
              <w:rPr>
                <w:rFonts w:ascii="Arial" w:cs="Arial" w:eastAsia="Arial" w:hAnsi="Arial"/>
                <w:sz w:val="11"/>
                <w:szCs w:val="11"/>
                <w:color w:val="auto"/>
              </w:rPr>
              <w:t>Operating lease right-of-use assets</w:t>
            </w:r>
          </w:p>
        </w:tc>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r>
      <w:tr>
        <w:trPr>
          <w:trHeight w:val="177"/>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5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24</w:t>
            </w:r>
          </w:p>
        </w:tc>
      </w:tr>
      <w:tr>
        <w:trPr>
          <w:trHeight w:val="158"/>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5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331</w:t>
            </w:r>
          </w:p>
        </w:tc>
        <w:tc>
          <w:tcPr>
            <w:tcW w:w="10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481</w:t>
            </w:r>
          </w:p>
        </w:tc>
      </w:tr>
      <w:tr>
        <w:trPr>
          <w:trHeight w:val="189"/>
        </w:trPr>
        <w:tc>
          <w:tcPr>
            <w:tcW w:w="58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CCEEFF"/>
            </w:tcBorders>
            <w:shd w:val="clear" w:color="auto" w:fill="CCEEFF"/>
          </w:tcPr>
          <w:p>
            <w:pPr>
              <w:spacing w:after="0"/>
              <w:rPr>
                <w:sz w:val="16"/>
                <w:szCs w:val="16"/>
                <w:color w:val="auto"/>
              </w:rPr>
            </w:pPr>
          </w:p>
        </w:tc>
        <w:tc>
          <w:tcPr>
            <w:tcW w:w="5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spacing w:after="0"/>
              <w:rPr>
                <w:sz w:val="16"/>
                <w:szCs w:val="16"/>
                <w:color w:val="auto"/>
              </w:rPr>
            </w:pPr>
          </w:p>
        </w:tc>
      </w:tr>
      <w:tr>
        <w:trPr>
          <w:trHeight w:val="163"/>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Total Deferred Taxes, Net</w:t>
            </w:r>
          </w:p>
        </w:tc>
        <w:tc>
          <w:tcPr>
            <w:tcW w:w="55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4"/>
                <w:szCs w:val="14"/>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(315)</w:t>
            </w:r>
          </w:p>
        </w:tc>
      </w:tr>
      <w:tr>
        <w:trPr>
          <w:trHeight w:val="20"/>
        </w:trPr>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2019 and 2018 was an increase of $28 million and an increase of $9 million, respectively. The valuation allowance relates primarily to certain net operating loss carryforwards, tax credit carryforwards and deductible temporary differences for which we have concluded it is more-likely-than-not that these items will not be realized in the ordinary course of operations.</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Although realization is not assured, we have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200" w:lineRule="exact"/>
        <w:rPr>
          <w:sz w:val="20"/>
          <w:szCs w:val="20"/>
          <w:color w:val="auto"/>
        </w:rPr>
      </w:pPr>
    </w:p>
    <w:p>
      <w:pPr>
        <w:spacing w:after="0" w:line="40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At December 31, 2019, we had tax credit carryforwards of $15 million available to offset future income taxes which will expire between 2027 and 2039 if not utilized. We also had net operating loss carryforwards for income tax purposes of $637 million that will expire between 2020 and 2039, if not utilized; and $254 million available to offset future taxable income indefinitely. We had $45 million of capital loss carryforwards for income tax purposes that will expire in 2024, if not utilized, and $11 million available to offset future capital gains income indefinitely.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16 – Contingencies and Litigation</w:t>
      </w:r>
    </w:p>
    <w:p>
      <w:pPr>
        <w:spacing w:after="0" w:line="21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December 31, 2019. Litigation is inherently unpredictable, and it is not possible to predict the ultimate outcome of these matters and such outcome in any such matters could be in excess of any amounts accrued and could be material to the Company's results of operations, cash flows or financial position in any reporting period.</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consolidated financial position or liquidity. As of December 31, 2019, the Company had accrued its estimate of liability incurred under its indemnification arrangements and guarantees.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66CC"/>
        </w:rPr>
        <w:t>Litigation Against the Company</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b w:val="1"/>
          <w:bCs w:val="1"/>
          <w:i w:val="1"/>
          <w:iCs w:val="1"/>
          <w:u w:val="single" w:color="auto"/>
          <w:color w:val="1269BC"/>
        </w:rPr>
        <w:t>State of Texas v. Xerox Corporation, Conduent Business Services, LLC (f/k/a Xerox Business Services, LLC), Conduent State Healthcare, LLC (f/k/a Xerox State Healthcare, LLC, f/k/a ACS State Healthcare, LLC) and Conduent Incorporated:</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May 9, 2014, the State of Texas, via the Texas Office of Attorney General (the “State”), filed</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a lawsuit in the 53rd Judicial District Court of Travis County, Texas. The lawsuit alleged that Conduent State Healthcare LLC (f/k/a Xerox State Healthcare, LLC and ACS State Healthcare) (“CSH”), Conduent Business Services LLC (“CBS”) and Conduent Incorporated (“CI”) (collectively, CSH, CBS and CI are referred to herein as the "Conduent Defendants") and Xerox Corporation (together with the Conduent Defendants, the “Defendants”) violated the Texas Medicaid Fraud Prevention Act in the administration of its contract with the Texas Department of Health and Human Services (“HHSC”). In February 2019 a settlement agreement and release was reached among the Defendants, the State and HHSC which was amended in May 2019 ("Texas Agreement"). Pursuant to the terms of the Texas Agreement, the Conduent Defendants were required to pay the State of Texas $236 million, of which $118 million was paid in 2019 and $118 million paid in January 2020. The case has been dismissed with prejudice with a full release and discharge of the Defendants.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b w:val="1"/>
          <w:bCs w:val="1"/>
          <w:i w:val="1"/>
          <w:iCs w:val="1"/>
          <w:u w:val="single" w:color="auto"/>
          <w:color w:val="1269BC"/>
        </w:rPr>
        <w:t>Skyview Capital LLC and Continuum Global Solutions, LLC v. Conduent Business Services, LLC:</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February 3, 2020, plaintiffs filed a lawsuit in the Superior Court of New</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York County, New York. The lawsuit relates to the sale of a portion of Conduent Business Service, LLC’s (“CBS”) select standalone customer care call center business (the “Business”) to plaintiffs, which sale closed in February 2019. Under the terms of the sale agreement, CBS received approximately $23 million of notes from plaintiffs (the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Conduent denies all of these allegations, believes that it has strong defenses to all of plaintiffs’ claims and will vigorously defend itself against these claims. The Company is not able to determine or predict the ultimate outcome of this proceeding or reasonably provide an estimate or range of estimate of the possible outcome or loss, if any.</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u w:val="single" w:color="auto"/>
          <w:color w:val="1269BC"/>
        </w:rPr>
        <w:t>Dennis Nasrawi v. Buck Consultants et al.:</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October 8, 2009, plaintiffs filed a lawsuit in the Superior Court of California, Stanislaus County, and on November 24, 2009, the</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case was removed to the U.S. Court for the Eastern District of California, Fresno Division. Plaintiffs allege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has been stayed pending the outcome of parallel litigation the plaintiffs are pursuing against StanCERA. The parallel litigation was tried before the bench in June 2018, and on January 24, 2019, the court found in favor of StanCERA, holding that it had not breached its fiduciary duty to plaintiffs. On April 26, 2019, Plaintiffs in the parallel litigation filed an appeal. Nasrawi remains stayed until the parallel litigation is finally concluded. Absent the court finding that StanCERA breached its fiduciary duty, plaintiffs’ claim against Buck for aiding and abetting said breach would not appear viable. Buck will continue to aggressively defend these lawsuits. In August 2018, Conduent sold Buck Consultants, LLC; however, the Company retained this liability after the sale. The Company is not able to determine or predict the ultimate outcome of this proceeding or reasonably provide an estimate or range of estimate of the possible outcome or loss, if any, in excess of currently recorded reserves.</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i w:val="1"/>
          <w:iCs w:val="1"/>
          <w:u w:val="single" w:color="auto"/>
          <w:color w:val="1269BC"/>
        </w:rPr>
        <w:t>Conduent Business Services, LLC v. Cognizant Business Services, LLC:</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April 12, 2017, Conduent Business Services LLC (“Conduent”) filed a lawsuit against Cognizant</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Business Services Corporation (“Cognizant”) in the Supreme Court of New York County, New York. The lawsuit relates to the Amended and Restated Master Outsourcing Services Agreement effective as of October 24, 2012, and the service delivery contracts and work orders thereunder, between Conduent and Cognizant, as amended and supplemented (the “Contract”). The Contract contains certain minimum purchase obligations by Conduent through the date of expiration. The lawsuit alleges that Cognizant committed multiple breaches of the Contract, including Cognizant’s failure to properly perform its obligations as subcontractor to Conduent under Conduent’s contract with the New York Department of Health to provide Medicaid Management Information Systems. In the lawsuit, Conduent seeks damages in excess of $150 million. During the first quarter of 2018, Conduent provided notice to Cognizant that it was terminating the Contract for cause and recorded in the same period certain charges associated with the termination. Conduent also alleges that it terminated the Contract for cause, because, among other things, Cognizant violated the Foreign Corrupt Practices Act. Cognizant asserted two counterclaims for breach of contract seeking recovery of damages in excess of $47 million, which includes amounts alleged not paid to Cognizant under the contract and an alleged $25 million termination fee. Conduent has responded to Cognizant’s counterclaims by denying the allegations. Cognizant filed a second amended counterclaim seeking an additional $43 million to satisfy the minimum revenue commitment attributable to the years 2017-2020, which increased Cognizant's damages claim to $90 million. Conduent will continue to vigorously defend itself against the counterclaims but the Company is not able to determine or predict the ultimate outcome of this proceeding or reasonably provide an estimate or range of estimate of the possible outcome.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Other Matters:</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Since 2014, Xerox Education Services, Inc. ("XES") has cooperated with several federal and state agencies regarding a variety of matters, including XES' self-disclosure to the U.S. Department of Education (the "Department") and the Consumer Financial Protection Bureau ("CFPB") that some third-party student loans under outsourcing arrangements for various financial institutions required adjustments. With the exception of an inquiry the Illinois Attorney General's Office recently commenced, the Company has resolved the investigations the CFPB and several state agencies commenced and continues to work with the Department and the U.S. Department of Justice to resolve all outstanding issues, including a number of operational projects that XES discovered and disclosed since 2014. The Company cannot provide assurance that the CFPB, another regulator, a financial institution on behalf of which the Company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6CC"/>
        </w:rPr>
        <w:t>Guarantees and Indemnifications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Indemnifications Provided as Part of Contracts and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Acquisitions/Divestitures:</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indemnified, subject to certain deductibles and limits, the purchasers of businesses or divested assets for the occurrence of specified events under certain of our divestiture agreements. In addition, we customarily agree to hold the other party harmless against losses arising from a breach of representations and covenants, including such matters as adequate title to assets sold, intellectual property rights and certain income taxes arising prior to the date of acquisition. Where appropriate, an obligation for such indemnifications is recorded as a liability at the time of the acquisition or divestiture. Since the obligated amounts of these types of indemnifications are often not explicitly stated or are contingent on the occurrence of future events, the overall maximum amount, or range of amount of the obligation under such indemnifications cannot be reasonably estimated. Other than obligations recorded as liabilities at the time of divestiture, we have not historically made significant payments for these indemnifications. Additionally, under certain of our acquisition agreements, we have provided for additional consideration to be paid to the sellers if established financial targets are achieved within specific timeframes post-closing.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 are also party to the following types of agreements pursuant to which we may be obligated to indemnify the other party with respect to certain matters:</w:t>
      </w:r>
    </w:p>
    <w:p>
      <w:pPr>
        <w:spacing w:after="0" w:line="76" w:lineRule="exact"/>
        <w:rPr>
          <w:sz w:val="20"/>
          <w:szCs w:val="20"/>
          <w:color w:val="auto"/>
        </w:rPr>
      </w:pPr>
    </w:p>
    <w:p>
      <w:pPr>
        <w:ind w:left="260" w:hanging="254"/>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Guarantees on behalf of our subsidiaries with respect to real estate leases. These lease guarantees may remain in effect subsequent to the sale of the subsidiary.</w:t>
      </w:r>
    </w:p>
    <w:p>
      <w:pPr>
        <w:spacing w:after="0" w:line="11" w:lineRule="exact"/>
        <w:rPr>
          <w:rFonts w:ascii="Arial" w:cs="Arial" w:eastAsia="Arial" w:hAnsi="Arial"/>
          <w:sz w:val="14"/>
          <w:szCs w:val="14"/>
          <w:color w:val="auto"/>
        </w:rPr>
      </w:pPr>
    </w:p>
    <w:p>
      <w:pPr>
        <w:ind w:left="260" w:right="20" w:hanging="222"/>
        <w:spacing w:after="0" w:line="256" w:lineRule="auto"/>
        <w:tabs>
          <w:tab w:leader="none" w:pos="256" w:val="left"/>
        </w:tabs>
        <w:numPr>
          <w:ilvl w:val="1"/>
          <w:numId w:val="37"/>
        </w:numPr>
        <w:rPr>
          <w:rFonts w:ascii="Arial" w:cs="Arial" w:eastAsia="Arial" w:hAnsi="Arial"/>
          <w:sz w:val="14"/>
          <w:szCs w:val="14"/>
          <w:color w:val="auto"/>
        </w:rPr>
      </w:pPr>
      <w:r>
        <w:rPr>
          <w:rFonts w:ascii="Arial" w:cs="Arial" w:eastAsia="Arial" w:hAnsi="Arial"/>
          <w:sz w:val="14"/>
          <w:szCs w:val="14"/>
          <w:color w:val="auto"/>
        </w:rPr>
        <w:t>Agreements to indemnify various service providers, trustees and bank agents from any third-party claims related to their performance on our behalf, with the exception of claims that result from the third-party's own willful misconduct or gross negligence.</w:t>
      </w:r>
    </w:p>
    <w:p>
      <w:pPr>
        <w:spacing w:after="0" w:line="1" w:lineRule="exact"/>
        <w:rPr>
          <w:rFonts w:ascii="Arial" w:cs="Arial" w:eastAsia="Arial" w:hAnsi="Arial"/>
          <w:sz w:val="14"/>
          <w:szCs w:val="14"/>
          <w:color w:val="auto"/>
        </w:rPr>
      </w:pPr>
    </w:p>
    <w:p>
      <w:pPr>
        <w:ind w:left="260" w:right="580" w:hanging="222"/>
        <w:spacing w:after="0" w:line="273" w:lineRule="auto"/>
        <w:tabs>
          <w:tab w:leader="none" w:pos="256" w:val="left"/>
        </w:tabs>
        <w:numPr>
          <w:ilvl w:val="1"/>
          <w:numId w:val="37"/>
        </w:numPr>
        <w:rPr>
          <w:rFonts w:ascii="Arial" w:cs="Arial" w:eastAsia="Arial" w:hAnsi="Arial"/>
          <w:sz w:val="14"/>
          <w:szCs w:val="14"/>
          <w:color w:val="auto"/>
        </w:rPr>
      </w:pPr>
      <w:r>
        <w:rPr>
          <w:rFonts w:ascii="Arial" w:cs="Arial" w:eastAsia="Arial" w:hAnsi="Arial"/>
          <w:sz w:val="14"/>
          <w:szCs w:val="14"/>
          <w:color w:val="auto"/>
        </w:rPr>
        <w:t>Guarantees of our performance in certain services contracts to our customers and indirectly the performance of third parties with whom we have subcontracted for their services. This includes indemnifications to customers for losses that may be sustained as a result of our performance of services at a customer's location.</w:t>
      </w:r>
    </w:p>
    <w:p>
      <w:pPr>
        <w:spacing w:after="0" w:line="200" w:lineRule="exact"/>
        <w:rPr>
          <w:sz w:val="20"/>
          <w:szCs w:val="20"/>
          <w:color w:val="auto"/>
        </w:rPr>
      </w:pPr>
    </w:p>
    <w:p>
      <w:pPr>
        <w:spacing w:after="0" w:line="392"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In each of these circumstances, our payment is conditioned on the other party making a claim pursuant to the procedures specified in the particular contract and such procedures also typically allow us to challenge the other party's claims. In the case of lease guarantees, we may contest the liabilities asserted under the lease. Further, our obligations under these agreements and guarantees may be limited in terms of time and/or amount, and in some instances, we may have recourse against third parties for certain payments we made.</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 Indemnifications</w:t>
      </w:r>
    </w:p>
    <w:p>
      <w:pPr>
        <w:spacing w:after="0" w:line="223" w:lineRule="exact"/>
        <w:rPr>
          <w:sz w:val="20"/>
          <w:szCs w:val="20"/>
          <w:color w:val="auto"/>
        </w:rPr>
      </w:pPr>
    </w:p>
    <w:p>
      <w:pPr>
        <w:jc w:val="both"/>
        <w:ind w:right="380"/>
        <w:spacing w:after="0" w:line="264" w:lineRule="auto"/>
        <w:rPr>
          <w:sz w:val="20"/>
          <w:szCs w:val="20"/>
          <w:color w:val="auto"/>
        </w:rPr>
      </w:pPr>
      <w:r>
        <w:rPr>
          <w:rFonts w:ascii="Arial" w:cs="Arial" w:eastAsia="Arial" w:hAnsi="Arial"/>
          <w:sz w:val="14"/>
          <w:szCs w:val="14"/>
          <w:color w:val="auto"/>
        </w:rPr>
        <w:t>We do not own most of the software that we use to run our business. Instead, we license this software from a small number of primary vendors. We indemnify certain software providers against claims that may arise as a result of our use or our subsidiaries', customers' or resellers' use of their software in our services and solutions. These indemnities usually do not include limits on the claims, provided the claim is made pursuant to the procedures required in the services contract.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 of Officers and Directors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corporate by-laws require that, except to the extent expressly prohibited by law, we must indemnify our officers and directors against judgments, fines, penalties and amounts paid in settlement and reasonable expenses, including attorneys' fees, incurred in connection with civil or criminal action or proceedings or any appeal, as it relates to their services to our Company and our subsidiaries. Although the by-laws provide no limit on the amount of indemnification, we may have recourse against our insurance carriers for certain payments made by us. However, certain indemnification payments may not be covered under our directors' and officers' insurance coverage. We also indemnify certain fiduciaries of our employee benefit plans for liabilities incurred in their service as fiduciary whether or not they are officers of the Company. Finally, in connection with our acquisition of businesses, we may become contractually obligated to indemnify certain former and current directors, officers and employees of those businesses in accordance with pre-acquisition by-laws or indemnification agreements or applicable state law.</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w:t>
      </w:r>
    </w:p>
    <w:p>
      <w:pPr>
        <w:spacing w:after="0" w:line="22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Certain contracts, primarily in the Company's Government Services and Transportation segments, require the Company to provide a surety bond or a letter of credit as a guarantee of performance. As of December 31, 2019, the Company had $568 million of outstanding surety bonds used to secure its performance of contractual obligations with its clients and $227 million of outstanding letters of credit issued to secure the Company's performance of contractual obligations to its clients as well as other corporate obligations. In general, the Company would only be liable for the amount of these guarantees in the event of default in the Company's performance of its obligations under each contract. The Company believes it has sufficient capacity in the surety markets and liquidity from its cash flow and its various credit arrangements (including its Credit Facility) to allow it to respond to future requests for proposals that require such credit support.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17 - Preferred Stock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Series A Preferred Stock</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In connection with the December 31, 2016 separation from our former parent company (Separation), we issued 120,000 shares of Series A convertible perpetual preferred stock with an aggregate liquidation preference of $120 million and an initial fair value of $142 million. The Series A convertible preferred stock pays quarterly cash dividends at a rate of 8% per year ($9.6 million per year). Each share of the Series A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If the closing price of our common stock exceeds 137% of the initial conversion price for 20 out of 30 trading days, we have the right to cause any or all of the Series A convertible preferred stock to be converted into shares of common stock at the then applicable conversion rate. The Series A convertible preferred stock is also convertible, at the option of the holder, upon a change in control, at the applicable conversion rate plus an additional number of shares determined by reference to the price paid for our common stock upon such change in control. In addition, upon the occurrence of certain fundamental change events, including a change in control or the delisting of Conduent's common stock, the holder of Series A convertible preferred stock has the right to require us to redeem any or all of the Series A convertible preferred stock in cash at a redemption price per share equal to the liquidation preference and any accrued and unpaid dividends to, but not including, the redemption date. As a result of the contingent redemption feature, the Series A convertible preferred stock is classified as temporary equity and reflected separately from permanent equity in the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18 – Shareholders’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Preferred Stock</w:t>
      </w:r>
    </w:p>
    <w:p>
      <w:pPr>
        <w:spacing w:after="0" w:line="223" w:lineRule="exact"/>
        <w:rPr>
          <w:sz w:val="20"/>
          <w:szCs w:val="20"/>
          <w:color w:val="auto"/>
        </w:rPr>
      </w:pPr>
    </w:p>
    <w:p>
      <w:pPr>
        <w:ind w:right="1200"/>
        <w:spacing w:after="0" w:line="273" w:lineRule="auto"/>
        <w:rPr>
          <w:sz w:val="20"/>
          <w:szCs w:val="20"/>
          <w:color w:val="auto"/>
        </w:rPr>
      </w:pPr>
      <w:r>
        <w:rPr>
          <w:rFonts w:ascii="Arial" w:cs="Arial" w:eastAsia="Arial" w:hAnsi="Arial"/>
          <w:sz w:val="14"/>
          <w:szCs w:val="14"/>
          <w:color w:val="auto"/>
        </w:rPr>
        <w:t>As of December 31, 2019, we had one class of preferred stock outstanding. Refer to Note 17 – Preferred Stock for further information. We are authorized to issue approximately 100 million shares of convertible preferred stock at $0.01 par value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Stock</w:t>
      </w:r>
    </w:p>
    <w:p>
      <w:pPr>
        <w:spacing w:after="0" w:line="223" w:lineRule="exact"/>
        <w:rPr>
          <w:sz w:val="20"/>
          <w:szCs w:val="20"/>
          <w:color w:val="auto"/>
        </w:rPr>
      </w:pPr>
    </w:p>
    <w:p>
      <w:pPr>
        <w:ind w:right="500"/>
        <w:spacing w:after="0" w:line="273" w:lineRule="auto"/>
        <w:rPr>
          <w:sz w:val="20"/>
          <w:szCs w:val="20"/>
          <w:color w:val="auto"/>
        </w:rPr>
      </w:pPr>
      <w:r>
        <w:rPr>
          <w:rFonts w:ascii="Arial" w:cs="Arial" w:eastAsia="Arial" w:hAnsi="Arial"/>
          <w:sz w:val="14"/>
          <w:szCs w:val="14"/>
          <w:color w:val="auto"/>
        </w:rPr>
        <w:t>We have 1 billion authorized shares of common stock at $0.01 par value per share. At December 31, 2019, 17 million shares were reserved for issuance under our incentive compensation plans and 5.4 million shares were reserved for conversion of the Series A convertible preferred stock.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Compensation Plans</w:t>
      </w:r>
    </w:p>
    <w:p>
      <w:pPr>
        <w:spacing w:after="0" w:line="223"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Certain of our employees participate in a long-term incentive plan. Our long-term incentive plan authorizes the issuance of restricted stock units / shares (RSU), performance stock units / share (PSU) and non-qualified stock options to employees. All awards for these plans prior to 2017 were made in Xerox stock and therefore converted into Conduent stock effective upon the Separation. Using a formula designed to preserve the value of the award immediately prior to the Separation, all of these awards will be settled in Conduent's common stock and are reflected in the Company's Consolidated Statements of Shareholders' Equity. Stock-based compensation expense includes expense based on the awards and terms previously granted to the employees.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was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400" w:type="dxa"/>
            <w:vAlign w:val="bottom"/>
          </w:tcPr>
          <w:p>
            <w:pPr>
              <w:spacing w:after="0"/>
              <w:rPr>
                <w:sz w:val="11"/>
                <w:szCs w:val="11"/>
                <w:color w:val="auto"/>
              </w:rPr>
            </w:pPr>
          </w:p>
        </w:tc>
        <w:tc>
          <w:tcPr>
            <w:tcW w:w="1260" w:type="dxa"/>
            <w:vAlign w:val="bottom"/>
          </w:tcPr>
          <w:p>
            <w:pPr>
              <w:jc w:val="right"/>
              <w:ind w:right="64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jc w:val="right"/>
              <w:ind w:right="663"/>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right"/>
              <w:ind w:right="66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Stock-based compensation expense, pre-tax</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42</w:t>
            </w:r>
          </w:p>
        </w:tc>
      </w:tr>
      <w:tr>
        <w:trPr>
          <w:trHeight w:val="163"/>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Income tax benefit recognized in earnings</w:t>
            </w:r>
          </w:p>
        </w:tc>
        <w:tc>
          <w:tcPr>
            <w:tcW w:w="40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540" w:type="dxa"/>
            <w:vAlign w:val="bottom"/>
          </w:tcPr>
          <w:p>
            <w:pPr>
              <w:jc w:val="right"/>
              <w:ind w:right="8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17</w:t>
            </w:r>
          </w:p>
        </w:tc>
      </w:tr>
    </w:tbl>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color w:val="0066CC"/>
        </w:rPr>
        <w:t xml:space="preserve">Restricted Stock Units / Shares </w:t>
      </w:r>
      <w:r>
        <w:rPr>
          <w:rFonts w:ascii="Arial" w:cs="Arial" w:eastAsia="Arial" w:hAnsi="Arial"/>
          <w:sz w:val="14"/>
          <w:szCs w:val="14"/>
          <w:color w:val="000000"/>
        </w:rPr>
        <w:t>Compensation expense is based upon the grant date market price. The compensation expense is recorded over the vesting period, which is</w:t>
      </w:r>
      <w:r>
        <w:rPr>
          <w:rFonts w:ascii="Arial" w:cs="Arial" w:eastAsia="Arial" w:hAnsi="Arial"/>
          <w:sz w:val="14"/>
          <w:szCs w:val="14"/>
          <w:b w:val="1"/>
          <w:bCs w:val="1"/>
          <w:color w:val="0066CC"/>
        </w:rPr>
        <w:t xml:space="preserve"> </w:t>
      </w:r>
      <w:r>
        <w:rPr>
          <w:rFonts w:ascii="Arial" w:cs="Arial" w:eastAsia="Arial" w:hAnsi="Arial"/>
          <w:sz w:val="14"/>
          <w:szCs w:val="14"/>
          <w:color w:val="000000"/>
        </w:rPr>
        <w:t>normally three years from the date of grant, based on management's estimate of the number of shares expected to vest.</w:t>
      </w:r>
    </w:p>
    <w:p>
      <w:pPr>
        <w:spacing w:after="0" w:line="137"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color w:val="0066CC"/>
        </w:rPr>
        <w:t xml:space="preserve">Performance Stock Units / Shares: </w:t>
      </w:r>
      <w:r>
        <w:rPr>
          <w:rFonts w:ascii="Arial" w:cs="Arial" w:eastAsia="Arial" w:hAnsi="Arial"/>
          <w:sz w:val="14"/>
          <w:szCs w:val="14"/>
          <w:color w:val="000000"/>
        </w:rPr>
        <w:t>The Company granted PSUs that vest contingent upon its achievement of certain specified financial performance criteria over a three-year</w:t>
      </w:r>
      <w:r>
        <w:rPr>
          <w:rFonts w:ascii="Arial" w:cs="Arial" w:eastAsia="Arial" w:hAnsi="Arial"/>
          <w:sz w:val="14"/>
          <w:szCs w:val="14"/>
          <w:b w:val="1"/>
          <w:bCs w:val="1"/>
          <w:color w:val="0066CC"/>
        </w:rPr>
        <w:t xml:space="preserve"> </w:t>
      </w:r>
      <w:r>
        <w:rPr>
          <w:rFonts w:ascii="Arial" w:cs="Arial" w:eastAsia="Arial" w:hAnsi="Arial"/>
          <w:sz w:val="14"/>
          <w:szCs w:val="14"/>
          <w:color w:val="000000"/>
        </w:rPr>
        <w:t>period. If the three-year actual results exceed the stated targets, then the plan participants have the potential to earn additional shares of common stock, which cannot exceed 100% of the original grant.</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fair value of PSUs is based upon the market price of Conduent's common stock on the date of the grant. Compensation expense is recognized over the vesting period, which is normally three years from the date of grant, based on management's estimate of the number of shares expected to vest. If the stated targets are not met, any recognized compensation cost would be reversed.</w:t>
      </w:r>
    </w:p>
    <w:p>
      <w:pPr>
        <w:spacing w:after="0" w:line="161"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color w:val="0066CC"/>
        </w:rPr>
        <w:t xml:space="preserve">Employee Stock Options: </w:t>
      </w:r>
      <w:r>
        <w:rPr>
          <w:rFonts w:ascii="Arial" w:cs="Arial" w:eastAsia="Arial" w:hAnsi="Arial"/>
          <w:sz w:val="14"/>
          <w:szCs w:val="14"/>
          <w:color w:val="000000"/>
        </w:rPr>
        <w:t>Stock options were issued by a former parent company and were converted to Conduent's common stock upon the Separation. As of December 31,</w:t>
      </w:r>
      <w:r>
        <w:rPr>
          <w:rFonts w:ascii="Arial" w:cs="Arial" w:eastAsia="Arial" w:hAnsi="Arial"/>
          <w:sz w:val="14"/>
          <w:szCs w:val="14"/>
          <w:b w:val="1"/>
          <w:bCs w:val="1"/>
          <w:color w:val="0066CC"/>
        </w:rPr>
        <w:t xml:space="preserve"> </w:t>
      </w:r>
      <w:r>
        <w:rPr>
          <w:rFonts w:ascii="Arial" w:cs="Arial" w:eastAsia="Arial" w:hAnsi="Arial"/>
          <w:sz w:val="14"/>
          <w:szCs w:val="14"/>
          <w:color w:val="000000"/>
        </w:rPr>
        <w:t>2019, these options have expired. Conduent has not issued any new stock options.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66CC"/>
        </w:rPr>
        <w:t>Summary of Stock-based Compensation Activity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7"/>
              </w:rPr>
              <w:t>2019</w:t>
            </w:r>
          </w:p>
        </w:tc>
        <w:tc>
          <w:tcPr>
            <w:tcW w:w="1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2018</w:t>
            </w: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7"/>
              </w:rPr>
              <w:t>2017</w:t>
            </w:r>
          </w:p>
        </w:tc>
        <w:tc>
          <w:tcPr>
            <w:tcW w:w="1160" w:type="dxa"/>
            <w:vAlign w:val="bottom"/>
            <w:tcBorders>
              <w:bottom w:val="single" w:sz="8" w:color="auto"/>
            </w:tcBorders>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color w:val="auto"/>
              </w:rPr>
              <w:t>Weighted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rPr>
              <w:t>Weighted</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43"/>
              <w:spacing w:after="0"/>
              <w:rPr>
                <w:sz w:val="20"/>
                <w:szCs w:val="20"/>
                <w:color w:val="auto"/>
              </w:rPr>
            </w:pPr>
            <w:r>
              <w:rPr>
                <w:rFonts w:ascii="Arial" w:cs="Arial" w:eastAsia="Arial" w:hAnsi="Arial"/>
                <w:sz w:val="11"/>
                <w:szCs w:val="11"/>
                <w:color w:val="auto"/>
              </w:rPr>
              <w:t>Weighted</w:t>
            </w:r>
          </w:p>
        </w:tc>
      </w:tr>
      <w:tr>
        <w:trPr>
          <w:trHeight w:val="129"/>
        </w:trPr>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color w:val="auto"/>
              </w:rPr>
              <w:t>Average Grant</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1"/>
                <w:szCs w:val="11"/>
                <w:color w:val="auto"/>
              </w:rPr>
              <w:t>Average Grant</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63"/>
              <w:spacing w:after="0"/>
              <w:rPr>
                <w:sz w:val="20"/>
                <w:szCs w:val="20"/>
                <w:color w:val="auto"/>
              </w:rPr>
            </w:pPr>
            <w:r>
              <w:rPr>
                <w:rFonts w:ascii="Arial" w:cs="Arial" w:eastAsia="Arial" w:hAnsi="Arial"/>
                <w:sz w:val="11"/>
                <w:szCs w:val="11"/>
                <w:color w:val="auto"/>
              </w:rPr>
              <w:t>Average Grant</w:t>
            </w:r>
          </w:p>
        </w:tc>
      </w:tr>
      <w:tr>
        <w:trPr>
          <w:trHeight w:val="129"/>
        </w:trPr>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color w:val="auto"/>
              </w:rPr>
              <w:t>Date Fair</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rPr>
              <w:t>Date Fair</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43"/>
              <w:spacing w:after="0"/>
              <w:rPr>
                <w:sz w:val="20"/>
                <w:szCs w:val="20"/>
                <w:color w:val="auto"/>
              </w:rPr>
            </w:pPr>
            <w:r>
              <w:rPr>
                <w:rFonts w:ascii="Arial" w:cs="Arial" w:eastAsia="Arial" w:hAnsi="Arial"/>
                <w:sz w:val="11"/>
                <w:szCs w:val="11"/>
                <w:color w:val="auto"/>
              </w:rPr>
              <w:t>Date Fair</w:t>
            </w:r>
          </w:p>
        </w:tc>
      </w:tr>
      <w:tr>
        <w:trPr>
          <w:trHeight w:val="115"/>
        </w:trPr>
        <w:tc>
          <w:tcPr>
            <w:tcW w:w="2880" w:type="dxa"/>
            <w:vAlign w:val="bottom"/>
            <w:gridSpan w:val="4"/>
          </w:tcPr>
          <w:p>
            <w:pPr>
              <w:spacing w:after="0" w:line="115" w:lineRule="exact"/>
              <w:rPr>
                <w:sz w:val="20"/>
                <w:szCs w:val="20"/>
                <w:color w:val="auto"/>
              </w:rPr>
            </w:pPr>
            <w:r>
              <w:rPr>
                <w:rFonts w:ascii="Arial" w:cs="Arial" w:eastAsia="Arial" w:hAnsi="Arial"/>
                <w:sz w:val="11"/>
                <w:szCs w:val="11"/>
                <w:color w:val="auto"/>
              </w:rPr>
              <w:t>(shares in thousands)</w:t>
            </w:r>
          </w:p>
        </w:tc>
        <w:tc>
          <w:tcPr>
            <w:tcW w:w="1240" w:type="dxa"/>
            <w:vAlign w:val="bottom"/>
          </w:tcPr>
          <w:p>
            <w:pPr>
              <w:jc w:val="right"/>
              <w:ind w:right="343"/>
              <w:spacing w:after="0" w:line="115" w:lineRule="exact"/>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tcPr>
          <w:p>
            <w:pPr>
              <w:jc w:val="center"/>
              <w:ind w:right="280"/>
              <w:spacing w:after="0" w:line="115" w:lineRule="exact"/>
              <w:rPr>
                <w:sz w:val="20"/>
                <w:szCs w:val="20"/>
                <w:color w:val="auto"/>
              </w:rPr>
            </w:pPr>
            <w:r>
              <w:rPr>
                <w:rFonts w:ascii="Arial" w:cs="Arial" w:eastAsia="Arial" w:hAnsi="Arial"/>
                <w:sz w:val="11"/>
                <w:szCs w:val="11"/>
                <w:color w:val="auto"/>
                <w:w w:val="99"/>
              </w:rPr>
              <w:t>Value</w:t>
            </w:r>
          </w:p>
        </w:tc>
        <w:tc>
          <w:tcPr>
            <w:tcW w:w="1240" w:type="dxa"/>
            <w:vAlign w:val="bottom"/>
          </w:tcPr>
          <w:p>
            <w:pPr>
              <w:jc w:val="right"/>
              <w:ind w:right="343"/>
              <w:spacing w:after="0" w:line="115" w:lineRule="exact"/>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w w:val="99"/>
              </w:rPr>
              <w:t>Value</w:t>
            </w:r>
          </w:p>
        </w:tc>
        <w:tc>
          <w:tcPr>
            <w:tcW w:w="1240" w:type="dxa"/>
            <w:vAlign w:val="bottom"/>
          </w:tcPr>
          <w:p>
            <w:pPr>
              <w:jc w:val="right"/>
              <w:ind w:right="343"/>
              <w:spacing w:after="0" w:line="115" w:lineRule="exact"/>
              <w:rPr>
                <w:sz w:val="20"/>
                <w:szCs w:val="20"/>
                <w:color w:val="auto"/>
              </w:rPr>
            </w:pPr>
            <w:r>
              <w:rPr>
                <w:rFonts w:ascii="Arial" w:cs="Arial" w:eastAsia="Arial" w:hAnsi="Arial"/>
                <w:sz w:val="11"/>
                <w:szCs w:val="11"/>
                <w:color w:val="auto"/>
              </w:rPr>
              <w:t>Shares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143"/>
              <w:spacing w:after="0" w:line="115" w:lineRule="exact"/>
              <w:rPr>
                <w:sz w:val="20"/>
                <w:szCs w:val="20"/>
                <w:color w:val="auto"/>
              </w:rPr>
            </w:pPr>
            <w:r>
              <w:rPr>
                <w:rFonts w:ascii="Arial" w:cs="Arial" w:eastAsia="Arial" w:hAnsi="Arial"/>
                <w:sz w:val="11"/>
                <w:szCs w:val="11"/>
                <w:color w:val="auto"/>
                <w:w w:val="99"/>
              </w:rPr>
              <w:t>Value</w:t>
            </w: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5"/>
        </w:trPr>
        <w:tc>
          <w:tcPr>
            <w:tcW w:w="2880" w:type="dxa"/>
            <w:vAlign w:val="bottom"/>
            <w:gridSpan w:val="4"/>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Restricted Stock Units / Shares</w:t>
            </w: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68"/>
        </w:trPr>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Outstanding at January 1</w:t>
            </w:r>
          </w:p>
        </w:tc>
        <w:tc>
          <w:tcPr>
            <w:tcW w:w="1180" w:type="dxa"/>
            <w:vAlign w:val="bottom"/>
            <w:tcBorders>
              <w:top w:val="single" w:sz="8" w:color="CCEEFF"/>
            </w:tcBorders>
            <w:gridSpan w:val="2"/>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2,399</w:t>
            </w:r>
          </w:p>
        </w:tc>
        <w:tc>
          <w:tcPr>
            <w:tcW w:w="38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CCEEFF"/>
            </w:tcBorders>
          </w:tcPr>
          <w:p>
            <w:pPr>
              <w:jc w:val="right"/>
              <w:ind w:right="103"/>
              <w:spacing w:after="0"/>
              <w:rPr>
                <w:sz w:val="20"/>
                <w:szCs w:val="20"/>
                <w:color w:val="auto"/>
              </w:rPr>
            </w:pPr>
            <w:r>
              <w:rPr>
                <w:rFonts w:ascii="Arial" w:cs="Arial" w:eastAsia="Arial" w:hAnsi="Arial"/>
                <w:sz w:val="11"/>
                <w:szCs w:val="11"/>
                <w:color w:val="auto"/>
              </w:rPr>
              <w:t>16.90</w:t>
            </w:r>
          </w:p>
        </w:tc>
        <w:tc>
          <w:tcPr>
            <w:tcW w:w="8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ind w:right="3"/>
              <w:spacing w:after="0"/>
              <w:rPr>
                <w:sz w:val="20"/>
                <w:szCs w:val="20"/>
                <w:color w:val="auto"/>
              </w:rPr>
            </w:pPr>
            <w:r>
              <w:rPr>
                <w:rFonts w:ascii="Arial" w:cs="Arial" w:eastAsia="Arial" w:hAnsi="Arial"/>
                <w:sz w:val="11"/>
                <w:szCs w:val="11"/>
                <w:color w:val="auto"/>
              </w:rPr>
              <w:t>3,125</w:t>
            </w:r>
          </w:p>
        </w:tc>
        <w:tc>
          <w:tcPr>
            <w:tcW w:w="38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CCEEFF"/>
            </w:tcBorders>
          </w:tcPr>
          <w:p>
            <w:pPr>
              <w:jc w:val="right"/>
              <w:ind w:right="83"/>
              <w:spacing w:after="0"/>
              <w:rPr>
                <w:sz w:val="20"/>
                <w:szCs w:val="20"/>
                <w:color w:val="auto"/>
              </w:rPr>
            </w:pPr>
            <w:r>
              <w:rPr>
                <w:rFonts w:ascii="Arial" w:cs="Arial" w:eastAsia="Arial" w:hAnsi="Arial"/>
                <w:sz w:val="11"/>
                <w:szCs w:val="11"/>
                <w:color w:val="auto"/>
              </w:rPr>
              <w:t>16.29</w:t>
            </w:r>
          </w:p>
        </w:tc>
        <w:tc>
          <w:tcPr>
            <w:tcW w:w="1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ind w:right="3"/>
              <w:spacing w:after="0"/>
              <w:rPr>
                <w:sz w:val="20"/>
                <w:szCs w:val="20"/>
                <w:color w:val="auto"/>
              </w:rPr>
            </w:pPr>
            <w:r>
              <w:rPr>
                <w:rFonts w:ascii="Arial" w:cs="Arial" w:eastAsia="Arial" w:hAnsi="Arial"/>
                <w:sz w:val="11"/>
                <w:szCs w:val="11"/>
                <w:color w:val="auto"/>
              </w:rPr>
              <w:t>1,961</w:t>
            </w:r>
          </w:p>
        </w:tc>
        <w:tc>
          <w:tcPr>
            <w:tcW w:w="38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CCEEFF"/>
            </w:tcBorders>
          </w:tcPr>
          <w:p>
            <w:pPr>
              <w:jc w:val="right"/>
              <w:ind w:right="103"/>
              <w:spacing w:after="0"/>
              <w:rPr>
                <w:sz w:val="20"/>
                <w:szCs w:val="20"/>
                <w:color w:val="auto"/>
              </w:rPr>
            </w:pPr>
            <w:r>
              <w:rPr>
                <w:rFonts w:ascii="Arial" w:cs="Arial" w:eastAsia="Arial" w:hAnsi="Arial"/>
                <w:sz w:val="11"/>
                <w:szCs w:val="11"/>
                <w:color w:val="auto"/>
              </w:rPr>
              <w:t>13.99</w:t>
            </w:r>
          </w:p>
        </w:tc>
      </w:tr>
      <w:tr>
        <w:trPr>
          <w:trHeight w:val="177"/>
        </w:trPr>
        <w:tc>
          <w:tcPr>
            <w:tcW w:w="28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12.57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18.82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16.75</w:t>
            </w:r>
          </w:p>
        </w:tc>
      </w:tr>
      <w:tr>
        <w:trPr>
          <w:trHeight w:val="168"/>
        </w:trPr>
        <w:tc>
          <w:tcPr>
            <w:tcW w:w="2880" w:type="dxa"/>
            <w:vAlign w:val="bottom"/>
            <w:gridSpan w:val="4"/>
          </w:tcPr>
          <w:p>
            <w:pPr>
              <w:spacing w:after="0"/>
              <w:rPr>
                <w:sz w:val="20"/>
                <w:szCs w:val="20"/>
                <w:color w:val="auto"/>
              </w:rPr>
            </w:pPr>
            <w:r>
              <w:rPr>
                <w:rFonts w:ascii="Arial" w:cs="Arial" w:eastAsia="Arial" w:hAnsi="Arial"/>
                <w:sz w:val="11"/>
                <w:szCs w:val="11"/>
                <w:color w:val="auto"/>
              </w:rPr>
              <w:t>Vested</w:t>
            </w:r>
          </w:p>
        </w:tc>
        <w:tc>
          <w:tcPr>
            <w:tcW w:w="1240" w:type="dxa"/>
            <w:vAlign w:val="bottom"/>
          </w:tcPr>
          <w:p>
            <w:pPr>
              <w:jc w:val="right"/>
              <w:spacing w:after="0"/>
              <w:rPr>
                <w:sz w:val="20"/>
                <w:szCs w:val="20"/>
                <w:color w:val="auto"/>
              </w:rPr>
            </w:pPr>
            <w:r>
              <w:rPr>
                <w:rFonts w:ascii="Arial" w:cs="Arial" w:eastAsia="Arial" w:hAnsi="Arial"/>
                <w:sz w:val="11"/>
                <w:szCs w:val="11"/>
                <w:color w:val="auto"/>
              </w:rPr>
              <w:t>(2,135)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15.54</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(1,501)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17.30</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19.98</w:t>
            </w:r>
          </w:p>
        </w:tc>
      </w:tr>
      <w:tr>
        <w:trPr>
          <w:trHeight w:val="172"/>
        </w:trPr>
        <w:tc>
          <w:tcPr>
            <w:tcW w:w="28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Canceled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15.68</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(471)</w:t>
            </w: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16.62</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15.88</w:t>
            </w:r>
          </w:p>
        </w:tc>
      </w:tr>
      <w:tr>
        <w:trPr>
          <w:trHeight w:val="168"/>
        </w:trPr>
        <w:tc>
          <w:tcPr>
            <w:tcW w:w="2880" w:type="dxa"/>
            <w:vAlign w:val="bottom"/>
            <w:gridSpan w:val="4"/>
          </w:tcPr>
          <w:p>
            <w:pPr>
              <w:spacing w:after="0"/>
              <w:rPr>
                <w:sz w:val="20"/>
                <w:szCs w:val="20"/>
                <w:color w:val="auto"/>
              </w:rPr>
            </w:pPr>
            <w:r>
              <w:rPr>
                <w:rFonts w:ascii="Arial" w:cs="Arial" w:eastAsia="Arial" w:hAnsi="Arial"/>
                <w:sz w:val="11"/>
                <w:szCs w:val="11"/>
                <w:b w:val="1"/>
                <w:bCs w:val="1"/>
                <w:color w:val="auto"/>
              </w:rPr>
              <w:t>Outstanding at December 31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13.07</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2,399</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16.90</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3,125</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16.29</w:t>
            </w: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66"/>
        </w:trPr>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46"/>
        </w:trPr>
        <w:tc>
          <w:tcPr>
            <w:tcW w:w="2880" w:type="dxa"/>
            <w:vAlign w:val="bottom"/>
            <w:gridSpan w:val="4"/>
          </w:tcPr>
          <w:p>
            <w:pPr>
              <w:spacing w:after="0"/>
              <w:rPr>
                <w:sz w:val="20"/>
                <w:szCs w:val="20"/>
                <w:color w:val="auto"/>
              </w:rPr>
            </w:pPr>
            <w:r>
              <w:rPr>
                <w:rFonts w:ascii="Arial" w:cs="Arial" w:eastAsia="Arial" w:hAnsi="Arial"/>
                <w:sz w:val="11"/>
                <w:szCs w:val="11"/>
                <w:b w:val="1"/>
                <w:bCs w:val="1"/>
                <w:color w:val="auto"/>
              </w:rPr>
              <w:t>Performance Stock Units / Shares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8"/>
        </w:trPr>
        <w:tc>
          <w:tcPr>
            <w:tcW w:w="18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Outstanding at January 1</w:t>
            </w:r>
          </w:p>
        </w:tc>
        <w:tc>
          <w:tcPr>
            <w:tcW w:w="10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4,557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16.76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5,429</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16.55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4,926</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13.99</w:t>
            </w:r>
          </w:p>
        </w:tc>
      </w:tr>
      <w:tr>
        <w:trPr>
          <w:trHeight w:val="168"/>
        </w:trPr>
        <w:tc>
          <w:tcPr>
            <w:tcW w:w="2880" w:type="dxa"/>
            <w:vAlign w:val="bottom"/>
            <w:gridSpan w:val="4"/>
          </w:tcPr>
          <w:p>
            <w:pPr>
              <w:spacing w:after="0"/>
              <w:rPr>
                <w:sz w:val="20"/>
                <w:szCs w:val="20"/>
                <w:color w:val="auto"/>
              </w:rPr>
            </w:pPr>
            <w:r>
              <w:rPr>
                <w:rFonts w:ascii="Arial" w:cs="Arial" w:eastAsia="Arial" w:hAnsi="Arial"/>
                <w:sz w:val="11"/>
                <w:szCs w:val="11"/>
                <w:color w:val="auto"/>
              </w:rPr>
              <w:t>Granted</w:t>
            </w:r>
          </w:p>
        </w:tc>
        <w:tc>
          <w:tcPr>
            <w:tcW w:w="1240" w:type="dxa"/>
            <w:vAlign w:val="bottom"/>
          </w:tcPr>
          <w:p>
            <w:pPr>
              <w:jc w:val="right"/>
              <w:spacing w:after="0"/>
              <w:rPr>
                <w:sz w:val="20"/>
                <w:szCs w:val="20"/>
                <w:color w:val="auto"/>
              </w:rPr>
            </w:pPr>
            <w:r>
              <w:rPr>
                <w:rFonts w:ascii="Arial" w:cs="Arial" w:eastAsia="Arial" w:hAnsi="Arial"/>
                <w:sz w:val="11"/>
                <w:szCs w:val="11"/>
                <w:color w:val="auto"/>
              </w:rPr>
              <w:t>1,229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13.35</w:t>
            </w:r>
          </w:p>
        </w:tc>
        <w:tc>
          <w:tcPr>
            <w:tcW w:w="8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730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18.64</w:t>
            </w:r>
          </w:p>
        </w:tc>
        <w:tc>
          <w:tcPr>
            <w:tcW w:w="10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3,933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16.76</w:t>
            </w:r>
          </w:p>
        </w:tc>
      </w:tr>
      <w:tr>
        <w:trPr>
          <w:trHeight w:val="177"/>
        </w:trPr>
        <w:tc>
          <w:tcPr>
            <w:tcW w:w="28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15.64</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17.12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19.67</w:t>
            </w:r>
          </w:p>
        </w:tc>
      </w:tr>
      <w:tr>
        <w:trPr>
          <w:trHeight w:val="168"/>
        </w:trPr>
        <w:tc>
          <w:tcPr>
            <w:tcW w:w="2880" w:type="dxa"/>
            <w:vAlign w:val="bottom"/>
            <w:tcBorders>
              <w:bottom w:val="single" w:sz="8" w:color="CCEEFF"/>
            </w:tcBorders>
            <w:gridSpan w:val="4"/>
          </w:tcPr>
          <w:p>
            <w:pPr>
              <w:spacing w:after="0"/>
              <w:rPr>
                <w:sz w:val="20"/>
                <w:szCs w:val="20"/>
                <w:color w:val="auto"/>
              </w:rPr>
            </w:pPr>
            <w:r>
              <w:rPr>
                <w:rFonts w:ascii="Arial" w:cs="Arial" w:eastAsia="Arial" w:hAnsi="Arial"/>
                <w:sz w:val="11"/>
                <w:szCs w:val="11"/>
                <w:color w:val="auto"/>
              </w:rPr>
              <w:t>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ind w:right="103"/>
              <w:spacing w:after="0"/>
              <w:rPr>
                <w:sz w:val="20"/>
                <w:szCs w:val="20"/>
                <w:color w:val="auto"/>
              </w:rPr>
            </w:pPr>
            <w:r>
              <w:rPr>
                <w:rFonts w:ascii="Arial" w:cs="Arial" w:eastAsia="Arial" w:hAnsi="Arial"/>
                <w:sz w:val="11"/>
                <w:szCs w:val="11"/>
                <w:color w:val="auto"/>
              </w:rPr>
              <w:t>16.00</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ind w:right="83"/>
              <w:spacing w:after="0"/>
              <w:rPr>
                <w:sz w:val="20"/>
                <w:szCs w:val="20"/>
                <w:color w:val="auto"/>
              </w:rPr>
            </w:pPr>
            <w:r>
              <w:rPr>
                <w:rFonts w:ascii="Arial" w:cs="Arial" w:eastAsia="Arial" w:hAnsi="Arial"/>
                <w:sz w:val="11"/>
                <w:szCs w:val="11"/>
                <w:color w:val="auto"/>
              </w:rPr>
              <w:t>16.59</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ind w:right="103"/>
              <w:spacing w:after="0"/>
              <w:rPr>
                <w:sz w:val="20"/>
                <w:szCs w:val="20"/>
                <w:color w:val="auto"/>
              </w:rPr>
            </w:pPr>
            <w:r>
              <w:rPr>
                <w:rFonts w:ascii="Arial" w:cs="Arial" w:eastAsia="Arial" w:hAnsi="Arial"/>
                <w:sz w:val="11"/>
                <w:szCs w:val="11"/>
                <w:color w:val="auto"/>
              </w:rPr>
              <w:t>17.46</w:t>
            </w:r>
          </w:p>
        </w:tc>
      </w:tr>
      <w:tr>
        <w:trPr>
          <w:trHeight w:val="193"/>
        </w:trPr>
        <w:tc>
          <w:tcPr>
            <w:tcW w:w="2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Outstanding at December 31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3,597</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1"/>
                <w:szCs w:val="11"/>
                <w:color w:val="auto"/>
              </w:rPr>
              <w:t>16.17</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4,557</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16.76</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5,429</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1"/>
                <w:szCs w:val="11"/>
                <w:color w:val="auto"/>
              </w:rPr>
              <w:t>16.55</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The Company issued 182 thousand Deferred Stock Units (DSU) to non-employee members of the Board of Directors. These DSUs are fully vested and will be issued when the directors leave the Board.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total unrecognized compensation cost related to non-vested stock-based awards at December 31, 2019 was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Awards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jc w:val="right"/>
              <w:spacing w:after="0"/>
              <w:rPr>
                <w:sz w:val="20"/>
                <w:szCs w:val="20"/>
                <w:color w:val="auto"/>
              </w:rPr>
            </w:pPr>
            <w:r>
              <w:rPr>
                <w:rFonts w:ascii="Arial" w:cs="Arial" w:eastAsia="Arial" w:hAnsi="Arial"/>
                <w:sz w:val="11"/>
                <w:szCs w:val="11"/>
                <w:color w:val="auto"/>
              </w:rPr>
              <w:t>Remaining Weighted-Average Vesting Period</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rPr>
              <w:t>Unrecognized Compensation</w:t>
            </w:r>
          </w:p>
        </w:tc>
        <w:tc>
          <w:tcPr>
            <w:tcW w:w="100" w:type="dxa"/>
            <w:vAlign w:val="bottom"/>
            <w:tcBorders>
              <w:bottom w:val="single" w:sz="8" w:color="CCEEFF"/>
            </w:tcBorders>
          </w:tcPr>
          <w:p>
            <w:pPr>
              <w:spacing w:after="0"/>
              <w:rPr>
                <w:sz w:val="12"/>
                <w:szCs w:val="12"/>
                <w:color w:val="auto"/>
              </w:rPr>
            </w:pPr>
          </w:p>
        </w:tc>
        <w:tc>
          <w:tcPr>
            <w:tcW w:w="2380" w:type="dxa"/>
            <w:vAlign w:val="bottom"/>
            <w:tcBorders>
              <w:bottom w:val="single" w:sz="8" w:color="auto"/>
            </w:tcBorders>
          </w:tcPr>
          <w:p>
            <w:pPr>
              <w:jc w:val="right"/>
              <w:ind w:right="963"/>
              <w:spacing w:after="0"/>
              <w:rPr>
                <w:sz w:val="20"/>
                <w:szCs w:val="20"/>
                <w:color w:val="auto"/>
              </w:rPr>
            </w:pPr>
            <w:r>
              <w:rPr>
                <w:rFonts w:ascii="Arial" w:cs="Arial" w:eastAsia="Arial" w:hAnsi="Arial"/>
                <w:sz w:val="11"/>
                <w:szCs w:val="11"/>
                <w:color w:val="auto"/>
              </w:rPr>
              <w:t>(Years)</w:t>
            </w:r>
          </w:p>
        </w:tc>
        <w:tc>
          <w:tcPr>
            <w:tcW w:w="0" w:type="dxa"/>
            <w:vAlign w:val="bottom"/>
          </w:tcPr>
          <w:p>
            <w:pPr>
              <w:spacing w:after="0"/>
              <w:rPr>
                <w:sz w:val="1"/>
                <w:szCs w:val="1"/>
                <w:color w:val="auto"/>
              </w:rPr>
            </w:pPr>
          </w:p>
        </w:tc>
      </w:tr>
      <w:tr>
        <w:trPr>
          <w:trHeight w:val="168"/>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21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8"/>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Performance Stock Units / Shares</w:t>
            </w: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w:t>
            </w:r>
          </w:p>
        </w:tc>
        <w:tc>
          <w:tcPr>
            <w:tcW w:w="2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9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2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The aggregate intrinsic value of outstanding RSUs and PSUs awards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Awards</w:t>
            </w:r>
          </w:p>
        </w:tc>
        <w:tc>
          <w:tcPr>
            <w:tcW w:w="3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color w:val="auto"/>
              </w:rPr>
              <w:t>December 31, 2019</w:t>
            </w:r>
          </w:p>
        </w:tc>
      </w:tr>
      <w:tr>
        <w:trPr>
          <w:trHeight w:val="168"/>
        </w:trPr>
        <w:tc>
          <w:tcPr>
            <w:tcW w:w="9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2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r>
      <w:tr>
        <w:trPr>
          <w:trHeight w:val="163"/>
        </w:trPr>
        <w:tc>
          <w:tcPr>
            <w:tcW w:w="9080" w:type="dxa"/>
            <w:vAlign w:val="bottom"/>
          </w:tcPr>
          <w:p>
            <w:pPr>
              <w:ind w:left="20"/>
              <w:spacing w:after="0"/>
              <w:rPr>
                <w:sz w:val="20"/>
                <w:szCs w:val="20"/>
                <w:color w:val="auto"/>
              </w:rPr>
            </w:pPr>
            <w:r>
              <w:rPr>
                <w:rFonts w:ascii="Arial" w:cs="Arial" w:eastAsia="Arial" w:hAnsi="Arial"/>
                <w:sz w:val="11"/>
                <w:szCs w:val="11"/>
                <w:color w:val="auto"/>
              </w:rPr>
              <w:t>Performance Stock Units / Shares</w:t>
            </w:r>
          </w:p>
        </w:tc>
        <w:tc>
          <w:tcPr>
            <w:tcW w:w="380" w:type="dxa"/>
            <w:vAlign w:val="bottom"/>
          </w:tcPr>
          <w:p>
            <w:pPr>
              <w:spacing w:after="0"/>
              <w:rPr>
                <w:sz w:val="14"/>
                <w:szCs w:val="14"/>
                <w:color w:val="auto"/>
              </w:rPr>
            </w:pPr>
          </w:p>
        </w:tc>
        <w:tc>
          <w:tcPr>
            <w:tcW w:w="2000" w:type="dxa"/>
            <w:vAlign w:val="bottom"/>
          </w:tcPr>
          <w:p>
            <w:pPr>
              <w:jc w:val="right"/>
              <w:ind w:right="83"/>
              <w:spacing w:after="0"/>
              <w:rPr>
                <w:sz w:val="20"/>
                <w:szCs w:val="20"/>
                <w:color w:val="auto"/>
              </w:rPr>
            </w:pPr>
            <w:r>
              <w:rPr>
                <w:rFonts w:ascii="Arial" w:cs="Arial" w:eastAsia="Arial" w:hAnsi="Arial"/>
                <w:sz w:val="11"/>
                <w:szCs w:val="11"/>
                <w:color w:val="auto"/>
              </w:rPr>
              <w:t>22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and actual tax benefit realized for vested and exercised stock-based awards were as follows:</w:t>
      </w: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142"/>
        </w:trPr>
        <w:tc>
          <w:tcPr>
            <w:tcW w:w="202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color w:val="auto"/>
              </w:rPr>
              <w:t>December 31, 2019</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December 31, 2018</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December 31, 2017</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50"/>
        </w:trPr>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2"/>
        </w:trPr>
        <w:tc>
          <w:tcPr>
            <w:tcW w:w="19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Awards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auto"/>
              </w:rPr>
              <w:t>Cash Received</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Tax Benefit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Cash Received</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Tax Benefit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Cash Received</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Tax Benefit</w:t>
            </w:r>
          </w:p>
        </w:tc>
      </w:tr>
      <w:tr>
        <w:trPr>
          <w:trHeight w:val="168"/>
        </w:trPr>
        <w:tc>
          <w:tcPr>
            <w:tcW w:w="2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Stock Units /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r>
      <w:tr>
        <w:trPr>
          <w:trHeight w:val="168"/>
        </w:trPr>
        <w:tc>
          <w:tcPr>
            <w:tcW w:w="2020" w:type="dxa"/>
            <w:vAlign w:val="bottom"/>
            <w:gridSpan w:val="2"/>
          </w:tcPr>
          <w:p>
            <w:pPr>
              <w:spacing w:after="0"/>
              <w:rPr>
                <w:sz w:val="20"/>
                <w:szCs w:val="20"/>
                <w:color w:val="auto"/>
              </w:rPr>
            </w:pPr>
            <w:r>
              <w:rPr>
                <w:rFonts w:ascii="Arial" w:cs="Arial" w:eastAsia="Arial" w:hAnsi="Arial"/>
                <w:sz w:val="11"/>
                <w:szCs w:val="11"/>
                <w:color w:val="auto"/>
              </w:rPr>
              <w:t>Performance Stock Units / Shares</w:t>
            </w:r>
          </w:p>
        </w:tc>
        <w:tc>
          <w:tcPr>
            <w:tcW w:w="100" w:type="dxa"/>
            <w:vAlign w:val="bottom"/>
          </w:tcPr>
          <w:p>
            <w:pPr>
              <w:spacing w:after="0"/>
              <w:rPr>
                <w:sz w:val="14"/>
                <w:szCs w:val="14"/>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10</w:t>
            </w:r>
          </w:p>
        </w:tc>
      </w:tr>
      <w:tr>
        <w:trPr>
          <w:trHeight w:val="177"/>
        </w:trPr>
        <w:tc>
          <w:tcPr>
            <w:tcW w:w="2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 Options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19 – Other Comprehensive Income (Loss)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 is comprised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6"/>
          </w:tcPr>
          <w:p>
            <w:pPr>
              <w:ind w:left="320"/>
              <w:spacing w:after="0"/>
              <w:rPr>
                <w:sz w:val="20"/>
                <w:szCs w:val="20"/>
                <w:color w:val="auto"/>
              </w:rPr>
            </w:pPr>
            <w:r>
              <w:rPr>
                <w:rFonts w:ascii="Arial" w:cs="Arial" w:eastAsia="Arial" w:hAnsi="Arial"/>
                <w:sz w:val="11"/>
                <w:szCs w:val="11"/>
                <w:color w:val="auto"/>
              </w:rPr>
              <w:t>Year Ended December 31,</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1"/>
                <w:szCs w:val="11"/>
                <w:color w:val="auto"/>
                <w:w w:val="97"/>
              </w:rPr>
              <w:t>2019</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1"/>
                <w:szCs w:val="11"/>
                <w:color w:val="auto"/>
                <w:w w:val="97"/>
              </w:rPr>
              <w:t>2018</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1"/>
                <w:szCs w:val="11"/>
                <w:color w:val="auto"/>
              </w:rPr>
              <w:t>2017</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1"/>
                <w:szCs w:val="11"/>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color w:val="auto"/>
              </w:rPr>
              <w:t>Pre-tax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40"/>
              <w:spacing w:after="0"/>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1"/>
                <w:szCs w:val="11"/>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color w:val="auto"/>
              </w:rPr>
              <w:t>Pre-tax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40"/>
              <w:spacing w:after="0"/>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1"/>
                <w:szCs w:val="11"/>
                <w:color w:val="auto"/>
              </w:rPr>
            </w:pP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Pre-tax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Net of Tax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 w:type="dxa"/>
            <w:vAlign w:val="bottom"/>
            <w:tcBorders>
              <w:right w:val="single" w:sz="8" w:color="CCEEFF"/>
            </w:tcBorders>
          </w:tcPr>
          <w:p>
            <w:pPr>
              <w:spacing w:after="0"/>
              <w:rPr>
                <w:sz w:val="12"/>
                <w:szCs w:val="12"/>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Currency Translation</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860" w:type="dxa"/>
            <w:vAlign w:val="bottom"/>
            <w:gridSpan w:val="2"/>
          </w:tcPr>
          <w:p>
            <w:pPr>
              <w:ind w:left="140"/>
              <w:spacing w:after="0"/>
              <w:rPr>
                <w:sz w:val="20"/>
                <w:szCs w:val="20"/>
                <w:color w:val="auto"/>
              </w:rPr>
            </w:pPr>
            <w:r>
              <w:rPr>
                <w:rFonts w:ascii="Arial" w:cs="Arial" w:eastAsia="Arial" w:hAnsi="Arial"/>
                <w:sz w:val="11"/>
                <w:szCs w:val="11"/>
                <w:color w:val="auto"/>
              </w:rPr>
              <w:t>Currency translation adjustments, net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(31)</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35</w:t>
            </w:r>
          </w:p>
        </w:tc>
        <w:tc>
          <w:tcPr>
            <w:tcW w:w="40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38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Reclassification of currency translation adjustments on divestitures</w:t>
            </w: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1"/>
                <w:szCs w:val="11"/>
                <w:color w:val="auto"/>
              </w:rPr>
              <w:t>Translation adjustments gains(losses)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18</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11</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35</w:t>
            </w:r>
          </w:p>
        </w:tc>
        <w:tc>
          <w:tcPr>
            <w:tcW w:w="40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7"/>
        </w:trPr>
        <w:tc>
          <w:tcPr>
            <w:tcW w:w="40" w:type="dxa"/>
            <w:vAlign w:val="bottom"/>
            <w:tcBorders>
              <w:right w:val="single" w:sz="8" w:color="CCEEFF"/>
            </w:tcBorders>
          </w:tcPr>
          <w:p>
            <w:pPr>
              <w:spacing w:after="0"/>
              <w:rPr>
                <w:sz w:val="13"/>
                <w:szCs w:val="13"/>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Unrealized Gains (Losses)</w:t>
            </w: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860" w:type="dxa"/>
            <w:vAlign w:val="bottom"/>
            <w:gridSpan w:val="2"/>
          </w:tcPr>
          <w:p>
            <w:pPr>
              <w:ind w:left="140"/>
              <w:spacing w:after="0"/>
              <w:rPr>
                <w:sz w:val="20"/>
                <w:szCs w:val="20"/>
                <w:color w:val="auto"/>
              </w:rPr>
            </w:pPr>
            <w:r>
              <w:rPr>
                <w:rFonts w:ascii="Arial" w:cs="Arial" w:eastAsia="Arial" w:hAnsi="Arial"/>
                <w:sz w:val="11"/>
                <w:szCs w:val="11"/>
                <w:color w:val="auto"/>
              </w:rPr>
              <w:t>Changes in fair value of cash flow hedges gains (losses)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40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cash flow hedges reclassed to earnings</w:t>
            </w:r>
            <w:r>
              <w:rPr>
                <w:rFonts w:ascii="Arial" w:cs="Arial" w:eastAsia="Arial" w:hAnsi="Arial"/>
                <w:sz w:val="14"/>
                <w:szCs w:val="14"/>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Net Unrealized Gains (Losses)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38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w:t>
            </w:r>
          </w:p>
        </w:tc>
        <w:tc>
          <w:tcPr>
            <w:tcW w:w="400" w:type="dxa"/>
            <w:vAlign w:val="bottom"/>
            <w:gridSpan w:val="3"/>
          </w:tcPr>
          <w:p>
            <w:pPr>
              <w:jc w:val="right"/>
              <w:ind w:right="6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7"/>
        </w:trPr>
        <w:tc>
          <w:tcPr>
            <w:tcW w:w="40" w:type="dxa"/>
            <w:vAlign w:val="bottom"/>
            <w:tcBorders>
              <w:right w:val="single" w:sz="8" w:color="CCEEFF"/>
            </w:tcBorders>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3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Defined Benefit Plans Gains (Losses)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38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Reclassification of divested benefit plans and other</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860" w:type="dxa"/>
            <w:vAlign w:val="bottom"/>
            <w:gridSpan w:val="2"/>
          </w:tcPr>
          <w:p>
            <w:pPr>
              <w:ind w:left="140"/>
              <w:spacing w:after="0"/>
              <w:rPr>
                <w:sz w:val="20"/>
                <w:szCs w:val="20"/>
                <w:color w:val="auto"/>
              </w:rPr>
            </w:pPr>
            <w:r>
              <w:rPr>
                <w:rFonts w:ascii="Arial" w:cs="Arial" w:eastAsia="Arial" w:hAnsi="Arial"/>
                <w:sz w:val="11"/>
                <w:szCs w:val="11"/>
                <w:color w:val="auto"/>
              </w:rPr>
              <w:t>Net actuarial/prior service gains (losses)</w:t>
            </w:r>
          </w:p>
        </w:tc>
        <w:tc>
          <w:tcPr>
            <w:tcW w:w="2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Actuarial loss amortization/settlement</w:t>
            </w:r>
            <w:r>
              <w:rPr>
                <w:rFonts w:ascii="Arial" w:cs="Arial" w:eastAsia="Arial" w:hAnsi="Arial"/>
                <w:sz w:val="14"/>
                <w:szCs w:val="14"/>
                <w:color w:val="auto"/>
                <w:vertAlign w:val="superscript"/>
              </w:rPr>
              <w:t>(2)</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Other gains (losses)</w:t>
            </w:r>
            <w:r>
              <w:rPr>
                <w:rFonts w:ascii="Arial" w:cs="Arial" w:eastAsia="Arial" w:hAnsi="Arial"/>
                <w:sz w:val="14"/>
                <w:szCs w:val="14"/>
                <w:color w:val="auto"/>
                <w:vertAlign w:val="superscript"/>
              </w:rPr>
              <w:t>(3)</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8"/>
        </w:trPr>
        <w:tc>
          <w:tcPr>
            <w:tcW w:w="40" w:type="dxa"/>
            <w:vAlign w:val="bottom"/>
            <w:tcBorders>
              <w:right w:val="single" w:sz="8" w:color="CCEEFF"/>
            </w:tcBorders>
          </w:tcPr>
          <w:p>
            <w:pPr>
              <w:spacing w:after="0"/>
              <w:rPr>
                <w:sz w:val="13"/>
                <w:szCs w:val="13"/>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Changes in Defined Benefit Plans Gains (Losses)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40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CCEEFF"/>
            </w:tcBorders>
          </w:tcPr>
          <w:p>
            <w:pPr>
              <w:spacing w:after="0"/>
              <w:rPr>
                <w:sz w:val="15"/>
                <w:szCs w:val="15"/>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jc w:val="right"/>
              <w:ind w:right="2500"/>
              <w:spacing w:after="0"/>
              <w:rPr>
                <w:sz w:val="20"/>
                <w:szCs w:val="20"/>
                <w:color w:val="auto"/>
              </w:rPr>
            </w:pPr>
            <w:r>
              <w:rPr>
                <w:rFonts w:ascii="Arial" w:cs="Arial" w:eastAsia="Arial" w:hAnsi="Arial"/>
                <w:sz w:val="9"/>
                <w:szCs w:val="9"/>
                <w:i w:val="1"/>
                <w:iCs w:val="1"/>
                <w:color w:val="auto"/>
                <w:w w:val="95"/>
              </w:rPr>
              <w:t>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Reclassified to Cost of sales - refer to Note 12 – Financial Instruments for additional information regarding our cash flow hedges.</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Reclassified to total net periodic benefit cost.</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Primarily represents currency impact on cumulative amount of benefit plan net actuarial losses and prior service credits in AOCL.</w:t>
      </w:r>
    </w:p>
    <w:p>
      <w:pPr>
        <w:spacing w:after="0" w:line="200" w:lineRule="exact"/>
        <w:rPr>
          <w:sz w:val="20"/>
          <w:szCs w:val="20"/>
          <w:color w:val="auto"/>
        </w:rPr>
      </w:pPr>
    </w:p>
    <w:p>
      <w:pPr>
        <w:spacing w:after="0" w:line="250"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90" w:name="page91"/>
    <w:bookmarkEnd w:id="90"/>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Accumulated Other Comprehensive Loss (AOCL)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Below are the balances and changes in AOCL</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1"/>
                <w:szCs w:val="11"/>
                <w:color w:val="auto"/>
              </w:rPr>
              <w:t>Currency Translation</w:t>
            </w:r>
          </w:p>
        </w:tc>
        <w:tc>
          <w:tcPr>
            <w:tcW w:w="40" w:type="dxa"/>
            <w:vAlign w:val="bottom"/>
          </w:tcPr>
          <w:p>
            <w:pPr>
              <w:spacing w:after="0"/>
              <w:rPr>
                <w:sz w:val="11"/>
                <w:szCs w:val="11"/>
                <w:color w:val="auto"/>
              </w:rPr>
            </w:pPr>
          </w:p>
        </w:tc>
        <w:tc>
          <w:tcPr>
            <w:tcW w:w="1400" w:type="dxa"/>
            <w:vAlign w:val="bottom"/>
            <w:gridSpan w:val="4"/>
          </w:tcPr>
          <w:p>
            <w:pPr>
              <w:ind w:left="20"/>
              <w:spacing w:after="0"/>
              <w:rPr>
                <w:sz w:val="20"/>
                <w:szCs w:val="20"/>
                <w:color w:val="auto"/>
              </w:rPr>
            </w:pPr>
            <w:r>
              <w:rPr>
                <w:rFonts w:ascii="Arial" w:cs="Arial" w:eastAsia="Arial" w:hAnsi="Arial"/>
                <w:sz w:val="11"/>
                <w:szCs w:val="11"/>
                <w:color w:val="auto"/>
              </w:rPr>
              <w:t>Gains (Losses) on Cash</w:t>
            </w:r>
          </w:p>
        </w:tc>
        <w:tc>
          <w:tcPr>
            <w:tcW w:w="20" w:type="dxa"/>
            <w:vAlign w:val="bottom"/>
          </w:tcPr>
          <w:p>
            <w:pPr>
              <w:spacing w:after="0"/>
              <w:rPr>
                <w:sz w:val="11"/>
                <w:szCs w:val="11"/>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1"/>
                <w:szCs w:val="11"/>
                <w:color w:val="auto"/>
              </w:rPr>
              <w:t>Defined Benefit Pension</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4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0"/>
                <w:szCs w:val="10"/>
                <w:color w:val="auto"/>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1"/>
                <w:szCs w:val="11"/>
                <w:color w:val="auto"/>
              </w:rPr>
              <w:t>Adjustments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ind w:left="120"/>
              <w:spacing w:after="0"/>
              <w:rPr>
                <w:sz w:val="20"/>
                <w:szCs w:val="20"/>
                <w:color w:val="auto"/>
              </w:rPr>
            </w:pPr>
            <w:r>
              <w:rPr>
                <w:rFonts w:ascii="Arial" w:cs="Arial" w:eastAsia="Arial" w:hAnsi="Arial"/>
                <w:sz w:val="11"/>
                <w:szCs w:val="11"/>
                <w:color w:val="auto"/>
              </w:rPr>
              <w:t>Flow Hedges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1"/>
                <w:szCs w:val="11"/>
                <w:color w:val="auto"/>
              </w:rPr>
              <w:t>Items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503"/>
              <w:spacing w:after="0"/>
              <w:rPr>
                <w:sz w:val="20"/>
                <w:szCs w:val="20"/>
                <w:color w:val="auto"/>
              </w:rPr>
            </w:pPr>
            <w:r>
              <w:rPr>
                <w:rFonts w:ascii="Arial" w:cs="Arial" w:eastAsia="Arial" w:hAnsi="Arial"/>
                <w:sz w:val="11"/>
                <w:szCs w:val="11"/>
                <w:color w:val="auto"/>
              </w:rPr>
              <w:t>Total</w:t>
            </w:r>
          </w:p>
        </w:tc>
        <w:tc>
          <w:tcPr>
            <w:tcW w:w="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2018</w:t>
            </w: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(425)</w:t>
            </w: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740" w:type="dxa"/>
            <w:vAlign w:val="bottom"/>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4"/>
                <w:szCs w:val="14"/>
                <w:color w:val="auto"/>
              </w:rPr>
            </w:pPr>
          </w:p>
        </w:tc>
      </w:tr>
      <w:tr>
        <w:trPr>
          <w:trHeight w:val="163"/>
        </w:trPr>
        <w:tc>
          <w:tcPr>
            <w:tcW w:w="40" w:type="dxa"/>
            <w:vAlign w:val="bottom"/>
          </w:tcPr>
          <w:p>
            <w:pPr>
              <w:spacing w:after="0"/>
              <w:rPr>
                <w:sz w:val="14"/>
                <w:szCs w:val="14"/>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current period other comprehensive income (loss)</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18</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4"/>
                <w:szCs w:val="14"/>
                <w:color w:val="auto"/>
              </w:rPr>
            </w:pPr>
          </w:p>
        </w:tc>
      </w:tr>
      <w:tr>
        <w:trPr>
          <w:trHeight w:val="193"/>
        </w:trPr>
        <w:tc>
          <w:tcPr>
            <w:tcW w:w="40" w:type="dxa"/>
            <w:vAlign w:val="bottom"/>
          </w:tcPr>
          <w:p>
            <w:pPr>
              <w:spacing w:after="0"/>
              <w:rPr>
                <w:sz w:val="16"/>
                <w:szCs w:val="16"/>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2019</w:t>
            </w: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(408)</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(407)</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1"/>
                <w:szCs w:val="11"/>
                <w:color w:val="auto"/>
              </w:rPr>
              <w:t>Currency Translation</w:t>
            </w:r>
          </w:p>
        </w:tc>
        <w:tc>
          <w:tcPr>
            <w:tcW w:w="40" w:type="dxa"/>
            <w:vAlign w:val="bottom"/>
          </w:tcPr>
          <w:p>
            <w:pPr>
              <w:spacing w:after="0"/>
              <w:rPr>
                <w:sz w:val="24"/>
                <w:szCs w:val="2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1"/>
                <w:szCs w:val="11"/>
                <w:color w:val="auto"/>
              </w:rPr>
              <w:t>Gains (Losses) on Cash</w:t>
            </w:r>
          </w:p>
        </w:tc>
        <w:tc>
          <w:tcPr>
            <w:tcW w:w="20" w:type="dxa"/>
            <w:vAlign w:val="bottom"/>
          </w:tcPr>
          <w:p>
            <w:pPr>
              <w:spacing w:after="0"/>
              <w:rPr>
                <w:sz w:val="24"/>
                <w:szCs w:val="2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1"/>
                <w:szCs w:val="11"/>
                <w:color w:val="auto"/>
              </w:rPr>
              <w:t>Defined Benefit Pension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(in millions)</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color w:val="auto"/>
              </w:rPr>
              <w:t>Adjustments</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Flow Hedges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color w:val="auto"/>
              </w:rPr>
              <w:t>Items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rPr>
              <w:t>Total</w:t>
            </w:r>
          </w:p>
        </w:tc>
        <w:tc>
          <w:tcPr>
            <w:tcW w:w="20" w:type="dxa"/>
            <w:vAlign w:val="bottom"/>
            <w:tcBorders>
              <w:bottom w:val="single" w:sz="8" w:color="auto"/>
            </w:tcBorders>
          </w:tcPr>
          <w:p>
            <w:pPr>
              <w:spacing w:after="0"/>
              <w:rPr>
                <w:sz w:val="12"/>
                <w:szCs w:val="12"/>
                <w:color w:val="auto"/>
              </w:rPr>
            </w:pPr>
          </w:p>
        </w:tc>
      </w:tr>
      <w:tr>
        <w:trPr>
          <w:trHeight w:val="168"/>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(437)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(494)</w:t>
            </w:r>
          </w:p>
        </w:tc>
        <w:tc>
          <w:tcPr>
            <w:tcW w:w="20" w:type="dxa"/>
            <w:vAlign w:val="bottom"/>
            <w:shd w:val="clear" w:color="auto" w:fill="CCEEFF"/>
          </w:tcPr>
          <w:p>
            <w:pPr>
              <w:spacing w:after="0"/>
              <w:rPr>
                <w:sz w:val="14"/>
                <w:szCs w:val="14"/>
                <w:color w:val="auto"/>
              </w:rPr>
            </w:pPr>
          </w:p>
        </w:tc>
      </w:tr>
      <w:tr>
        <w:trPr>
          <w:trHeight w:val="168"/>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Reclassification of amounts impacted by Tax Reform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4"/>
                <w:szCs w:val="14"/>
                <w:color w:val="auto"/>
              </w:rPr>
            </w:pPr>
          </w:p>
        </w:tc>
      </w:tr>
      <w:tr>
        <w:trPr>
          <w:trHeight w:val="177"/>
        </w:trPr>
        <w:tc>
          <w:tcPr>
            <w:tcW w:w="40" w:type="dxa"/>
            <w:vAlign w:val="bottom"/>
            <w:shd w:val="clear" w:color="auto" w:fill="CCEEFF"/>
          </w:tcPr>
          <w:p>
            <w:pPr>
              <w:spacing w:after="0"/>
              <w:rPr>
                <w:sz w:val="15"/>
                <w:szCs w:val="15"/>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income (loss) before reclassifications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(30)</w:t>
            </w:r>
          </w:p>
        </w:tc>
        <w:tc>
          <w:tcPr>
            <w:tcW w:w="20" w:type="dxa"/>
            <w:vAlign w:val="bottom"/>
            <w:shd w:val="clear" w:color="auto" w:fill="CCEEFF"/>
          </w:tcPr>
          <w:p>
            <w:pPr>
              <w:spacing w:after="0"/>
              <w:rPr>
                <w:sz w:val="15"/>
                <w:szCs w:val="15"/>
                <w:color w:val="auto"/>
              </w:rPr>
            </w:pPr>
          </w:p>
        </w:tc>
      </w:tr>
      <w:tr>
        <w:trPr>
          <w:trHeight w:val="168"/>
        </w:trPr>
        <w:tc>
          <w:tcPr>
            <w:tcW w:w="4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1"/>
                <w:szCs w:val="11"/>
                <w:color w:val="auto"/>
              </w:rPr>
              <w:t>Amounts reclassified from accumulated other comprehensive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104</w:t>
            </w:r>
          </w:p>
        </w:tc>
        <w:tc>
          <w:tcPr>
            <w:tcW w:w="20" w:type="dxa"/>
            <w:vAlign w:val="bottom"/>
          </w:tcPr>
          <w:p>
            <w:pPr>
              <w:spacing w:after="0"/>
              <w:rPr>
                <w:sz w:val="14"/>
                <w:szCs w:val="14"/>
                <w:color w:val="auto"/>
              </w:rPr>
            </w:pPr>
          </w:p>
        </w:tc>
      </w:tr>
      <w:tr>
        <w:trPr>
          <w:trHeight w:val="16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current period other comprehensive income (loss)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62</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168"/>
        </w:trPr>
        <w:tc>
          <w:tcPr>
            <w:tcW w:w="578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43"/>
              <w:spacing w:after="0"/>
              <w:rPr>
                <w:sz w:val="20"/>
                <w:szCs w:val="20"/>
                <w:color w:val="auto"/>
              </w:rPr>
            </w:pPr>
            <w:r>
              <w:rPr>
                <w:rFonts w:ascii="Arial" w:cs="Arial" w:eastAsia="Arial" w:hAnsi="Arial"/>
                <w:sz w:val="11"/>
                <w:szCs w:val="11"/>
                <w:color w:val="auto"/>
              </w:rPr>
              <w:t>(426)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(425)</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1"/>
                <w:szCs w:val="11"/>
                <w:color w:val="auto"/>
              </w:rPr>
              <w:t>Currency Translation</w:t>
            </w:r>
          </w:p>
        </w:tc>
        <w:tc>
          <w:tcPr>
            <w:tcW w:w="40" w:type="dxa"/>
            <w:vAlign w:val="bottom"/>
          </w:tcPr>
          <w:p>
            <w:pPr>
              <w:spacing w:after="0"/>
              <w:rPr>
                <w:sz w:val="24"/>
                <w:szCs w:val="2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1"/>
                <w:szCs w:val="11"/>
                <w:color w:val="auto"/>
              </w:rPr>
              <w:t>Gains (Losses) on Cash</w:t>
            </w:r>
          </w:p>
        </w:tc>
        <w:tc>
          <w:tcPr>
            <w:tcW w:w="20" w:type="dxa"/>
            <w:vAlign w:val="bottom"/>
          </w:tcPr>
          <w:p>
            <w:pPr>
              <w:spacing w:after="0"/>
              <w:rPr>
                <w:sz w:val="24"/>
                <w:szCs w:val="2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1"/>
                <w:szCs w:val="11"/>
                <w:color w:val="auto"/>
              </w:rPr>
              <w:t>Defined Benefit Pension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(in millions)</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color w:val="auto"/>
              </w:rPr>
              <w:t>Adjustments</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Flow Hedges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color w:val="auto"/>
              </w:rPr>
              <w:t>Items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rPr>
              <w:t>Total</w:t>
            </w:r>
          </w:p>
        </w:tc>
        <w:tc>
          <w:tcPr>
            <w:tcW w:w="20" w:type="dxa"/>
            <w:vAlign w:val="bottom"/>
            <w:tcBorders>
              <w:bottom w:val="single" w:sz="8" w:color="auto"/>
            </w:tcBorders>
          </w:tcPr>
          <w:p>
            <w:pPr>
              <w:spacing w:after="0"/>
              <w:rPr>
                <w:sz w:val="12"/>
                <w:szCs w:val="12"/>
                <w:color w:val="auto"/>
              </w:rPr>
            </w:pPr>
          </w:p>
        </w:tc>
      </w:tr>
      <w:tr>
        <w:trPr>
          <w:trHeight w:val="168"/>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(472)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(526)</w:t>
            </w:r>
          </w:p>
        </w:tc>
        <w:tc>
          <w:tcPr>
            <w:tcW w:w="20" w:type="dxa"/>
            <w:vAlign w:val="bottom"/>
            <w:shd w:val="clear" w:color="auto" w:fill="CCEEFF"/>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1"/>
                <w:szCs w:val="11"/>
                <w:color w:val="auto"/>
              </w:rPr>
              <w:t>Other comprehensive income (loss) before reclassifications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14"/>
                <w:szCs w:val="14"/>
                <w:color w:val="auto"/>
              </w:rPr>
            </w:pPr>
          </w:p>
        </w:tc>
      </w:tr>
      <w:tr>
        <w:trPr>
          <w:trHeight w:val="172"/>
        </w:trPr>
        <w:tc>
          <w:tcPr>
            <w:tcW w:w="40" w:type="dxa"/>
            <w:vAlign w:val="bottom"/>
            <w:shd w:val="clear" w:color="auto" w:fill="CCEEFF"/>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Amounts reclassified from accumulated other comprehensive loss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r>
      <w:tr>
        <w:trPr>
          <w:trHeight w:val="163"/>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Net current period other comprehensive income (loss)</w:t>
            </w: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35</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32</w:t>
            </w:r>
          </w:p>
        </w:tc>
        <w:tc>
          <w:tcPr>
            <w:tcW w:w="20" w:type="dxa"/>
            <w:vAlign w:val="bottom"/>
            <w:tcBorders>
              <w:top w:val="single" w:sz="8" w:color="auto"/>
              <w:bottom w:val="single" w:sz="8" w:color="auto"/>
            </w:tcBorders>
          </w:tcPr>
          <w:p>
            <w:pPr>
              <w:spacing w:after="0"/>
              <w:rPr>
                <w:sz w:val="14"/>
                <w:szCs w:val="14"/>
                <w:color w:val="auto"/>
              </w:rPr>
            </w:pPr>
          </w:p>
        </w:tc>
      </w:tr>
      <w:tr>
        <w:trPr>
          <w:trHeight w:val="188"/>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(437)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(494)</w:t>
            </w:r>
          </w:p>
        </w:tc>
        <w:tc>
          <w:tcPr>
            <w:tcW w:w="20" w:type="dxa"/>
            <w:vAlign w:val="bottom"/>
            <w:shd w:val="clear" w:color="auto" w:fill="CCEEFF"/>
          </w:tcPr>
          <w:p>
            <w:pPr>
              <w:spacing w:after="0"/>
              <w:rPr>
                <w:sz w:val="16"/>
                <w:szCs w:val="16"/>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0"/>
          <w:szCs w:val="10"/>
          <w:color w:val="auto"/>
        </w:rPr>
        <w:t>__________</w:t>
      </w:r>
    </w:p>
    <w:p>
      <w:pPr>
        <w:spacing w:after="0" w:line="4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i w:val="1"/>
          <w:iCs w:val="1"/>
          <w:color w:val="auto"/>
        </w:rPr>
        <w:t>(1)</w:t>
        <w:tab/>
        <w:t>All amounts are net of tax. Tax effects were immaterial.</w:t>
      </w:r>
    </w:p>
    <w:p>
      <w:pPr>
        <w:spacing w:after="0" w:line="200" w:lineRule="exact"/>
        <w:rPr>
          <w:sz w:val="20"/>
          <w:szCs w:val="20"/>
          <w:color w:val="auto"/>
        </w:rPr>
      </w:pPr>
    </w:p>
    <w:p>
      <w:pPr>
        <w:spacing w:after="0" w:line="262"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20 – Earnings per Share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We did not declare any common stock dividends in the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earnings per share of common stock:</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20" w:type="dxa"/>
            <w:vAlign w:val="bottom"/>
            <w:gridSpan w:val="3"/>
          </w:tcPr>
          <w:p>
            <w:pPr>
              <w:ind w:left="20"/>
              <w:spacing w:after="0"/>
              <w:rPr>
                <w:sz w:val="20"/>
                <w:szCs w:val="20"/>
                <w:color w:val="auto"/>
              </w:rPr>
            </w:pPr>
            <w:r>
              <w:rPr>
                <w:rFonts w:ascii="Arial" w:cs="Arial" w:eastAsia="Arial" w:hAnsi="Arial"/>
                <w:sz w:val="10"/>
                <w:szCs w:val="10"/>
                <w:color w:val="auto"/>
              </w:rPr>
              <w:t>(in millions, except per share data. Shares in thousands)</w:t>
            </w:r>
          </w:p>
        </w:tc>
        <w:tc>
          <w:tcPr>
            <w:tcW w:w="380" w:type="dxa"/>
            <w:vAlign w:val="bottom"/>
          </w:tcPr>
          <w:p>
            <w:pPr>
              <w:spacing w:after="0"/>
              <w:rPr>
                <w:sz w:val="11"/>
                <w:szCs w:val="11"/>
                <w:color w:val="auto"/>
              </w:rPr>
            </w:pPr>
          </w:p>
        </w:tc>
        <w:tc>
          <w:tcPr>
            <w:tcW w:w="1260" w:type="dxa"/>
            <w:vAlign w:val="bottom"/>
          </w:tcPr>
          <w:p>
            <w:pPr>
              <w:jc w:val="right"/>
              <w:ind w:right="643"/>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right"/>
              <w:ind w:right="623"/>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jc w:val="right"/>
              <w:ind w:right="643"/>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per Share:</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gridSpan w:val="2"/>
          </w:tcPr>
          <w:p>
            <w:pPr>
              <w:ind w:left="140"/>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(1,934)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4"/>
                <w:szCs w:val="14"/>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Cash dividend paid - preferred stock</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8"/>
        </w:trPr>
        <w:tc>
          <w:tcPr>
            <w:tcW w:w="6320" w:type="dxa"/>
            <w:vAlign w:val="bottom"/>
            <w:gridSpan w:val="3"/>
          </w:tcPr>
          <w:p>
            <w:pPr>
              <w:ind w:left="20"/>
              <w:spacing w:after="0"/>
              <w:rPr>
                <w:sz w:val="20"/>
                <w:szCs w:val="20"/>
                <w:color w:val="auto"/>
              </w:rPr>
            </w:pPr>
            <w:r>
              <w:rPr>
                <w:rFonts w:ascii="Arial" w:cs="Arial" w:eastAsia="Arial" w:hAnsi="Arial"/>
                <w:sz w:val="11"/>
                <w:szCs w:val="11"/>
                <w:color w:val="auto"/>
              </w:rPr>
              <w:t>Adjusted Net Income (Loss) From Continuing Operations Available to Common Shareholders</w:t>
            </w:r>
          </w:p>
        </w:tc>
        <w:tc>
          <w:tcPr>
            <w:tcW w:w="380" w:type="dxa"/>
            <w:vAlign w:val="bottom"/>
          </w:tcPr>
          <w:p>
            <w:pPr>
              <w:spacing w:after="0"/>
              <w:rPr>
                <w:sz w:val="13"/>
                <w:szCs w:val="13"/>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(1,944)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Net income (loss) from discontinued operations</w:t>
            </w: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8"/>
        </w:trPr>
        <w:tc>
          <w:tcPr>
            <w:tcW w:w="6320" w:type="dxa"/>
            <w:vAlign w:val="bottom"/>
            <w:gridSpan w:val="3"/>
          </w:tcPr>
          <w:p>
            <w:pPr>
              <w:ind w:left="20"/>
              <w:spacing w:after="0"/>
              <w:rPr>
                <w:sz w:val="20"/>
                <w:szCs w:val="20"/>
                <w:color w:val="auto"/>
              </w:rPr>
            </w:pPr>
            <w:r>
              <w:rPr>
                <w:rFonts w:ascii="Arial" w:cs="Arial" w:eastAsia="Arial" w:hAnsi="Arial"/>
                <w:sz w:val="11"/>
                <w:szCs w:val="11"/>
                <w:color w:val="auto"/>
              </w:rPr>
              <w:t>Adjusted Net Income (Loss) Available to Common Shareholders</w:t>
            </w: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(1,944)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Weighted average common shares outstanding</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209,318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206,056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204,007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Basic Earnings (Loss) per Share: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gridSpan w:val="2"/>
          </w:tcPr>
          <w:p>
            <w:pPr>
              <w:ind w:left="140"/>
              <w:spacing w:after="0"/>
              <w:rPr>
                <w:sz w:val="20"/>
                <w:szCs w:val="20"/>
                <w:color w:val="auto"/>
              </w:rPr>
            </w:pPr>
            <w:r>
              <w:rPr>
                <w:rFonts w:ascii="Arial" w:cs="Arial" w:eastAsia="Arial" w:hAnsi="Arial"/>
                <w:sz w:val="11"/>
                <w:szCs w:val="11"/>
                <w:color w:val="auto"/>
              </w:rPr>
              <w:t>Continuing operations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(9.29)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4"/>
                <w:szCs w:val="14"/>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0.82</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Discontinued operations</w:t>
            </w: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59"/>
        </w:trPr>
        <w:tc>
          <w:tcPr>
            <w:tcW w:w="6320" w:type="dxa"/>
            <w:vAlign w:val="bottom"/>
            <w:gridSpan w:val="3"/>
          </w:tcPr>
          <w:p>
            <w:pPr>
              <w:ind w:left="20"/>
              <w:spacing w:after="0"/>
              <w:rPr>
                <w:sz w:val="20"/>
                <w:szCs w:val="20"/>
                <w:color w:val="auto"/>
              </w:rPr>
            </w:pPr>
            <w:r>
              <w:rPr>
                <w:rFonts w:ascii="Arial" w:cs="Arial" w:eastAsia="Arial" w:hAnsi="Arial"/>
                <w:sz w:val="11"/>
                <w:szCs w:val="11"/>
                <w:b w:val="1"/>
                <w:bCs w:val="1"/>
                <w:color w:val="auto"/>
              </w:rPr>
              <w:t>Basic Earnings (Loss) per Share</w:t>
            </w: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(9.29)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38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320" w:type="dxa"/>
            <w:vAlign w:val="bottom"/>
            <w:gridSpan w:val="3"/>
          </w:tcPr>
          <w:p>
            <w:pPr>
              <w:ind w:left="20"/>
              <w:spacing w:after="0"/>
              <w:rPr>
                <w:sz w:val="20"/>
                <w:szCs w:val="20"/>
                <w:color w:val="auto"/>
              </w:rPr>
            </w:pPr>
            <w:r>
              <w:rPr>
                <w:rFonts w:ascii="Arial" w:cs="Arial" w:eastAsia="Arial" w:hAnsi="Arial"/>
                <w:sz w:val="11"/>
                <w:szCs w:val="11"/>
                <w:b w:val="1"/>
                <w:bCs w:val="1"/>
                <w:color w:val="auto"/>
              </w:rPr>
              <w:t>Diluted Earnings (Loss) per Share: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Net income (loss) from continuing operations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Accrued dividends on preferred stock</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8"/>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Adjusted Net Income (Loss) From Continuing Operations Available to Common Shareholders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gridSpan w:val="2"/>
          </w:tcPr>
          <w:p>
            <w:pPr>
              <w:ind w:left="140"/>
              <w:spacing w:after="0"/>
              <w:rPr>
                <w:sz w:val="20"/>
                <w:szCs w:val="20"/>
                <w:color w:val="auto"/>
              </w:rPr>
            </w:pPr>
            <w:r>
              <w:rPr>
                <w:rFonts w:ascii="Arial" w:cs="Arial" w:eastAsia="Arial" w:hAnsi="Arial"/>
                <w:sz w:val="11"/>
                <w:szCs w:val="11"/>
                <w:color w:val="auto"/>
              </w:rPr>
              <w:t>Net income (loss) from discontinued operations</w:t>
            </w:r>
          </w:p>
        </w:tc>
        <w:tc>
          <w:tcPr>
            <w:tcW w:w="38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88"/>
        </w:trPr>
        <w:tc>
          <w:tcPr>
            <w:tcW w:w="6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Adjusted Net Income (Loss) Available to Common Shareholders</w:t>
            </w: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(1,944)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color w:val="auto"/>
              </w:rPr>
              <w:t>Weighted average common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2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209,318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206,056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204,007</w:t>
            </w:r>
          </w:p>
        </w:tc>
        <w:tc>
          <w:tcPr>
            <w:tcW w:w="0" w:type="dxa"/>
            <w:vAlign w:val="bottom"/>
          </w:tcPr>
          <w:p>
            <w:pPr>
              <w:spacing w:after="0"/>
              <w:rPr>
                <w:sz w:val="1"/>
                <w:szCs w:val="1"/>
                <w:color w:val="auto"/>
              </w:rPr>
            </w:pPr>
          </w:p>
        </w:tc>
      </w:tr>
      <w:tr>
        <w:trPr>
          <w:trHeight w:val="177"/>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Common shares issuable with respect to:</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gridSpan w:val="2"/>
          </w:tcPr>
          <w:p>
            <w:pPr>
              <w:ind w:left="140"/>
              <w:spacing w:after="0"/>
              <w:rPr>
                <w:sz w:val="20"/>
                <w:szCs w:val="20"/>
                <w:color w:val="auto"/>
              </w:rPr>
            </w:pPr>
            <w:r>
              <w:rPr>
                <w:rFonts w:ascii="Arial" w:cs="Arial" w:eastAsia="Arial" w:hAnsi="Arial"/>
                <w:sz w:val="11"/>
                <w:szCs w:val="11"/>
                <w:color w:val="auto"/>
              </w:rPr>
              <w:t>Stock options</w:t>
            </w:r>
          </w:p>
        </w:tc>
        <w:tc>
          <w:tcPr>
            <w:tcW w:w="38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Restricted stock and performance units / shares</w:t>
            </w: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gridSpan w:val="2"/>
          </w:tcPr>
          <w:p>
            <w:pPr>
              <w:ind w:left="140"/>
              <w:spacing w:after="0"/>
              <w:rPr>
                <w:sz w:val="20"/>
                <w:szCs w:val="20"/>
                <w:color w:val="auto"/>
              </w:rPr>
            </w:pPr>
            <w:r>
              <w:rPr>
                <w:rFonts w:ascii="Arial" w:cs="Arial" w:eastAsia="Arial" w:hAnsi="Arial"/>
                <w:sz w:val="11"/>
                <w:szCs w:val="11"/>
                <w:color w:val="auto"/>
              </w:rPr>
              <w:t>8% Convertible preferred stock</w:t>
            </w:r>
          </w:p>
        </w:tc>
        <w:tc>
          <w:tcPr>
            <w:tcW w:w="38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8"/>
        </w:trPr>
        <w:tc>
          <w:tcPr>
            <w:tcW w:w="6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Adjusted Weighted Average Common Shares Outstanding</w:t>
            </w: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209,318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206,056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206,793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Diluted Earnings (Loss)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3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Continuing operations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0.81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gridSpan w:val="2"/>
          </w:tcPr>
          <w:p>
            <w:pPr>
              <w:ind w:left="140"/>
              <w:spacing w:after="0"/>
              <w:rPr>
                <w:sz w:val="20"/>
                <w:szCs w:val="20"/>
                <w:color w:val="auto"/>
              </w:rPr>
            </w:pPr>
            <w:r>
              <w:rPr>
                <w:rFonts w:ascii="Arial" w:cs="Arial" w:eastAsia="Arial" w:hAnsi="Arial"/>
                <w:sz w:val="11"/>
                <w:szCs w:val="11"/>
                <w:color w:val="auto"/>
              </w:rPr>
              <w:t>Discontinued operations</w:t>
            </w:r>
          </w:p>
        </w:tc>
        <w:tc>
          <w:tcPr>
            <w:tcW w:w="38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88"/>
        </w:trPr>
        <w:tc>
          <w:tcPr>
            <w:tcW w:w="6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Diluted Earnings (Loss) per Share</w:t>
            </w: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0.83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7260590" cy="109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0590" cy="10922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securities were not included in the computation of diluted earnings per share as they were either contingently issuable shares or shares that if included would have been anti-dilutive (shares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20" w:type="dxa"/>
            <w:vAlign w:val="bottom"/>
          </w:tcPr>
          <w:p>
            <w:pPr>
              <w:ind w:left="20"/>
              <w:spacing w:after="0"/>
              <w:rPr>
                <w:sz w:val="20"/>
                <w:szCs w:val="20"/>
                <w:color w:val="auto"/>
              </w:rPr>
            </w:pPr>
            <w:r>
              <w:rPr>
                <w:rFonts w:ascii="Arial" w:cs="Arial" w:eastAsia="Arial" w:hAnsi="Arial"/>
                <w:sz w:val="11"/>
                <w:szCs w:val="11"/>
                <w:color w:val="auto"/>
              </w:rPr>
              <w:t>Stock Options</w:t>
            </w:r>
          </w:p>
        </w:tc>
        <w:tc>
          <w:tcPr>
            <w:tcW w:w="1720" w:type="dxa"/>
            <w:vAlign w:val="bottom"/>
            <w:gridSpan w:val="2"/>
          </w:tcPr>
          <w:p>
            <w:pPr>
              <w:ind w:left="1380"/>
              <w:spacing w:after="0"/>
              <w:rPr>
                <w:sz w:val="20"/>
                <w:szCs w:val="20"/>
                <w:color w:val="auto"/>
              </w:rPr>
            </w:pPr>
            <w:r>
              <w:rPr>
                <w:rFonts w:ascii="Arial" w:cs="Arial" w:eastAsia="Arial" w:hAnsi="Arial"/>
                <w:sz w:val="11"/>
                <w:szCs w:val="11"/>
                <w:color w:val="auto"/>
              </w:rPr>
              <w:t>—</w:t>
            </w:r>
          </w:p>
        </w:tc>
        <w:tc>
          <w:tcPr>
            <w:tcW w:w="1740" w:type="dxa"/>
            <w:vAlign w:val="bottom"/>
            <w:gridSpan w:val="2"/>
          </w:tcPr>
          <w:p>
            <w:pPr>
              <w:ind w:left="1400"/>
              <w:spacing w:after="0"/>
              <w:rPr>
                <w:sz w:val="20"/>
                <w:szCs w:val="20"/>
                <w:color w:val="auto"/>
              </w:rPr>
            </w:pPr>
            <w:r>
              <w:rPr>
                <w:rFonts w:ascii="Arial" w:cs="Arial" w:eastAsia="Arial" w:hAnsi="Arial"/>
                <w:sz w:val="11"/>
                <w:szCs w:val="11"/>
                <w:color w:val="auto"/>
              </w:rPr>
              <w:t>—</w:t>
            </w:r>
          </w:p>
        </w:tc>
        <w:tc>
          <w:tcPr>
            <w:tcW w:w="166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7"/>
        </w:trPr>
        <w:tc>
          <w:tcPr>
            <w:tcW w:w="6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stock and performance shares/units</w:t>
            </w: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1"/>
                <w:szCs w:val="11"/>
                <w:color w:val="auto"/>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1"/>
                <w:szCs w:val="11"/>
                <w:color w:val="auto"/>
              </w:rPr>
              <w:t>—</w:t>
            </w:r>
          </w:p>
        </w:tc>
        <w:tc>
          <w:tcPr>
            <w:tcW w:w="16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2,568</w:t>
            </w:r>
          </w:p>
        </w:tc>
      </w:tr>
      <w:tr>
        <w:trPr>
          <w:trHeight w:val="16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Convertible preferred stock</w:t>
            </w:r>
          </w:p>
        </w:tc>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5,393</w:t>
            </w: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Anti-Dilutive Securities</w:t>
            </w: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1"/>
                <w:szCs w:val="11"/>
                <w:color w:val="auto"/>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1"/>
                <w:szCs w:val="11"/>
                <w:color w:val="auto"/>
              </w:rPr>
              <w:t>—</w:t>
            </w:r>
          </w:p>
        </w:tc>
        <w:tc>
          <w:tcPr>
            <w:tcW w:w="16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7,961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21 – Related Party Transactions</w:t>
      </w:r>
    </w:p>
    <w:p>
      <w:pPr>
        <w:spacing w:after="0" w:line="219" w:lineRule="exact"/>
        <w:rPr>
          <w:sz w:val="20"/>
          <w:szCs w:val="20"/>
          <w:color w:val="auto"/>
        </w:rPr>
      </w:pPr>
    </w:p>
    <w:p>
      <w:pPr>
        <w:jc w:val="both"/>
        <w:ind w:right="200"/>
        <w:spacing w:after="0" w:line="262" w:lineRule="auto"/>
        <w:rPr>
          <w:sz w:val="20"/>
          <w:szCs w:val="20"/>
          <w:color w:val="auto"/>
        </w:rPr>
      </w:pPr>
      <w:r>
        <w:rPr>
          <w:rFonts w:ascii="Arial" w:cs="Arial" w:eastAsia="Arial" w:hAnsi="Arial"/>
          <w:sz w:val="14"/>
          <w:szCs w:val="14"/>
          <w:color w:val="auto"/>
        </w:rPr>
        <w:t>During the third quarter of 2019, Carl C. Icahn and his affiliates (shareholders) increased their ownership interest in the Company. 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 Selling, General and administrative, respectively, on the Company's Consolidated Statements of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Transactions with related parties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Year Ended December 31,</w:t>
            </w: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500" w:type="dxa"/>
            <w:vAlign w:val="bottom"/>
            <w:gridSpan w:val="2"/>
          </w:tcPr>
          <w:p>
            <w:pPr>
              <w:ind w:left="20"/>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1"/>
                <w:szCs w:val="11"/>
                <w:color w:val="auto"/>
              </w:rPr>
            </w:pPr>
          </w:p>
        </w:tc>
        <w:tc>
          <w:tcPr>
            <w:tcW w:w="1220" w:type="dxa"/>
            <w:vAlign w:val="bottom"/>
          </w:tcPr>
          <w:p>
            <w:pPr>
              <w:jc w:val="right"/>
              <w:ind w:right="623"/>
              <w:spacing w:after="0"/>
              <w:rPr>
                <w:sz w:val="20"/>
                <w:szCs w:val="20"/>
                <w:color w:val="auto"/>
              </w:rPr>
            </w:pPr>
            <w:r>
              <w:rPr>
                <w:rFonts w:ascii="Arial" w:cs="Arial" w:eastAsia="Arial" w:hAnsi="Arial"/>
                <w:sz w:val="11"/>
                <w:szCs w:val="11"/>
                <w:color w:val="auto"/>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right"/>
              <w:ind w:right="563"/>
              <w:spacing w:after="0"/>
              <w:rPr>
                <w:sz w:val="20"/>
                <w:szCs w:val="20"/>
                <w:color w:val="auto"/>
              </w:rPr>
            </w:pPr>
            <w:r>
              <w:rPr>
                <w:rFonts w:ascii="Arial" w:cs="Arial" w:eastAsia="Arial" w:hAnsi="Arial"/>
                <w:sz w:val="11"/>
                <w:szCs w:val="11"/>
                <w:color w:val="auto"/>
              </w:rPr>
              <w:t>2018</w:t>
            </w:r>
          </w:p>
        </w:tc>
        <w:tc>
          <w:tcPr>
            <w:tcW w:w="440" w:type="dxa"/>
            <w:vAlign w:val="bottom"/>
          </w:tcPr>
          <w:p>
            <w:pPr>
              <w:spacing w:after="0"/>
              <w:rPr>
                <w:sz w:val="11"/>
                <w:szCs w:val="11"/>
                <w:color w:val="auto"/>
              </w:rPr>
            </w:pPr>
          </w:p>
        </w:tc>
        <w:tc>
          <w:tcPr>
            <w:tcW w:w="1240" w:type="dxa"/>
            <w:vAlign w:val="bottom"/>
          </w:tcPr>
          <w:p>
            <w:pPr>
              <w:jc w:val="right"/>
              <w:ind w:right="623"/>
              <w:spacing w:after="0"/>
              <w:rPr>
                <w:sz w:val="20"/>
                <w:szCs w:val="20"/>
                <w:color w:val="auto"/>
              </w:rPr>
            </w:pPr>
            <w:r>
              <w:rPr>
                <w:rFonts w:ascii="Arial" w:cs="Arial" w:eastAsia="Arial" w:hAnsi="Arial"/>
                <w:sz w:val="11"/>
                <w:szCs w:val="1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5"/>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Revenue from related parties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45</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51</w:t>
            </w:r>
          </w:p>
        </w:tc>
      </w:tr>
      <w:tr>
        <w:trPr>
          <w:trHeight w:val="163"/>
        </w:trPr>
        <w:tc>
          <w:tcPr>
            <w:tcW w:w="6520" w:type="dxa"/>
            <w:vAlign w:val="bottom"/>
            <w:gridSpan w:val="3"/>
          </w:tcPr>
          <w:p>
            <w:pPr>
              <w:ind w:left="20"/>
              <w:spacing w:after="0"/>
              <w:rPr>
                <w:sz w:val="20"/>
                <w:szCs w:val="20"/>
                <w:color w:val="auto"/>
              </w:rPr>
            </w:pPr>
            <w:r>
              <w:rPr>
                <w:rFonts w:ascii="Arial" w:cs="Arial" w:eastAsia="Arial" w:hAnsi="Arial"/>
                <w:sz w:val="11"/>
                <w:szCs w:val="11"/>
                <w:color w:val="auto"/>
              </w:rPr>
              <w:t>Purchases from related parties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23"/>
              <w:spacing w:after="0"/>
              <w:rPr>
                <w:sz w:val="20"/>
                <w:szCs w:val="20"/>
                <w:color w:val="auto"/>
              </w:rPr>
            </w:pPr>
            <w:r>
              <w:rPr>
                <w:rFonts w:ascii="Arial" w:cs="Arial" w:eastAsia="Arial" w:hAnsi="Arial"/>
                <w:sz w:val="11"/>
                <w:szCs w:val="11"/>
                <w:color w:val="auto"/>
              </w:rPr>
              <w:t>41</w:t>
            </w:r>
          </w:p>
        </w:tc>
        <w:tc>
          <w:tcPr>
            <w:tcW w:w="4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43</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receivable and payable balances with related party entities were not material as of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 CHANGES IN AND DISAGREEMENTS WITH ACCOUNTANTS ON ACCOUNTING AND FINANCIAL DISCLOSURE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9A.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Responsibility for Financial Statements</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Management is responsible for the integrity and objectivity of all information presented in this Annual Report on Form 10-K.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access to the Audit Committee.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Disclosure Controls and Procedures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Company’s management evaluated, with the participation of our principal executive officer and principal financial officer, the effectiveness of our disclosure controls and procedures, as defined in Rules 13a-15(e) and 15d-15(e) under the Securities Exchange Act of 1934, as amended, as of December 31, 2019, the end of the period covered by this Annual Report on Form 10-K. Based on this evaluation, our principal executive officer and principal financial officer have concluded that, as of the end of the period covered by this Annual Report on Form 10-K,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Conduent Incorporated,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Report on Internal Control over Financial Reporting</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promulgated under the Securities Exchange Act of 1934, as amended. Under the supervision and with the participation of our management, including our principal executive officer, principal financial officer and principal accounting officer, we have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Based on the above evaluation, management concluded that our internal control over financial reporting was effective as of December 31, 2019.</w:t>
      </w:r>
    </w:p>
    <w:p>
      <w:pPr>
        <w:spacing w:after="0" w:line="205"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The effectiveness of our internal control over financial reporting as of December 31, 2019 has been audited by PricewaterhouseCoopers LLP, an independent registered public accounting firm, as stated in their report which appears in Part II, Item 8 of this Form 10-K.</w:t>
      </w:r>
    </w:p>
    <w:p>
      <w:pPr>
        <w:spacing w:after="0" w:line="200" w:lineRule="exact"/>
        <w:rPr>
          <w:sz w:val="20"/>
          <w:szCs w:val="20"/>
          <w:color w:val="auto"/>
        </w:rPr>
      </w:pPr>
    </w:p>
    <w:p>
      <w:pPr>
        <w:spacing w:after="0" w:line="392"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53" w:right="219" w:bottom="1440" w:gutter="0" w:footer="0" w:header="0"/>
        </w:sectPr>
      </w:pPr>
    </w:p>
    <w:bookmarkStart w:id="94" w:name="page95"/>
    <w:bookmarkEnd w:id="94"/>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Changes in Internal Control over Financial Reporting</w:t>
      </w:r>
    </w:p>
    <w:p>
      <w:pPr>
        <w:spacing w:after="0" w:line="223"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In connection with the evaluation required by paragraph (d) of Rule 13a-15 under the Exchange Act, there was no change identified in our internal control over financial reporting that occurred during the last fiscal quarter ended December 31, 2019 that has materially affected, or is reasonably likely to materially affect, our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9B. OTHER INFORMATION</w:t>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On February 25, 2020, the Company’s Board of Directors appointed Clifford Skelton to serve as the Company’s Chief Executive Officer. Mr. Skelton served as Interim Chief Executive Officer since August 6, 2019 and Chief Operating Officer between June 2019 and August 2019. In connection with such appointment, the Compensation Committee of the Board of Directors set the salary of Mr. Skelton at $750,000 per annum. Mr. Skelton will be eligible to participate in the Company’s Annual Performance Incentive Plan (“APIP”) at a target level of 125% of his salary with a potential payout range between zero and 200% of target. Mr. Skelton will also be eligible to participate in the Company’s Long Term Incentive Plan (“LTIP”), which is payable in equity. His LTIP target annual award is $3,000,000.</w:t>
      </w:r>
    </w:p>
    <w:p>
      <w:pPr>
        <w:spacing w:after="0" w:line="183"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The Letter Agreement, which sets forth the compensation and other terms of Mr. Skelton’s appointment, is attached as Exhibit 10.6(e)(ii) to this Report and incorporated by reference. Other than the terms set forth in the Letter Agreement, Mr. Skelton’s employment terms remain the same as set forth in the letter agreements between the Company and Mr. Skelton dated May 21, 2019 and filed as Exhibit 10.6(h) on Form 8-K dated May 28, 2019 and dated August 6, 2019 and filed as Exhibit 10.6(j) on Form 8-K dated August 7, 2019, which are incorporated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Items 401 and 404 of Regulation S-K and filed in Item 5.02(c) on Registrant’s Form 8-K dated May 28, 2019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III</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10. DIRECTORS, EXECUTIVE OFFICERS AND CORPORATE GOVERNANCE</w:t>
      </w:r>
    </w:p>
    <w:p>
      <w:pPr>
        <w:spacing w:after="0" w:line="21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information regarding our Executive officers required by Item 10 of Part III is set forth in Item 1 of Part I "Business–Information About Our Executive Officers." The information regarding directors is incorporated herein by reference to the section entitled “Proposal 1 - Election of Directors” in our definitive Proxy Statement (2020 Proxy Statement) to be filed pursuant to Regulation 14A of the Securities Exchange Act of 1934, as amended, for our 2020 Annual Meeting of Stockholders. The Proxy Statement is expected to be filed within 120 days after the end of our fiscal year ended December 31, 2019.</w:t>
      </w:r>
    </w:p>
    <w:p>
      <w:pPr>
        <w:spacing w:after="0" w:line="180"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information regarding compliance with Section 16(a) of the Securities and Exchange Act of 1934 is incorporated herein by reference to the section entitled “Delinquent Section 16(a) Report" of our 2020 Proxy Statement.</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information required by this Item regarding the Audit Committee, its members and the Audit Committee financial experts is incorporated by reference herein from the subsection entitled “Committee Functions, Membership and Meetings” in the section entitled “Proposal 1 - Election of Directors” in our 2020 Proxy Statement.</w:t>
      </w:r>
    </w:p>
    <w:p>
      <w:pPr>
        <w:spacing w:after="0" w:line="172"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We have adopted a code of ethics applicable to our principal executive officer, principal financial officer and principal accounting officer (Finance Code of Conduct). The Finance Code of Conduct can be found on our website at: https://www.conduent.com/corporate-governance/ethics-and-compliance/. Information concerning our Finance Code of Conduct can be found under "Corporate Governance" in our 2020 Proxy Statement and is incorporated here by reference.</w:t>
      </w:r>
    </w:p>
    <w:p>
      <w:pPr>
        <w:spacing w:after="0" w:line="200" w:lineRule="exact"/>
        <w:rPr>
          <w:sz w:val="20"/>
          <w:szCs w:val="20"/>
          <w:color w:val="auto"/>
        </w:rPr>
      </w:pPr>
    </w:p>
    <w:p>
      <w:pPr>
        <w:spacing w:after="0" w:line="399" w:lineRule="exact"/>
        <w:rPr>
          <w:sz w:val="20"/>
          <w:szCs w:val="20"/>
          <w:color w:val="auto"/>
        </w:rPr>
      </w:pPr>
    </w:p>
    <w:p>
      <w:pPr>
        <w:ind w:left="9740"/>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11. EXECUTIVE COMPENSATION</w:t>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color w:val="auto"/>
        </w:rPr>
        <w:t>The information required by this Item included under the following captions under “Proposal 1 - Election of Directors” in our 2020 Proxy Statement is incorporated herein by reference: “Compensation Discussion and Analysis”, “Summary Compensation Table”, “Grants of Plan-Based Awards in 2019”, “Outstanding Equity Awards at 2019 Fiscal Year-End”, “Option Exercises and Stock Vested in 2019”, “Pension Benefits for the 2019 Fiscal Year”, “Nonqualified Deferred Compensation for the 2019 Fiscal Year”, “Potential Payments upon Termination or Change in Control”, “Summary of Annual Director Annual Compensation, "Compensation Committee Interlocks and Insider Participation” and “Compensation Committee”. The information included under the heading “Compensation Committee Report” in our 2020 Proxy Statement is incorporated herein by reference; however, this information shall not be deemed to be “soliciting material” or to be “filed” with the SEC or subject to Regulation 14A or 14C, or to the liabilities of Section 18 of the Exchange Act.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12. SECURITY OWNERSHIP OF CERTAIN BENEFICIAL OWNERS AND MANAGEMENT AND RELATED STOCKHOLDER MATTERS</w:t>
      </w:r>
    </w:p>
    <w:p>
      <w:pPr>
        <w:spacing w:after="0" w:line="219"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Information required by this Item regarding security ownership of certain beneficial owners and management and securities authorized for issuance under equity compensation plans is incorporated herein by reference to the subsections entitled “Ownership of Company Securities,” and “Equity Compensation Plan Information” under “Proposal 1 - Election of Directors” in our 2020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13. CERTAIN RELATIONSHIPS, RELATED TRANSACTIONS AND DIRECTOR INDEPENDENCE</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Information required by this Item regarding certain relationships and related transactions is incorporated herein by reference to the subsection entitled “Certain Relationships and Related Person Transactions” under “Proposal 1 - Election of Directors” in our 2020 Proxy Statement. The information regarding director independence is incorporated herein by reference to the subsections entitled “Corporate Governance” and “Director Independence” in the section entitled “Proposal 1 - Election of Directors” in our 2020 Proxy Statement.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14. PRINCIPAL AUDITOR FEES AND SERVICES</w:t>
      </w:r>
    </w:p>
    <w:p>
      <w:pPr>
        <w:spacing w:after="0" w:line="203"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information required by this Item regarding principal auditor fees and services is incorporated herein by reference to the section entitled “Proposal 2 - Ratification of Election of Independent Registered Public Accounting Firm” in our 2020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IV</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15. EXHIBITS AND FINANCIAL STATEMENT SCHEDULES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11" w:lineRule="exact"/>
        <w:rPr>
          <w:sz w:val="20"/>
          <w:szCs w:val="20"/>
          <w:color w:val="auto"/>
        </w:rPr>
      </w:pPr>
    </w:p>
    <w:p>
      <w:pPr>
        <w:ind w:left="1100" w:hanging="577"/>
        <w:spacing w:after="0"/>
        <w:tabs>
          <w:tab w:leader="none" w:pos="11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Index to Financial Statements filed as part of this report:</w:t>
      </w:r>
    </w:p>
    <w:p>
      <w:pPr>
        <w:spacing w:after="0" w:line="205" w:lineRule="exact"/>
        <w:rPr>
          <w:sz w:val="20"/>
          <w:szCs w:val="20"/>
          <w:color w:val="auto"/>
        </w:rPr>
      </w:pPr>
    </w:p>
    <w:p>
      <w:pPr>
        <w:ind w:left="1420" w:hanging="316"/>
        <w:spacing w:after="0"/>
        <w:tabs>
          <w:tab w:leader="none" w:pos="1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w:t>
      </w:r>
    </w:p>
    <w:p>
      <w:pPr>
        <w:spacing w:after="0" w:line="11" w:lineRule="exact"/>
        <w:rPr>
          <w:sz w:val="20"/>
          <w:szCs w:val="20"/>
          <w:color w:val="auto"/>
        </w:rPr>
      </w:pPr>
    </w:p>
    <w:p>
      <w:pPr>
        <w:ind w:left="1420" w:hanging="316"/>
        <w:spacing w:after="0"/>
        <w:tabs>
          <w:tab w:leader="none" w:pos="1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Consolidated Statements of Income (Loss) for each of the years in the three-year period ended December 31, 2019;</w:t>
      </w:r>
    </w:p>
    <w:p>
      <w:pPr>
        <w:spacing w:after="0" w:line="11" w:lineRule="exact"/>
        <w:rPr>
          <w:rFonts w:ascii="Arial" w:cs="Arial" w:eastAsia="Arial" w:hAnsi="Arial"/>
          <w:sz w:val="14"/>
          <w:szCs w:val="14"/>
          <w:color w:val="auto"/>
        </w:rPr>
      </w:pPr>
    </w:p>
    <w:p>
      <w:pPr>
        <w:ind w:left="1420" w:hanging="316"/>
        <w:spacing w:after="0"/>
        <w:tabs>
          <w:tab w:leader="none" w:pos="1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Consolidated Statements of Comprehensive Income (Loss) for each of the years in the three-year period ended December 31, 2019;</w:t>
      </w:r>
    </w:p>
    <w:p>
      <w:pPr>
        <w:spacing w:after="0" w:line="11" w:lineRule="exact"/>
        <w:rPr>
          <w:rFonts w:ascii="Arial" w:cs="Arial" w:eastAsia="Arial" w:hAnsi="Arial"/>
          <w:sz w:val="14"/>
          <w:szCs w:val="14"/>
          <w:color w:val="auto"/>
        </w:rPr>
      </w:pPr>
    </w:p>
    <w:p>
      <w:pPr>
        <w:ind w:left="1420" w:hanging="316"/>
        <w:spacing w:after="0"/>
        <w:tabs>
          <w:tab w:leader="none" w:pos="1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Consolidated Balance Sheets as of December 31, 2019 and 2018;</w:t>
      </w:r>
    </w:p>
    <w:p>
      <w:pPr>
        <w:spacing w:after="0" w:line="11" w:lineRule="exact"/>
        <w:rPr>
          <w:rFonts w:ascii="Arial" w:cs="Arial" w:eastAsia="Arial" w:hAnsi="Arial"/>
          <w:sz w:val="14"/>
          <w:szCs w:val="14"/>
          <w:color w:val="auto"/>
        </w:rPr>
      </w:pPr>
    </w:p>
    <w:p>
      <w:pPr>
        <w:ind w:left="1420" w:hanging="316"/>
        <w:spacing w:after="0"/>
        <w:tabs>
          <w:tab w:leader="none" w:pos="1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Consolidated Statements of Cash Flows for each of the years in the three-year period ended December 31, 2019;</w:t>
      </w:r>
    </w:p>
    <w:p>
      <w:pPr>
        <w:spacing w:after="0" w:line="11" w:lineRule="exact"/>
        <w:rPr>
          <w:rFonts w:ascii="Arial" w:cs="Arial" w:eastAsia="Arial" w:hAnsi="Arial"/>
          <w:sz w:val="14"/>
          <w:szCs w:val="14"/>
          <w:color w:val="auto"/>
        </w:rPr>
      </w:pPr>
    </w:p>
    <w:p>
      <w:pPr>
        <w:ind w:left="1420" w:hanging="316"/>
        <w:spacing w:after="0"/>
        <w:tabs>
          <w:tab w:leader="none" w:pos="1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Consolidated Statements of Shareholders' Equity for each of the years in the three-year period ended December 31, 2019;</w:t>
      </w:r>
    </w:p>
    <w:p>
      <w:pPr>
        <w:spacing w:after="0" w:line="11" w:lineRule="exact"/>
        <w:rPr>
          <w:rFonts w:ascii="Arial" w:cs="Arial" w:eastAsia="Arial" w:hAnsi="Arial"/>
          <w:sz w:val="14"/>
          <w:szCs w:val="14"/>
          <w:color w:val="auto"/>
        </w:rPr>
      </w:pPr>
    </w:p>
    <w:p>
      <w:pPr>
        <w:ind w:left="1420" w:hanging="316"/>
        <w:spacing w:after="0"/>
        <w:tabs>
          <w:tab w:leader="none" w:pos="1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Notes to the Consolidated Financial Statements; and</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left="1420" w:hanging="316"/>
        <w:spacing w:after="0"/>
        <w:tabs>
          <w:tab w:leader="none" w:pos="1420" w:val="left"/>
        </w:tabs>
        <w:numPr>
          <w:ilvl w:val="2"/>
          <w:numId w:val="42"/>
        </w:numPr>
        <w:rPr>
          <w:rFonts w:ascii="Arial" w:cs="Arial" w:eastAsia="Arial" w:hAnsi="Arial"/>
          <w:sz w:val="14"/>
          <w:szCs w:val="14"/>
          <w:color w:val="auto"/>
        </w:rPr>
      </w:pPr>
      <w:r>
        <w:rPr>
          <w:rFonts w:ascii="Arial" w:cs="Arial" w:eastAsia="Arial" w:hAnsi="Arial"/>
          <w:sz w:val="14"/>
          <w:szCs w:val="14"/>
          <w:color w:val="auto"/>
        </w:rPr>
        <w:t>All other schedules are omitted as they are not applicable, or the information required is included in the financial statements or notes thereto.</w:t>
      </w:r>
    </w:p>
    <w:p>
      <w:pPr>
        <w:spacing w:after="0" w:line="205" w:lineRule="exact"/>
        <w:rPr>
          <w:rFonts w:ascii="Arial" w:cs="Arial" w:eastAsia="Arial" w:hAnsi="Arial"/>
          <w:sz w:val="14"/>
          <w:szCs w:val="14"/>
          <w:color w:val="auto"/>
        </w:rPr>
      </w:pPr>
    </w:p>
    <w:p>
      <w:pPr>
        <w:ind w:left="1100" w:hanging="577"/>
        <w:spacing w:after="0"/>
        <w:tabs>
          <w:tab w:leader="none" w:pos="1100" w:val="left"/>
        </w:tabs>
        <w:numPr>
          <w:ilvl w:val="1"/>
          <w:numId w:val="42"/>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205" w:lineRule="exact"/>
        <w:rPr>
          <w:rFonts w:ascii="Arial" w:cs="Arial" w:eastAsia="Arial" w:hAnsi="Arial"/>
          <w:sz w:val="14"/>
          <w:szCs w:val="14"/>
          <w:color w:val="auto"/>
        </w:rPr>
      </w:pPr>
    </w:p>
    <w:p>
      <w:pPr>
        <w:ind w:left="1420" w:hanging="316"/>
        <w:spacing w:after="0"/>
        <w:tabs>
          <w:tab w:leader="none" w:pos="1420" w:val="left"/>
        </w:tabs>
        <w:numPr>
          <w:ilvl w:val="2"/>
          <w:numId w:val="42"/>
        </w:numPr>
        <w:rPr>
          <w:rFonts w:ascii="Arial" w:cs="Arial" w:eastAsia="Arial" w:hAnsi="Arial"/>
          <w:sz w:val="14"/>
          <w:szCs w:val="14"/>
          <w:color w:val="auto"/>
        </w:rPr>
      </w:pPr>
      <w:r>
        <w:rPr>
          <w:rFonts w:ascii="Arial" w:cs="Arial" w:eastAsia="Arial" w:hAnsi="Arial"/>
          <w:sz w:val="14"/>
          <w:szCs w:val="14"/>
          <w:color w:val="auto"/>
        </w:rPr>
        <w:t>Schedule II–Valuation and Qualifying Accounts for each of the three years in the period ended December 31, 2019.</w:t>
      </w:r>
    </w:p>
    <w:p>
      <w:pPr>
        <w:spacing w:after="0" w:line="205" w:lineRule="exact"/>
        <w:rPr>
          <w:rFonts w:ascii="Arial" w:cs="Arial" w:eastAsia="Arial" w:hAnsi="Arial"/>
          <w:sz w:val="14"/>
          <w:szCs w:val="14"/>
          <w:color w:val="auto"/>
        </w:rPr>
      </w:pPr>
    </w:p>
    <w:p>
      <w:pPr>
        <w:ind w:left="1100" w:hanging="577"/>
        <w:spacing w:after="0"/>
        <w:tabs>
          <w:tab w:leader="none" w:pos="110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exhibits filed herewith are set forth in the exhibit Index included herein.</w:t>
      </w:r>
    </w:p>
    <w:p>
      <w:pPr>
        <w:spacing w:after="0" w:line="205" w:lineRule="exact"/>
        <w:rPr>
          <w:rFonts w:ascii="Arial" w:cs="Arial" w:eastAsia="Arial" w:hAnsi="Arial"/>
          <w:sz w:val="14"/>
          <w:szCs w:val="14"/>
          <w:color w:val="auto"/>
        </w:rPr>
      </w:pPr>
    </w:p>
    <w:p>
      <w:pPr>
        <w:ind w:left="520" w:right="60" w:hanging="514"/>
        <w:spacing w:after="0" w:line="273" w:lineRule="auto"/>
        <w:tabs>
          <w:tab w:leader="none" w:pos="218"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Management contracts or compensatory plans or arrangements listed that are applicable to the executive officers named in the Summary Compensation Table which appears in Registrant's 2020 Proxy Statement or to our directors are preceded by an asterisk (*).</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SCHEDULE II</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Qualifying Accounts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For the three years ended December 31, 2019</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51"/>
        </w:trPr>
        <w:tc>
          <w:tcPr>
            <w:tcW w:w="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3"/>
                <w:szCs w:val="13"/>
                <w:color w:val="auto"/>
              </w:rPr>
              <w:t>Balance</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Additions</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Amounts (credited)</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Deductions</w:t>
            </w:r>
          </w:p>
        </w:tc>
        <w:tc>
          <w:tcPr>
            <w:tcW w:w="1420" w:type="dxa"/>
            <w:vAlign w:val="bottom"/>
          </w:tcPr>
          <w:p>
            <w:pPr>
              <w:jc w:val="right"/>
              <w:ind w:right="415"/>
              <w:spacing w:after="0"/>
              <w:rPr>
                <w:sz w:val="20"/>
                <w:szCs w:val="20"/>
                <w:color w:val="auto"/>
              </w:rPr>
            </w:pPr>
            <w:r>
              <w:rPr>
                <w:rFonts w:ascii="Arial" w:cs="Arial" w:eastAsia="Arial" w:hAnsi="Arial"/>
                <w:sz w:val="13"/>
                <w:szCs w:val="13"/>
                <w:color w:val="auto"/>
              </w:rPr>
              <w:t>Balance</w:t>
            </w:r>
          </w:p>
        </w:tc>
        <w:tc>
          <w:tcPr>
            <w:tcW w:w="0" w:type="dxa"/>
            <w:vAlign w:val="bottom"/>
          </w:tcPr>
          <w:p>
            <w:pPr>
              <w:spacing w:after="0"/>
              <w:rPr>
                <w:sz w:val="1"/>
                <w:szCs w:val="1"/>
                <w:color w:val="auto"/>
              </w:rPr>
            </w:pPr>
          </w:p>
        </w:tc>
      </w:tr>
      <w:tr>
        <w:trPr>
          <w:trHeight w:val="32"/>
        </w:trPr>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3"/>
                <w:szCs w:val="13"/>
                <w:color w:val="auto"/>
              </w:rPr>
              <w:t>at beginning</w:t>
            </w:r>
          </w:p>
        </w:tc>
        <w:tc>
          <w:tcPr>
            <w:tcW w:w="1460" w:type="dxa"/>
            <w:vAlign w:val="bottom"/>
            <w:gridSpan w:val="2"/>
            <w:vMerge w:val="continue"/>
          </w:tcPr>
          <w:p>
            <w:pPr>
              <w:spacing w:after="0"/>
              <w:rPr>
                <w:sz w:val="2"/>
                <w:szCs w:val="2"/>
                <w:color w:val="auto"/>
              </w:rPr>
            </w:pPr>
          </w:p>
        </w:tc>
        <w:tc>
          <w:tcPr>
            <w:tcW w:w="180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20" w:type="dxa"/>
            <w:vAlign w:val="bottom"/>
            <w:vMerge w:val="restart"/>
          </w:tcPr>
          <w:p>
            <w:pPr>
              <w:jc w:val="right"/>
              <w:ind w:right="475"/>
              <w:spacing w:after="0"/>
              <w:rPr>
                <w:sz w:val="20"/>
                <w:szCs w:val="20"/>
                <w:color w:val="auto"/>
              </w:rPr>
            </w:pPr>
            <w:r>
              <w:rPr>
                <w:rFonts w:ascii="Arial" w:cs="Arial" w:eastAsia="Arial" w:hAnsi="Arial"/>
                <w:sz w:val="13"/>
                <w:szCs w:val="13"/>
                <w:color w:val="auto"/>
              </w:rPr>
              <w:t>at end</w:t>
            </w:r>
          </w:p>
        </w:tc>
        <w:tc>
          <w:tcPr>
            <w:tcW w:w="0" w:type="dxa"/>
            <w:vAlign w:val="bottom"/>
          </w:tcPr>
          <w:p>
            <w:pPr>
              <w:spacing w:after="0" w:line="20" w:lineRule="exact"/>
              <w:rPr>
                <w:sz w:val="1"/>
                <w:szCs w:val="1"/>
                <w:color w:val="auto"/>
              </w:rPr>
            </w:pPr>
          </w:p>
        </w:tc>
      </w:tr>
      <w:tr>
        <w:trPr>
          <w:trHeight w:val="118"/>
        </w:trPr>
        <w:tc>
          <w:tcPr>
            <w:tcW w:w="5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60" w:type="dxa"/>
            <w:vAlign w:val="bottom"/>
            <w:gridSpan w:val="2"/>
          </w:tcPr>
          <w:p>
            <w:pPr>
              <w:jc w:val="center"/>
              <w:ind w:right="100"/>
              <w:spacing w:after="0" w:line="119" w:lineRule="exact"/>
              <w:rPr>
                <w:sz w:val="20"/>
                <w:szCs w:val="20"/>
                <w:color w:val="auto"/>
              </w:rPr>
            </w:pPr>
            <w:r>
              <w:rPr>
                <w:rFonts w:ascii="Arial" w:cs="Arial" w:eastAsia="Arial" w:hAnsi="Arial"/>
                <w:sz w:val="13"/>
                <w:szCs w:val="13"/>
                <w:color w:val="auto"/>
                <w:w w:val="97"/>
              </w:rPr>
              <w:t>charged to</w:t>
            </w:r>
          </w:p>
        </w:tc>
        <w:tc>
          <w:tcPr>
            <w:tcW w:w="1800" w:type="dxa"/>
            <w:vAlign w:val="bottom"/>
            <w:gridSpan w:val="2"/>
          </w:tcPr>
          <w:p>
            <w:pPr>
              <w:jc w:val="center"/>
              <w:ind w:right="100"/>
              <w:spacing w:after="0" w:line="119" w:lineRule="exact"/>
              <w:rPr>
                <w:sz w:val="20"/>
                <w:szCs w:val="20"/>
                <w:color w:val="auto"/>
              </w:rPr>
            </w:pPr>
            <w:r>
              <w:rPr>
                <w:rFonts w:ascii="Arial" w:cs="Arial" w:eastAsia="Arial" w:hAnsi="Arial"/>
                <w:sz w:val="13"/>
                <w:szCs w:val="13"/>
                <w:color w:val="auto"/>
                <w:w w:val="98"/>
              </w:rPr>
              <w:t>charged to other income</w:t>
            </w:r>
          </w:p>
        </w:tc>
        <w:tc>
          <w:tcPr>
            <w:tcW w:w="1420" w:type="dxa"/>
            <w:vAlign w:val="bottom"/>
            <w:gridSpan w:val="2"/>
          </w:tcPr>
          <w:p>
            <w:pPr>
              <w:jc w:val="center"/>
              <w:ind w:right="100"/>
              <w:spacing w:after="0" w:line="119" w:lineRule="exact"/>
              <w:rPr>
                <w:sz w:val="20"/>
                <w:szCs w:val="20"/>
                <w:color w:val="auto"/>
              </w:rPr>
            </w:pPr>
            <w:r>
              <w:rPr>
                <w:rFonts w:ascii="Arial" w:cs="Arial" w:eastAsia="Arial" w:hAnsi="Arial"/>
                <w:sz w:val="13"/>
                <w:szCs w:val="13"/>
                <w:color w:val="auto"/>
                <w:w w:val="99"/>
              </w:rPr>
              <w:t>and other, net</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 millions)</w:t>
            </w:r>
          </w:p>
        </w:tc>
        <w:tc>
          <w:tcPr>
            <w:tcW w:w="2540" w:type="dxa"/>
            <w:vAlign w:val="bottom"/>
          </w:tcPr>
          <w:p>
            <w:pPr>
              <w:spacing w:after="0"/>
              <w:rPr>
                <w:sz w:val="12"/>
                <w:szCs w:val="12"/>
                <w:color w:val="auto"/>
              </w:rPr>
            </w:pPr>
          </w:p>
        </w:tc>
        <w:tc>
          <w:tcPr>
            <w:tcW w:w="1400" w:type="dxa"/>
            <w:vAlign w:val="bottom"/>
            <w:gridSpan w:val="2"/>
          </w:tcPr>
          <w:p>
            <w:pPr>
              <w:jc w:val="right"/>
              <w:ind w:right="520"/>
              <w:spacing w:after="0" w:line="139" w:lineRule="exact"/>
              <w:rPr>
                <w:sz w:val="20"/>
                <w:szCs w:val="20"/>
                <w:color w:val="auto"/>
              </w:rPr>
            </w:pPr>
            <w:r>
              <w:rPr>
                <w:rFonts w:ascii="Arial" w:cs="Arial" w:eastAsia="Arial" w:hAnsi="Arial"/>
                <w:sz w:val="13"/>
                <w:szCs w:val="13"/>
                <w:color w:val="auto"/>
              </w:rPr>
              <w:t>of period</w:t>
            </w:r>
          </w:p>
        </w:tc>
        <w:tc>
          <w:tcPr>
            <w:tcW w:w="146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expense</w:t>
            </w:r>
            <w:r>
              <w:rPr>
                <w:rFonts w:ascii="Arial" w:cs="Arial" w:eastAsia="Arial" w:hAnsi="Arial"/>
                <w:sz w:val="16"/>
                <w:szCs w:val="16"/>
                <w:color w:val="auto"/>
                <w:w w:val="93"/>
                <w:vertAlign w:val="superscript"/>
              </w:rPr>
              <w:t>(1)(4)</w:t>
            </w:r>
          </w:p>
        </w:tc>
        <w:tc>
          <w:tcPr>
            <w:tcW w:w="1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 xml:space="preserve">statement accounts </w:t>
            </w:r>
            <w:r>
              <w:rPr>
                <w:rFonts w:ascii="Arial" w:cs="Arial" w:eastAsia="Arial" w:hAnsi="Arial"/>
                <w:sz w:val="16"/>
                <w:szCs w:val="16"/>
                <w:color w:val="auto"/>
                <w:vertAlign w:val="superscript"/>
              </w:rPr>
              <w:t>(2)</w:t>
            </w:r>
          </w:p>
        </w:tc>
        <w:tc>
          <w:tcPr>
            <w:tcW w:w="1420" w:type="dxa"/>
            <w:vAlign w:val="bottom"/>
            <w:gridSpan w:val="2"/>
          </w:tcPr>
          <w:p>
            <w:pPr>
              <w:ind w:left="160"/>
              <w:spacing w:after="0" w:line="138" w:lineRule="exact"/>
              <w:rPr>
                <w:sz w:val="20"/>
                <w:szCs w:val="20"/>
                <w:color w:val="auto"/>
              </w:rPr>
            </w:pPr>
            <w:r>
              <w:rPr>
                <w:rFonts w:ascii="Arial" w:cs="Arial" w:eastAsia="Arial" w:hAnsi="Arial"/>
                <w:sz w:val="13"/>
                <w:szCs w:val="13"/>
                <w:color w:val="auto"/>
              </w:rPr>
              <w:t xml:space="preserve">of recoveries </w:t>
            </w:r>
            <w:r>
              <w:rPr>
                <w:rFonts w:ascii="Arial" w:cs="Arial" w:eastAsia="Arial" w:hAnsi="Arial"/>
                <w:sz w:val="16"/>
                <w:szCs w:val="16"/>
                <w:color w:val="auto"/>
                <w:vertAlign w:val="superscript"/>
              </w:rPr>
              <w:t>(3)(4)</w:t>
            </w:r>
          </w:p>
        </w:tc>
        <w:tc>
          <w:tcPr>
            <w:tcW w:w="1420" w:type="dxa"/>
            <w:vAlign w:val="bottom"/>
          </w:tcPr>
          <w:p>
            <w:pPr>
              <w:jc w:val="right"/>
              <w:ind w:right="415"/>
              <w:spacing w:after="0" w:line="139" w:lineRule="exact"/>
              <w:rPr>
                <w:sz w:val="20"/>
                <w:szCs w:val="20"/>
                <w:color w:val="auto"/>
              </w:rPr>
            </w:pPr>
            <w:r>
              <w:rPr>
                <w:rFonts w:ascii="Arial" w:cs="Arial" w:eastAsia="Arial" w:hAnsi="Arial"/>
                <w:sz w:val="13"/>
                <w:szCs w:val="13"/>
                <w:color w:val="auto"/>
              </w:rPr>
              <w:t>of period</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Allowance for Losses:</w:t>
            </w: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0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2019</w:t>
            </w:r>
          </w:p>
        </w:tc>
        <w:tc>
          <w:tcPr>
            <w:tcW w:w="2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660" w:type="dxa"/>
            <w:vAlign w:val="bottom"/>
            <w:tcBorders>
              <w:top w:val="single" w:sz="8" w:color="CCEEFF"/>
            </w:tcBorders>
            <w:shd w:val="clear" w:color="auto" w:fill="CCEEFF"/>
          </w:tcPr>
          <w:p>
            <w:pPr>
              <w:jc w:val="right"/>
              <w:ind w:right="415"/>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680" w:type="dxa"/>
            <w:vAlign w:val="bottom"/>
            <w:tcBorders>
              <w:top w:val="single" w:sz="8" w:color="CCEEFF"/>
            </w:tcBorders>
            <w:shd w:val="clear" w:color="auto" w:fill="CCEEFF"/>
          </w:tcPr>
          <w:p>
            <w:pPr>
              <w:jc w:val="right"/>
              <w:ind w:right="435"/>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w:t>
            </w:r>
          </w:p>
        </w:tc>
        <w:tc>
          <w:tcPr>
            <w:tcW w:w="840" w:type="dxa"/>
            <w:vAlign w:val="bottom"/>
            <w:tcBorders>
              <w:top w:val="single" w:sz="8" w:color="CCEEFF"/>
            </w:tcBorders>
            <w:shd w:val="clear" w:color="auto" w:fill="CCEEFF"/>
          </w:tcPr>
          <w:p>
            <w:pPr>
              <w:jc w:val="right"/>
              <w:ind w:right="59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c>
          <w:tcPr>
            <w:tcW w:w="700" w:type="dxa"/>
            <w:vAlign w:val="bottom"/>
            <w:tcBorders>
              <w:top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2</w:t>
            </w:r>
          </w:p>
        </w:tc>
      </w:tr>
      <w:tr>
        <w:trPr>
          <w:trHeight w:val="199"/>
        </w:trPr>
        <w:tc>
          <w:tcPr>
            <w:tcW w:w="520" w:type="dxa"/>
            <w:vAlign w:val="bottom"/>
          </w:tcPr>
          <w:p>
            <w:pPr>
              <w:spacing w:after="0"/>
              <w:rPr>
                <w:sz w:val="20"/>
                <w:szCs w:val="20"/>
                <w:color w:val="auto"/>
              </w:rPr>
            </w:pPr>
            <w:r>
              <w:rPr>
                <w:rFonts w:ascii="Arial" w:cs="Arial" w:eastAsia="Arial" w:hAnsi="Arial"/>
                <w:sz w:val="14"/>
                <w:szCs w:val="14"/>
                <w:color w:val="auto"/>
              </w:rPr>
              <w:t>2018</w:t>
            </w:r>
          </w:p>
        </w:tc>
        <w:tc>
          <w:tcPr>
            <w:tcW w:w="24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7"/>
                <w:szCs w:val="17"/>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68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70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3"/>
                <w:szCs w:val="13"/>
                <w:color w:val="auto"/>
              </w:rPr>
              <w:t>1</w:t>
            </w:r>
          </w:p>
        </w:tc>
      </w:tr>
      <w:tr>
        <w:trPr>
          <w:trHeight w:val="210"/>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2017</w:t>
            </w:r>
          </w:p>
        </w:tc>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w:t>
            </w:r>
          </w:p>
        </w:tc>
      </w:tr>
      <w:tr>
        <w:trPr>
          <w:trHeight w:val="205"/>
        </w:trPr>
        <w:tc>
          <w:tcPr>
            <w:tcW w:w="29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6"/>
        </w:trPr>
        <w:tc>
          <w:tcPr>
            <w:tcW w:w="2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Tax Valuation Allowance:</w:t>
            </w: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7"/>
        </w:trPr>
        <w:tc>
          <w:tcPr>
            <w:tcW w:w="520" w:type="dxa"/>
            <w:vAlign w:val="bottom"/>
          </w:tcPr>
          <w:p>
            <w:pPr>
              <w:spacing w:after="0"/>
              <w:rPr>
                <w:sz w:val="20"/>
                <w:szCs w:val="20"/>
                <w:color w:val="auto"/>
              </w:rPr>
            </w:pPr>
            <w:r>
              <w:rPr>
                <w:rFonts w:ascii="Arial" w:cs="Arial" w:eastAsia="Arial" w:hAnsi="Arial"/>
                <w:sz w:val="14"/>
                <w:szCs w:val="14"/>
                <w:color w:val="auto"/>
              </w:rPr>
              <w:t>2019</w:t>
            </w:r>
          </w:p>
        </w:tc>
        <w:tc>
          <w:tcPr>
            <w:tcW w:w="2460" w:type="dxa"/>
            <w:vAlign w:val="bottom"/>
          </w:tcPr>
          <w:p>
            <w:pPr>
              <w:ind w:left="180"/>
              <w:spacing w:after="0"/>
              <w:rPr>
                <w:sz w:val="20"/>
                <w:szCs w:val="20"/>
                <w:color w:val="auto"/>
              </w:rPr>
            </w:pPr>
            <w:r>
              <w:rPr>
                <w:rFonts w:ascii="Arial" w:cs="Arial" w:eastAsia="Arial" w:hAnsi="Arial"/>
                <w:sz w:val="14"/>
                <w:szCs w:val="14"/>
                <w:color w:val="auto"/>
              </w:rPr>
              <w:t>Tax Valuation</w:t>
            </w:r>
          </w:p>
        </w:tc>
        <w:tc>
          <w:tcPr>
            <w:tcW w:w="660" w:type="dxa"/>
            <w:vAlign w:val="bottom"/>
          </w:tcPr>
          <w:p>
            <w:pPr>
              <w:spacing w:after="0"/>
              <w:rPr>
                <w:sz w:val="17"/>
                <w:szCs w:val="17"/>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44</w:t>
            </w:r>
          </w:p>
        </w:tc>
        <w:tc>
          <w:tcPr>
            <w:tcW w:w="68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3"/>
                <w:szCs w:val="13"/>
                <w:color w:val="auto"/>
              </w:rPr>
              <w:t>38</w:t>
            </w:r>
          </w:p>
        </w:tc>
        <w:tc>
          <w:tcPr>
            <w:tcW w:w="84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70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3"/>
                <w:szCs w:val="13"/>
                <w:color w:val="auto"/>
              </w:rPr>
              <w:t>72</w:t>
            </w:r>
          </w:p>
        </w:tc>
      </w:tr>
      <w:tr>
        <w:trPr>
          <w:trHeight w:val="210"/>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Valuation</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17</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44</w:t>
            </w:r>
          </w:p>
        </w:tc>
      </w:tr>
      <w:tr>
        <w:trPr>
          <w:trHeight w:val="193"/>
        </w:trPr>
        <w:tc>
          <w:tcPr>
            <w:tcW w:w="520" w:type="dxa"/>
            <w:vAlign w:val="bottom"/>
          </w:tcPr>
          <w:p>
            <w:pPr>
              <w:spacing w:after="0"/>
              <w:rPr>
                <w:sz w:val="20"/>
                <w:szCs w:val="20"/>
                <w:color w:val="auto"/>
              </w:rPr>
            </w:pPr>
            <w:r>
              <w:rPr>
                <w:rFonts w:ascii="Arial" w:cs="Arial" w:eastAsia="Arial" w:hAnsi="Arial"/>
                <w:sz w:val="14"/>
                <w:szCs w:val="14"/>
                <w:color w:val="auto"/>
              </w:rPr>
              <w:t>2017</w:t>
            </w:r>
          </w:p>
        </w:tc>
        <w:tc>
          <w:tcPr>
            <w:tcW w:w="2460" w:type="dxa"/>
            <w:vAlign w:val="bottom"/>
          </w:tcPr>
          <w:p>
            <w:pPr>
              <w:ind w:left="180"/>
              <w:spacing w:after="0"/>
              <w:rPr>
                <w:sz w:val="20"/>
                <w:szCs w:val="20"/>
                <w:color w:val="auto"/>
              </w:rPr>
            </w:pPr>
            <w:r>
              <w:rPr>
                <w:rFonts w:ascii="Arial" w:cs="Arial" w:eastAsia="Arial" w:hAnsi="Arial"/>
                <w:sz w:val="14"/>
                <w:szCs w:val="14"/>
                <w:color w:val="auto"/>
              </w:rPr>
              <w:t>Tax Valuation</w:t>
            </w:r>
          </w:p>
        </w:tc>
        <w:tc>
          <w:tcPr>
            <w:tcW w:w="660" w:type="dxa"/>
            <w:vAlign w:val="bottom"/>
          </w:tcPr>
          <w:p>
            <w:pPr>
              <w:spacing w:after="0"/>
              <w:rPr>
                <w:sz w:val="16"/>
                <w:szCs w:val="16"/>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24</w:t>
            </w:r>
          </w:p>
        </w:tc>
        <w:tc>
          <w:tcPr>
            <w:tcW w:w="680" w:type="dxa"/>
            <w:vAlign w:val="bottom"/>
          </w:tcPr>
          <w:p>
            <w:pPr>
              <w:spacing w:after="0"/>
              <w:rPr>
                <w:sz w:val="16"/>
                <w:szCs w:val="16"/>
                <w:color w:val="auto"/>
              </w:rPr>
            </w:pPr>
          </w:p>
        </w:tc>
        <w:tc>
          <w:tcPr>
            <w:tcW w:w="800" w:type="dxa"/>
            <w:vAlign w:val="bottom"/>
          </w:tcPr>
          <w:p>
            <w:pPr>
              <w:jc w:val="right"/>
              <w:ind w:right="75"/>
              <w:spacing w:after="0"/>
              <w:rPr>
                <w:sz w:val="20"/>
                <w:szCs w:val="20"/>
                <w:color w:val="auto"/>
              </w:rPr>
            </w:pPr>
            <w:r>
              <w:rPr>
                <w:rFonts w:ascii="Arial" w:cs="Arial" w:eastAsia="Arial" w:hAnsi="Arial"/>
                <w:sz w:val="13"/>
                <w:szCs w:val="13"/>
                <w:color w:val="auto"/>
              </w:rPr>
              <w:t>16</w:t>
            </w:r>
          </w:p>
        </w:tc>
        <w:tc>
          <w:tcPr>
            <w:tcW w:w="84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700" w:type="dxa"/>
            <w:vAlign w:val="bottom"/>
          </w:tcPr>
          <w:p>
            <w:pPr>
              <w:spacing w:after="0"/>
              <w:rPr>
                <w:sz w:val="16"/>
                <w:szCs w:val="16"/>
                <w:color w:val="auto"/>
              </w:rPr>
            </w:pPr>
          </w:p>
        </w:tc>
        <w:tc>
          <w:tcPr>
            <w:tcW w:w="800" w:type="dxa"/>
            <w:vAlign w:val="bottom"/>
          </w:tcPr>
          <w:p>
            <w:pPr>
              <w:jc w:val="right"/>
              <w:ind w:right="75"/>
              <w:spacing w:after="0"/>
              <w:rPr>
                <w:sz w:val="20"/>
                <w:szCs w:val="20"/>
                <w:color w:val="auto"/>
              </w:rPr>
            </w:pPr>
            <w:r>
              <w:rPr>
                <w:rFonts w:ascii="Arial" w:cs="Arial" w:eastAsia="Arial" w:hAnsi="Arial"/>
                <w:sz w:val="13"/>
                <w:szCs w:val="13"/>
                <w:color w:val="auto"/>
              </w:rPr>
              <w:t>35</w:t>
            </w:r>
          </w:p>
        </w:tc>
      </w:tr>
    </w:tbl>
    <w:p>
      <w:pPr>
        <w:spacing w:after="0" w:line="10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__________</w:t>
      </w:r>
    </w:p>
    <w:p>
      <w:pPr>
        <w:spacing w:after="0" w:line="3" w:lineRule="exact"/>
        <w:rPr>
          <w:sz w:val="20"/>
          <w:szCs w:val="20"/>
          <w:color w:val="auto"/>
        </w:rPr>
      </w:pPr>
    </w:p>
    <w:p>
      <w:pPr>
        <w:ind w:left="260" w:hanging="254"/>
        <w:spacing w:after="0"/>
        <w:tabs>
          <w:tab w:leader="none" w:pos="260"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additions charged to expense represent bad debt provisions relate to estimated losses due to credit and similar collectibility issues.</w:t>
      </w:r>
    </w:p>
    <w:p>
      <w:pPr>
        <w:spacing w:after="0" w:line="2" w:lineRule="exact"/>
        <w:rPr>
          <w:rFonts w:ascii="Arial" w:cs="Arial" w:eastAsia="Arial" w:hAnsi="Arial"/>
          <w:sz w:val="11"/>
          <w:szCs w:val="11"/>
          <w:i w:val="1"/>
          <w:iCs w:val="1"/>
          <w:color w:val="auto"/>
        </w:rPr>
      </w:pPr>
    </w:p>
    <w:p>
      <w:pPr>
        <w:ind w:left="260" w:hanging="254"/>
        <w:spacing w:after="0"/>
        <w:tabs>
          <w:tab w:leader="none" w:pos="260"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 Other charges (credits) relate to adjustments to reserves necessary to reflect events of non-payment such as customer accommodations and contract terminations.</w:t>
      </w:r>
    </w:p>
    <w:p>
      <w:pPr>
        <w:spacing w:after="0" w:line="2" w:lineRule="exact"/>
        <w:rPr>
          <w:rFonts w:ascii="Arial" w:cs="Arial" w:eastAsia="Arial" w:hAnsi="Arial"/>
          <w:sz w:val="11"/>
          <w:szCs w:val="11"/>
          <w:i w:val="1"/>
          <w:iCs w:val="1"/>
          <w:color w:val="auto"/>
        </w:rPr>
      </w:pPr>
    </w:p>
    <w:p>
      <w:pPr>
        <w:ind w:left="260" w:right="140" w:hanging="254"/>
        <w:spacing w:after="0" w:line="245" w:lineRule="auto"/>
        <w:tabs>
          <w:tab w:leader="none" w:pos="249"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Deductions and other, net of recoveries primarily relates to receivable and contract asset write-offs, but also includes reclassification to other balance sheet accounts, the impact of foreign currency translation adjustments and recoveries of previously written off receivables and contract assets.</w:t>
      </w:r>
    </w:p>
    <w:p>
      <w:pPr>
        <w:ind w:left="260" w:right="100" w:hanging="254"/>
        <w:spacing w:after="0" w:line="266" w:lineRule="auto"/>
        <w:tabs>
          <w:tab w:leader="none" w:pos="249"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Tax Valuation: tax valuation allowance are primarily related to certain net operating loss carryforwards, tax credit carryforwards and deductible temporary differences for which we have concluded it is more-likely-than-not that these items will not be realized in the ordinary course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16. FORM 10-K SUMMARY</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bookmarkStart w:id="97" w:name="page98"/>
    <w:bookmarkEnd w:id="97"/>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EXHIBIT INDEX</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Document and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014845" cy="130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ectPr>
          <w:pgSz w:w="11900" w:h="16838" w:orient="portrait"/>
          <w:cols w:equalWidth="0" w:num="1">
            <w:col w:w="11440"/>
          </w:cols>
          <w:pgMar w:left="220" w:top="153" w:right="2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94361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3610"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4.1(a)</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4.1(b)</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4.1(c)</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4.1(d)</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4.1(e)</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4.1(f)</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4.2</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10.1(a)</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4"/>
          <w:szCs w:val="14"/>
          <w:u w:val="single" w:color="auto"/>
          <w:color w:val="0000FF"/>
        </w:rPr>
      </w:pPr>
      <w:hyperlink r:id="rId142">
        <w:r>
          <w:rPr>
            <w:rFonts w:ascii="Arial" w:cs="Arial" w:eastAsia="Arial" w:hAnsi="Arial"/>
            <w:sz w:val="14"/>
            <w:szCs w:val="14"/>
            <w:u w:val="single" w:color="auto"/>
            <w:color w:val="0000FF"/>
          </w:rPr>
          <w:t>Separation and Distribution Agreement, dated as of December 30, 2016, by and between Xerox Corporation and Conduent Incorporated.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27940</wp:posOffset>
            </wp:positionV>
            <wp:extent cx="7014845" cy="130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2.1 to Registrant’s Current Report on Form 8-K dated January 3, 2017. (See SEC File Number 001-37817).</w:t>
      </w:r>
    </w:p>
    <w:p>
      <w:pPr>
        <w:spacing w:after="0" w:line="33" w:lineRule="exact"/>
        <w:rPr>
          <w:sz w:val="20"/>
          <w:szCs w:val="20"/>
          <w:color w:val="auto"/>
        </w:rPr>
      </w:pPr>
    </w:p>
    <w:p>
      <w:pPr>
        <w:spacing w:after="0"/>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Restated Certificate of Incorporation of Registrant as of December 23,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130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3.1 to Registrant’s Current Report on Form 8-K dated December 23, 2016. (See SEC File Number 001-37817).</w:t>
      </w:r>
    </w:p>
    <w:p>
      <w:pPr>
        <w:spacing w:after="0" w:line="33" w:lineRule="exact"/>
        <w:rPr>
          <w:sz w:val="20"/>
          <w:szCs w:val="20"/>
          <w:color w:val="auto"/>
        </w:rPr>
      </w:pPr>
    </w:p>
    <w:p>
      <w:pPr>
        <w:spacing w:after="0"/>
        <w:rPr>
          <w:rFonts w:ascii="Arial" w:cs="Arial" w:eastAsia="Arial" w:hAnsi="Arial"/>
          <w:sz w:val="14"/>
          <w:szCs w:val="14"/>
          <w:u w:val="single" w:color="auto"/>
          <w:color w:val="0000FF"/>
        </w:rPr>
      </w:pPr>
      <w:hyperlink r:id="rId146">
        <w:r>
          <w:rPr>
            <w:rFonts w:ascii="Arial" w:cs="Arial" w:eastAsia="Arial" w:hAnsi="Arial"/>
            <w:sz w:val="14"/>
            <w:szCs w:val="14"/>
            <w:u w:val="single" w:color="auto"/>
            <w:color w:val="0000FF"/>
          </w:rPr>
          <w:t>Amended and Restated By-Laws of Registrant as amended through December 31,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130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3.2 to Registrant’s Current Report on Form 8-K dated December 23, 2016.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Indenture, dated as of December 7, 2016, among Conduent Finance, Inc., Xerox Business Services, LLC, the Guarantors named therein and U.S.</w:t>
        </w:r>
      </w:hyperlink>
    </w:p>
    <w:p>
      <w:pPr>
        <w:spacing w:after="0"/>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7620</wp:posOffset>
            </wp:positionV>
            <wp:extent cx="7014845" cy="130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4.1 to Registrant’s Current Report on Form 8-K dated December 9, 2016. (See SEC File Number 001-37817).</w:t>
      </w:r>
    </w:p>
    <w:p>
      <w:pPr>
        <w:spacing w:after="0" w:line="33" w:lineRule="exact"/>
        <w:rPr>
          <w:sz w:val="20"/>
          <w:szCs w:val="20"/>
          <w:color w:val="auto"/>
        </w:rPr>
      </w:pPr>
    </w:p>
    <w:p>
      <w:pPr>
        <w:ind w:right="660"/>
        <w:spacing w:after="0" w:line="232" w:lineRule="auto"/>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First Supplemental Indenture, dated as of January 9, 2018, among Conduent Finance, Inc., Xerox Business Services, LLC, the Guarantors named</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1270</wp:posOffset>
            </wp:positionV>
            <wp:extent cx="7014845" cy="2324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 w:lineRule="exact"/>
        <w:rPr>
          <w:sz w:val="20"/>
          <w:szCs w:val="20"/>
          <w:color w:val="auto"/>
        </w:rPr>
      </w:pPr>
    </w:p>
    <w:p>
      <w:pPr>
        <w:ind w:right="740"/>
        <w:spacing w:after="0" w:line="256" w:lineRule="auto"/>
        <w:rPr>
          <w:sz w:val="20"/>
          <w:szCs w:val="20"/>
          <w:color w:val="auto"/>
        </w:rPr>
      </w:pPr>
      <w:r>
        <w:rPr>
          <w:rFonts w:ascii="Arial" w:cs="Arial" w:eastAsia="Arial" w:hAnsi="Arial"/>
          <w:sz w:val="14"/>
          <w:szCs w:val="14"/>
          <w:color w:val="auto"/>
        </w:rPr>
        <w:t>Incorporated by reference to Exhibit 4.1(a) to the Registrant's Quarterly Report on Form 10-Q dated August 8, 2018. (See SEC File Number 001-37817).</w:t>
      </w:r>
    </w:p>
    <w:p>
      <w:pPr>
        <w:spacing w:after="0" w:line="12" w:lineRule="exact"/>
        <w:rPr>
          <w:sz w:val="20"/>
          <w:szCs w:val="20"/>
          <w:color w:val="auto"/>
        </w:rPr>
      </w:pPr>
    </w:p>
    <w:p>
      <w:pPr>
        <w:ind w:right="660"/>
        <w:spacing w:after="0" w:line="232" w:lineRule="auto"/>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Second Supplemental Indenture, dated as of June 1, 2018, among Conduent Finance, Inc., Xerox Business Services, LLC, the Guarantors named</w:t>
        </w:r>
      </w:hyperlink>
      <w:r>
        <w:rPr>
          <w:rFonts w:ascii="Arial" w:cs="Arial" w:eastAsia="Arial" w:hAnsi="Arial"/>
          <w:sz w:val="14"/>
          <w:szCs w:val="14"/>
          <w:u w:val="single" w:color="auto"/>
          <w:color w:val="0000FF"/>
        </w:rPr>
        <w:t xml:space="preserve"> </w:t>
      </w:r>
      <w:hyperlink r:id="rId152">
        <w:r>
          <w:rPr>
            <w:rFonts w:ascii="Arial" w:cs="Arial" w:eastAsia="Arial" w:hAnsi="Arial"/>
            <w:sz w:val="14"/>
            <w:szCs w:val="14"/>
            <w:u w:val="single" w:color="auto"/>
            <w:color w:val="0000FF"/>
          </w:rPr>
          <w:t>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1270</wp:posOffset>
            </wp:positionV>
            <wp:extent cx="7014845" cy="2324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 w:lineRule="exact"/>
        <w:rPr>
          <w:sz w:val="20"/>
          <w:szCs w:val="20"/>
          <w:color w:val="auto"/>
        </w:rPr>
      </w:pPr>
    </w:p>
    <w:p>
      <w:pPr>
        <w:ind w:right="740"/>
        <w:spacing w:after="0" w:line="256" w:lineRule="auto"/>
        <w:rPr>
          <w:sz w:val="20"/>
          <w:szCs w:val="20"/>
          <w:color w:val="auto"/>
        </w:rPr>
      </w:pPr>
      <w:r>
        <w:rPr>
          <w:rFonts w:ascii="Arial" w:cs="Arial" w:eastAsia="Arial" w:hAnsi="Arial"/>
          <w:sz w:val="14"/>
          <w:szCs w:val="14"/>
          <w:color w:val="auto"/>
        </w:rPr>
        <w:t>Incorporated by reference to Exhibit 4.1(b) to the Registrant's Quarterly Report on Form 10-Q dated August 8, 2018. (See SEC File Number 001-37817).</w:t>
      </w:r>
    </w:p>
    <w:p>
      <w:pPr>
        <w:spacing w:after="0" w:line="12" w:lineRule="exact"/>
        <w:rPr>
          <w:sz w:val="20"/>
          <w:szCs w:val="20"/>
          <w:color w:val="auto"/>
        </w:rPr>
      </w:pPr>
    </w:p>
    <w:p>
      <w:pPr>
        <w:ind w:right="820"/>
        <w:spacing w:after="0" w:line="232" w:lineRule="auto"/>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Third Supplemental Indenture, dated as of June 1, 2018, among Conduent Finance, Inc., Xerox Business Services, LLC, the Guarantors named</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1270</wp:posOffset>
            </wp:positionV>
            <wp:extent cx="7014845" cy="2324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 w:lineRule="exact"/>
        <w:rPr>
          <w:sz w:val="20"/>
          <w:szCs w:val="20"/>
          <w:color w:val="auto"/>
        </w:rPr>
      </w:pPr>
    </w:p>
    <w:p>
      <w:pPr>
        <w:ind w:right="760"/>
        <w:spacing w:after="0" w:line="256" w:lineRule="auto"/>
        <w:rPr>
          <w:sz w:val="20"/>
          <w:szCs w:val="20"/>
          <w:color w:val="auto"/>
        </w:rPr>
      </w:pPr>
      <w:r>
        <w:rPr>
          <w:rFonts w:ascii="Arial" w:cs="Arial" w:eastAsia="Arial" w:hAnsi="Arial"/>
          <w:sz w:val="14"/>
          <w:szCs w:val="14"/>
          <w:color w:val="auto"/>
        </w:rPr>
        <w:t>Incorporated by reference to Exhibit 4.1(c) to the Registrant's Quarterly Report on Form 10-Q dated August 8, 2018. (See SEC File Number 001-37817).</w:t>
      </w:r>
    </w:p>
    <w:p>
      <w:pPr>
        <w:spacing w:after="0" w:line="12" w:lineRule="exact"/>
        <w:rPr>
          <w:sz w:val="20"/>
          <w:szCs w:val="20"/>
          <w:color w:val="auto"/>
        </w:rPr>
      </w:pPr>
    </w:p>
    <w:p>
      <w:pPr>
        <w:jc w:val="both"/>
        <w:ind w:right="720"/>
        <w:spacing w:after="0" w:line="232" w:lineRule="auto"/>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Fourth Supplemental Indenture, dated as of June 1, 2018, among Conduent Finance, Inc., Xerox Business Services, LLC, the Guarantors named</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1270</wp:posOffset>
            </wp:positionV>
            <wp:extent cx="7014845" cy="2324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 w:lineRule="exact"/>
        <w:rPr>
          <w:sz w:val="20"/>
          <w:szCs w:val="20"/>
          <w:color w:val="auto"/>
        </w:rPr>
      </w:pPr>
    </w:p>
    <w:p>
      <w:pPr>
        <w:ind w:right="740"/>
        <w:spacing w:after="0" w:line="256" w:lineRule="auto"/>
        <w:rPr>
          <w:sz w:val="20"/>
          <w:szCs w:val="20"/>
          <w:color w:val="auto"/>
        </w:rPr>
      </w:pPr>
      <w:r>
        <w:rPr>
          <w:rFonts w:ascii="Arial" w:cs="Arial" w:eastAsia="Arial" w:hAnsi="Arial"/>
          <w:sz w:val="14"/>
          <w:szCs w:val="14"/>
          <w:color w:val="auto"/>
        </w:rPr>
        <w:t>Incorporated by reference to Exhibit 4.1(d) to the Registrant's Quarterly Report on Form 10-Q dated August 8, 2018. (See SEC File Number 001-37817).</w:t>
      </w:r>
    </w:p>
    <w:p>
      <w:pPr>
        <w:spacing w:after="0" w:line="12" w:lineRule="exact"/>
        <w:rPr>
          <w:sz w:val="20"/>
          <w:szCs w:val="20"/>
          <w:color w:val="auto"/>
        </w:rPr>
      </w:pPr>
    </w:p>
    <w:p>
      <w:pPr>
        <w:ind w:right="840"/>
        <w:spacing w:after="0" w:line="232" w:lineRule="auto"/>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Fifth Supplemental Indenture, dated as of July 12, 2018, among Conduent Finance, Inc., Xerox Business Services, LLC, the Guarantors named</w:t>
        </w:r>
      </w:hyperlink>
      <w:r>
        <w:rPr>
          <w:rFonts w:ascii="Arial" w:cs="Arial" w:eastAsia="Arial" w:hAnsi="Arial"/>
          <w:sz w:val="14"/>
          <w:szCs w:val="14"/>
          <w:u w:val="single" w:color="auto"/>
          <w:color w:val="0000FF"/>
        </w:rPr>
        <w:t xml:space="preserve"> </w:t>
      </w:r>
      <w:hyperlink r:id="rId158">
        <w:r>
          <w:rPr>
            <w:rFonts w:ascii="Arial" w:cs="Arial" w:eastAsia="Arial" w:hAnsi="Arial"/>
            <w:sz w:val="14"/>
            <w:szCs w:val="14"/>
            <w:u w:val="single" w:color="auto"/>
            <w:color w:val="0000FF"/>
          </w:rPr>
          <w:t>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1270</wp:posOffset>
            </wp:positionV>
            <wp:extent cx="7014845" cy="130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4.1 to Registrant’s Current Report on Form 8-K dated July 12, 2018. (See SEC File Number 001-37817).</w:t>
      </w:r>
    </w:p>
    <w:p>
      <w:pPr>
        <w:spacing w:after="0" w:line="44" w:lineRule="exact"/>
        <w:rPr>
          <w:sz w:val="20"/>
          <w:szCs w:val="20"/>
          <w:color w:val="auto"/>
        </w:rPr>
      </w:pPr>
    </w:p>
    <w:p>
      <w:pPr>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4.2 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051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014845" cy="205105"/>
                    </a:xfrm>
                    <a:prstGeom prst="rect">
                      <a:avLst/>
                    </a:prstGeom>
                    <a:noFill/>
                  </pic:spPr>
                </pic:pic>
              </a:graphicData>
            </a:graphic>
          </wp:anchor>
        </w:drawing>
      </w:r>
    </w:p>
    <w:p>
      <w:pPr>
        <w:spacing w:after="0" w:line="13" w:lineRule="exact"/>
        <w:rPr>
          <w:sz w:val="20"/>
          <w:szCs w:val="20"/>
          <w:color w:val="auto"/>
        </w:rPr>
      </w:pPr>
    </w:p>
    <w:p>
      <w:pPr>
        <w:jc w:val="both"/>
        <w:ind w:right="720"/>
        <w:spacing w:after="0" w:line="232" w:lineRule="auto"/>
        <w:rPr>
          <w:rFonts w:ascii="Arial" w:cs="Arial" w:eastAsia="Arial" w:hAnsi="Arial"/>
          <w:sz w:val="14"/>
          <w:szCs w:val="14"/>
          <w:u w:val="single" w:color="auto"/>
          <w:color w:val="0000FF"/>
        </w:rPr>
      </w:pPr>
      <w:hyperlink r:id="rId161">
        <w:r>
          <w:rPr>
            <w:rFonts w:ascii="Arial" w:cs="Arial" w:eastAsia="Arial" w:hAnsi="Arial"/>
            <w:sz w:val="14"/>
            <w:szCs w:val="14"/>
            <w:u w:val="single" w:color="auto"/>
            <w:color w:val="0000FF"/>
          </w:rPr>
          <w:t>Credit Agreement, dated as of December 7, 2016, among Conduent Incorporated, Xerox Business Services, LLC, Affiliated Computer Services</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International B.V., Conduent Finance, Inc., the Lenders from time to time party thereto and JPMorgan Chase Bank, N.A., as Administrative Agent.</w:t>
        </w:r>
      </w:hyperlink>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December 9, 2016.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94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014845" cy="294005"/>
                    </a:xfrm>
                    <a:prstGeom prst="rect">
                      <a:avLst/>
                    </a:prstGeom>
                    <a:noFill/>
                  </pic:spPr>
                </pic:pic>
              </a:graphicData>
            </a:graphic>
          </wp:anchor>
        </w:drawing>
      </w:r>
    </w:p>
    <w:p>
      <w:pPr>
        <w:spacing w:after="0" w:line="13" w:lineRule="exact"/>
        <w:rPr>
          <w:sz w:val="20"/>
          <w:szCs w:val="20"/>
          <w:color w:val="auto"/>
        </w:rPr>
      </w:pPr>
    </w:p>
    <w:p>
      <w:pPr>
        <w:jc w:val="both"/>
        <w:ind w:right="720"/>
        <w:spacing w:after="0" w:line="224" w:lineRule="auto"/>
        <w:rPr>
          <w:rFonts w:ascii="Arial" w:cs="Arial" w:eastAsia="Arial" w:hAnsi="Arial"/>
          <w:sz w:val="14"/>
          <w:szCs w:val="14"/>
          <w:u w:val="single" w:color="auto"/>
          <w:color w:val="0000FF"/>
        </w:rPr>
      </w:pPr>
      <w:hyperlink r:id="rId163">
        <w:r>
          <w:rPr>
            <w:rFonts w:ascii="Arial" w:cs="Arial" w:eastAsia="Arial" w:hAnsi="Arial"/>
            <w:sz w:val="14"/>
            <w:szCs w:val="14"/>
            <w:u w:val="single" w:color="auto"/>
            <w:color w:val="0000FF"/>
          </w:rPr>
          <w:t>Amendment No. 1 to Credit Agreement, dated as of April 1, 2017, among Conduent Incorporated, Conduent Business Services, LLC (f/k/a Xerox</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Business Services, LLC), Affiliated Computer Services International B.V., Conduent Finance, Inc., the Lenders from time to time party thereto and</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JPMorgan Chase Bank, N.A. as Administrative Agent.</w:t>
        </w:r>
      </w:hyperlink>
    </w:p>
    <w:p>
      <w:pPr>
        <w:spacing w:after="0" w:line="200" w:lineRule="exact"/>
        <w:rPr>
          <w:rFonts w:ascii="Arial" w:cs="Arial" w:eastAsia="Arial" w:hAnsi="Arial"/>
          <w:sz w:val="14"/>
          <w:szCs w:val="14"/>
          <w:u w:val="single" w:color="auto"/>
          <w:color w:val="0000FF"/>
        </w:rPr>
      </w:pPr>
    </w:p>
    <w:p>
      <w:pPr>
        <w:spacing w:after="0" w:line="307" w:lineRule="exact"/>
        <w:rPr>
          <w:rFonts w:ascii="Arial" w:cs="Arial" w:eastAsia="Arial" w:hAnsi="Arial"/>
          <w:sz w:val="14"/>
          <w:szCs w:val="14"/>
          <w:u w:val="single" w:color="auto"/>
          <w:color w:val="0000FF"/>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rFonts w:ascii="Arial" w:cs="Arial" w:eastAsia="Arial" w:hAnsi="Arial"/>
          <w:sz w:val="14"/>
          <w:szCs w:val="14"/>
          <w:u w:val="single" w:color="auto"/>
          <w:color w:val="0000FF"/>
        </w:rPr>
      </w:pPr>
    </w:p>
    <w:p>
      <w:pPr>
        <w:ind w:left="4160"/>
        <w:spacing w:after="0"/>
        <w:rPr>
          <w:sz w:val="20"/>
          <w:szCs w:val="20"/>
          <w:color w:val="auto"/>
        </w:rPr>
      </w:pPr>
      <w:r>
        <w:rPr>
          <w:rFonts w:ascii="Arial" w:cs="Arial" w:eastAsia="Arial" w:hAnsi="Arial"/>
          <w:sz w:val="14"/>
          <w:szCs w:val="14"/>
          <w:color w:val="auto"/>
        </w:rPr>
        <w:t>96</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-960755</wp:posOffset>
            </wp:positionH>
            <wp:positionV relativeFrom="paragraph">
              <wp:posOffset>49530</wp:posOffset>
            </wp:positionV>
            <wp:extent cx="729996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2">
            <w:col w:w="780" w:space="720"/>
            <w:col w:w="9940"/>
          </w:cols>
          <w:pgMar w:left="220" w:top="153" w:right="23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10.1(c)</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10.1(d)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10.1(e)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10.3(a)</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10.3(b)</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10.3(c)</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10.4(a)</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10.4(b)</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10.5(a)</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10.5(b)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April 11, 2017.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94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014845" cy="294005"/>
                    </a:xfrm>
                    <a:prstGeom prst="rect">
                      <a:avLst/>
                    </a:prstGeom>
                    <a:noFill/>
                  </pic:spPr>
                </pic:pic>
              </a:graphicData>
            </a:graphic>
          </wp:anchor>
        </w:drawing>
      </w:r>
    </w:p>
    <w:p>
      <w:pPr>
        <w:spacing w:after="0" w:line="13" w:lineRule="exact"/>
        <w:rPr>
          <w:sz w:val="20"/>
          <w:szCs w:val="20"/>
          <w:color w:val="auto"/>
        </w:rPr>
      </w:pPr>
    </w:p>
    <w:p>
      <w:pPr>
        <w:ind w:right="460"/>
        <w:spacing w:after="0" w:line="224" w:lineRule="auto"/>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Amendment No. 2 to Credit Agreement, dated as of October 10, 2017, among Conduent Incorporated, Conduent Business Services, LLC (f/k/a Xerox</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Business Services, LLC), Affiliated Computer Services International B.V., Conduent Finance, Inc., the Lenders from time to time party thereto and</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JPMorgan Chase Bank, N.A. as Administrative Agent.</w:t>
        </w:r>
      </w:hyperlink>
    </w:p>
    <w:p>
      <w:pPr>
        <w:spacing w:after="0" w:line="23"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October 10, 2017. (See SEC File Number 001-37817).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94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014845" cy="294005"/>
                    </a:xfrm>
                    <a:prstGeom prst="rect">
                      <a:avLst/>
                    </a:prstGeom>
                    <a:noFill/>
                  </pic:spPr>
                </pic:pic>
              </a:graphicData>
            </a:graphic>
          </wp:anchor>
        </w:drawing>
      </w:r>
    </w:p>
    <w:p>
      <w:pPr>
        <w:spacing w:after="0" w:line="13" w:lineRule="exact"/>
        <w:rPr>
          <w:rFonts w:ascii="Arial" w:cs="Arial" w:eastAsia="Arial" w:hAnsi="Arial"/>
          <w:sz w:val="14"/>
          <w:szCs w:val="14"/>
          <w:u w:val="single" w:color="auto"/>
          <w:color w:val="0000FF"/>
        </w:rPr>
      </w:pPr>
    </w:p>
    <w:p>
      <w:pPr>
        <w:jc w:val="both"/>
        <w:ind w:right="660"/>
        <w:spacing w:after="0" w:line="224" w:lineRule="auto"/>
        <w:rPr>
          <w:rFonts w:ascii="Arial" w:cs="Arial" w:eastAsia="Arial" w:hAnsi="Arial"/>
          <w:sz w:val="14"/>
          <w:szCs w:val="14"/>
          <w:u w:val="single" w:color="auto"/>
          <w:color w:val="0000FF"/>
        </w:rPr>
      </w:pPr>
      <w:hyperlink r:id="rId168">
        <w:r>
          <w:rPr>
            <w:rFonts w:ascii="Arial" w:cs="Arial" w:eastAsia="Arial" w:hAnsi="Arial"/>
            <w:sz w:val="14"/>
            <w:szCs w:val="14"/>
            <w:u w:val="single" w:color="auto"/>
            <w:color w:val="0000FF"/>
          </w:rPr>
          <w:t>Amendment No. 3 to Credit Agreement, dated as of June 28, 2018, among Conduent Incorporated, Conduent Business Services, LLC (f/k/a Xerox</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Business Services, LLC), Affiliated Computer Services International B.V., Conduent Finance, Inc., the Lenders from time to time party thereto and</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JPMorgan Chase Bank, N.A. as Administrative Agent.</w:t>
        </w:r>
      </w:hyperlink>
    </w:p>
    <w:p>
      <w:pPr>
        <w:spacing w:after="0" w:line="23"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June 28, 2018. (See SEC File Number 001-37817).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051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014845" cy="205105"/>
                    </a:xfrm>
                    <a:prstGeom prst="rect">
                      <a:avLst/>
                    </a:prstGeom>
                    <a:noFill/>
                  </pic:spPr>
                </pic:pic>
              </a:graphicData>
            </a:graphic>
          </wp:anchor>
        </w:drawing>
      </w:r>
    </w:p>
    <w:p>
      <w:pPr>
        <w:spacing w:after="0" w:line="13" w:lineRule="exact"/>
        <w:rPr>
          <w:rFonts w:ascii="Arial" w:cs="Arial" w:eastAsia="Arial" w:hAnsi="Arial"/>
          <w:sz w:val="14"/>
          <w:szCs w:val="14"/>
          <w:u w:val="single" w:color="auto"/>
          <w:color w:val="0000FF"/>
        </w:rPr>
      </w:pPr>
    </w:p>
    <w:p>
      <w:pPr>
        <w:ind w:right="960"/>
        <w:spacing w:after="0" w:line="232" w:lineRule="auto"/>
        <w:rPr>
          <w:rFonts w:ascii="Arial" w:cs="Arial" w:eastAsia="Arial" w:hAnsi="Arial"/>
          <w:sz w:val="14"/>
          <w:szCs w:val="14"/>
          <w:u w:val="single" w:color="auto"/>
          <w:color w:val="0000FF"/>
        </w:rPr>
      </w:pPr>
      <w:hyperlink r:id="rId170">
        <w:r>
          <w:rPr>
            <w:rFonts w:ascii="Arial" w:cs="Arial" w:eastAsia="Arial" w:hAnsi="Arial"/>
            <w:sz w:val="14"/>
            <w:szCs w:val="14"/>
            <w:u w:val="single" w:color="auto"/>
            <w:color w:val="0000FF"/>
          </w:rPr>
          <w:t>First Incremental Agreement, dated as of January 3, 2017, among JPMorgan Chase Bank, N.A., as Administrative Agent and Xerox Business</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Services, LLC.</w:t>
        </w:r>
      </w:hyperlink>
    </w:p>
    <w:p>
      <w:pPr>
        <w:spacing w:after="0" w:line="23" w:lineRule="exact"/>
        <w:rPr>
          <w:sz w:val="20"/>
          <w:szCs w:val="20"/>
          <w:color w:val="auto"/>
        </w:rPr>
      </w:pPr>
    </w:p>
    <w:p>
      <w:pPr>
        <w:ind w:right="800"/>
        <w:spacing w:after="0" w:line="256" w:lineRule="auto"/>
        <w:rPr>
          <w:sz w:val="20"/>
          <w:szCs w:val="20"/>
          <w:color w:val="auto"/>
        </w:rPr>
      </w:pPr>
      <w:r>
        <w:rPr>
          <w:rFonts w:ascii="Arial" w:cs="Arial" w:eastAsia="Arial" w:hAnsi="Arial"/>
          <w:sz w:val="14"/>
          <w:szCs w:val="14"/>
          <w:color w:val="auto"/>
        </w:rPr>
        <w:t>Incorporated by reference to Exhibit 10.1(b) to the Registrant's Annual Report on Form 10-K dated March 10, 2017,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1270</wp:posOffset>
            </wp:positionV>
            <wp:extent cx="7014845" cy="130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Tax Matters Agreement, dated as of December 30, 2016, by and between Xerox Corporation and Conduent Incorporated.</w:t>
        </w:r>
      </w:hyperlink>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10.2 to Registrant’s Current Report on Form 8-K dated January 3, 2017.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13" w:lineRule="exact"/>
        <w:rPr>
          <w:sz w:val="20"/>
          <w:szCs w:val="20"/>
          <w:color w:val="auto"/>
        </w:rPr>
      </w:pPr>
    </w:p>
    <w:p>
      <w:pPr>
        <w:spacing w:after="0"/>
        <w:rPr>
          <w:rFonts w:ascii="Arial" w:cs="Arial" w:eastAsia="Arial" w:hAnsi="Arial"/>
          <w:sz w:val="14"/>
          <w:szCs w:val="14"/>
          <w:u w:val="single" w:color="auto"/>
          <w:color w:val="0000FF"/>
        </w:rPr>
      </w:pPr>
      <w:hyperlink r:id="rId174">
        <w:r>
          <w:rPr>
            <w:rFonts w:ascii="Arial" w:cs="Arial" w:eastAsia="Arial" w:hAnsi="Arial"/>
            <w:sz w:val="14"/>
            <w:szCs w:val="14"/>
            <w:u w:val="single" w:color="auto"/>
            <w:color w:val="0000FF"/>
          </w:rPr>
          <w:t>Employee Matters Agreement, dated as of December 30, 2016, by and between Xerox Corporation and Conduent Incorporated.</w:t>
        </w:r>
      </w:hyperlink>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10.3 to Registrant’s Current Report on Form 8-K dated January 3, 2017.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13" w:lineRule="exact"/>
        <w:rPr>
          <w:sz w:val="20"/>
          <w:szCs w:val="20"/>
          <w:color w:val="auto"/>
        </w:rPr>
      </w:pPr>
    </w:p>
    <w:p>
      <w:pPr>
        <w:spacing w:after="0"/>
        <w:rPr>
          <w:rFonts w:ascii="Arial" w:cs="Arial" w:eastAsia="Arial" w:hAnsi="Arial"/>
          <w:sz w:val="14"/>
          <w:szCs w:val="14"/>
          <w:u w:val="single" w:color="auto"/>
          <w:color w:val="0000FF"/>
        </w:rPr>
      </w:pPr>
      <w:hyperlink r:id="rId176">
        <w:r>
          <w:rPr>
            <w:rFonts w:ascii="Arial" w:cs="Arial" w:eastAsia="Arial" w:hAnsi="Arial"/>
            <w:sz w:val="14"/>
            <w:szCs w:val="14"/>
            <w:u w:val="single" w:color="auto"/>
            <w:color w:val="0000FF"/>
          </w:rPr>
          <w:t>Intellectual Property Agreement, dated as of December 30, 2016, by and between Xerox Corporation and Conduent Incorporated.</w:t>
        </w:r>
      </w:hyperlink>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10.4 to Registrant’s Current Report on Form 8-K dated January 3, 2017.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94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014845" cy="294005"/>
                    </a:xfrm>
                    <a:prstGeom prst="rect">
                      <a:avLst/>
                    </a:prstGeom>
                    <a:noFill/>
                  </pic:spPr>
                </pic:pic>
              </a:graphicData>
            </a:graphic>
          </wp:anchor>
        </w:drawing>
      </w:r>
    </w:p>
    <w:p>
      <w:pPr>
        <w:spacing w:after="0" w:line="13" w:lineRule="exact"/>
        <w:rPr>
          <w:sz w:val="20"/>
          <w:szCs w:val="20"/>
          <w:color w:val="auto"/>
        </w:rPr>
      </w:pPr>
    </w:p>
    <w:p>
      <w:pPr>
        <w:ind w:right="500"/>
        <w:spacing w:after="0" w:line="224" w:lineRule="auto"/>
        <w:rPr>
          <w:rFonts w:ascii="Arial" w:cs="Arial" w:eastAsia="Arial" w:hAnsi="Arial"/>
          <w:sz w:val="14"/>
          <w:szCs w:val="14"/>
          <w:u w:val="single" w:color="auto"/>
          <w:color w:val="0000FF"/>
        </w:rPr>
      </w:pPr>
      <w:hyperlink r:id="rId178">
        <w:r>
          <w:rPr>
            <w:rFonts w:ascii="Arial" w:cs="Arial" w:eastAsia="Arial" w:hAnsi="Arial"/>
            <w:sz w:val="14"/>
            <w:szCs w:val="14"/>
            <w:u w:val="single" w:color="auto"/>
            <w:color w:val="0000FF"/>
          </w:rPr>
          <w:t>Joinder Agreement to Agreement, dated December 31, 2016, among Conduent Incorporated, Xerox Corporation, Icahn Partners Master Fund LP,</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Icahn Partners LP, Icahn Onshore LP, Icahn Offshore LP, Icahn Capital LP, IPH GP LLC, Icahn Enterprises Holdings L.P., Icahn Enterprises G.P. Inc.,</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Beckton Corp., High River Limited Partnership, Hopper Investments LLC, Barberry Corp., Jonathan Christodoro and Carl C. Icahn.</w:t>
        </w:r>
      </w:hyperlink>
    </w:p>
    <w:p>
      <w:pPr>
        <w:spacing w:after="0" w:line="23"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Incorporated by reference to Exhibit 10.6 to Registrant’s Current Report on Form 8-K dated January 3, 2017. (See SEC File Number 001-37817).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94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014845" cy="294005"/>
                    </a:xfrm>
                    <a:prstGeom prst="rect">
                      <a:avLst/>
                    </a:prstGeom>
                    <a:noFill/>
                  </pic:spPr>
                </pic:pic>
              </a:graphicData>
            </a:graphic>
          </wp:anchor>
        </w:drawing>
      </w:r>
    </w:p>
    <w:p>
      <w:pPr>
        <w:spacing w:after="0" w:line="13" w:lineRule="exact"/>
        <w:rPr>
          <w:rFonts w:ascii="Arial" w:cs="Arial" w:eastAsia="Arial" w:hAnsi="Arial"/>
          <w:sz w:val="14"/>
          <w:szCs w:val="14"/>
          <w:u w:val="single" w:color="auto"/>
          <w:color w:val="0000FF"/>
        </w:rPr>
      </w:pPr>
    </w:p>
    <w:p>
      <w:pPr>
        <w:ind w:right="420"/>
        <w:spacing w:after="0" w:line="224" w:lineRule="auto"/>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Agreement, dated January 28, 2016, among Xerox Corporation, Icahn Partners Master Fund LP, Icahn Partners LP, Icahn Onshore LP, Icahn Offshore</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LP, Icahn Capital LP, IPH GP LLC, Icahn Enterprises Holdings L.P., Icahn Enterprises G.P. Inc., Beckton Corp., High River Limited Partnership,</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Hopper Investments LLC, Barberry Corp., Jonathan Christodoro and Carl C. Icahn.</w:t>
        </w:r>
      </w:hyperlink>
    </w:p>
    <w:p>
      <w:pPr>
        <w:spacing w:after="0" w:line="23"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Incorporated by reference to Exhibit 10.6 to Registrant’s Amendment No. 1 to Form 10 dated August 15, 2016. (See SEC File Number 001-37817).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13"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Exchange Agreement dated October 27, 2016 by and among Darwin A. Deason, Conduent Incorporated and Xerox Corporation.</w:t>
        </w:r>
      </w:hyperlink>
    </w:p>
    <w:p>
      <w:pPr>
        <w:spacing w:after="0" w:line="54"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Incorporated by reference to Exhibit 10.14 to Registrant’s Amendment No. 5 to Form 10 dated October 28, 2016. (See SEC File Number 001-37817).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13"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184">
        <w:r>
          <w:rPr>
            <w:rFonts w:ascii="Arial" w:cs="Arial" w:eastAsia="Arial" w:hAnsi="Arial"/>
            <w:sz w:val="14"/>
            <w:szCs w:val="14"/>
            <w:u w:val="single" w:color="auto"/>
            <w:color w:val="0000FF"/>
          </w:rPr>
          <w:t>Shareholders Agreement dated December 18, 2018 by and between Darwin Deason and Conduent Incorporated.</w:t>
        </w:r>
      </w:hyperlink>
    </w:p>
    <w:p>
      <w:pPr>
        <w:spacing w:after="0" w:line="54"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December 18, 2018. (See SEC File Number 001-37817).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2324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44" w:lineRule="exact"/>
        <w:rPr>
          <w:rFonts w:ascii="Arial" w:cs="Arial" w:eastAsia="Arial" w:hAnsi="Arial"/>
          <w:sz w:val="14"/>
          <w:szCs w:val="14"/>
          <w:u w:val="single" w:color="auto"/>
          <w:color w:val="0000FF"/>
        </w:rPr>
      </w:pPr>
    </w:p>
    <w:p>
      <w:pPr>
        <w:sectPr>
          <w:pgSz w:w="11900" w:h="16838" w:orient="portrait"/>
          <w:cols w:equalWidth="0" w:num="2">
            <w:col w:w="1200" w:space="280"/>
            <w:col w:w="9940"/>
          </w:cols>
          <w:pgMar w:left="240" w:top="153" w:right="239" w:bottom="1440" w:gutter="0" w:footer="0" w:header="0"/>
        </w:sectPr>
      </w:pPr>
    </w:p>
    <w:p>
      <w:pPr>
        <w:ind w:right="660"/>
        <w:spacing w:after="0" w:line="256" w:lineRule="auto"/>
        <w:rPr>
          <w:sz w:val="20"/>
          <w:szCs w:val="20"/>
          <w:color w:val="auto"/>
        </w:rPr>
      </w:pPr>
      <w:r>
        <w:rPr>
          <w:rFonts w:ascii="Arial" w:cs="Arial" w:eastAsia="Arial" w:hAnsi="Arial"/>
          <w:sz w:val="14"/>
          <w:szCs w:val="14"/>
          <w:color w:val="auto"/>
        </w:rPr>
        <w:t>The management contracts or compensatory plans or arrangements listed below that are applicable to the executive officers named in the Summary Compensation Table which will appear in the Registrant’s 2020 Proxy Statement or to our directors are preceded by an asterisk (*).</w:t>
      </w:r>
    </w:p>
    <w:p>
      <w:pPr>
        <w:spacing w:after="0" w:line="12" w:lineRule="exact"/>
        <w:rPr>
          <w:rFonts w:ascii="Arial" w:cs="Arial" w:eastAsia="Arial" w:hAnsi="Arial"/>
          <w:sz w:val="14"/>
          <w:szCs w:val="14"/>
          <w:u w:val="single" w:color="auto"/>
          <w:color w:val="0000FF"/>
        </w:rPr>
      </w:pPr>
    </w:p>
    <w:p>
      <w:pPr>
        <w:spacing w:after="0"/>
        <w:tabs>
          <w:tab w:leader="none" w:pos="1460" w:val="left"/>
        </w:tabs>
        <w:rPr>
          <w:rFonts w:ascii="Arial" w:cs="Arial" w:eastAsia="Arial" w:hAnsi="Arial"/>
          <w:sz w:val="14"/>
          <w:szCs w:val="14"/>
          <w:u w:val="single" w:color="auto"/>
          <w:color w:val="0000FF"/>
        </w:rPr>
      </w:pPr>
      <w:r>
        <w:rPr>
          <w:rFonts w:ascii="Arial" w:cs="Arial" w:eastAsia="Arial" w:hAnsi="Arial"/>
          <w:sz w:val="14"/>
          <w:szCs w:val="14"/>
          <w:color w:val="auto"/>
        </w:rPr>
        <w:t>*10.6(a)(i)</w:t>
      </w:r>
      <w:r>
        <w:rPr>
          <w:sz w:val="20"/>
          <w:szCs w:val="20"/>
          <w:color w:val="auto"/>
        </w:rPr>
        <w:tab/>
      </w:r>
      <w:hyperlink r:id="rId186">
        <w:r>
          <w:rPr>
            <w:rFonts w:ascii="Arial" w:cs="Arial" w:eastAsia="Arial" w:hAnsi="Arial"/>
            <w:sz w:val="14"/>
            <w:szCs w:val="14"/>
            <w:u w:val="single" w:color="auto"/>
            <w:color w:val="0000FF"/>
          </w:rPr>
          <w:t>Registrant’s Performance Incentive Plan dated as of December 15, 2016 (“PIP”).</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20955</wp:posOffset>
            </wp:positionV>
            <wp:extent cx="7014845" cy="2324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rFonts w:ascii="Arial" w:cs="Arial" w:eastAsia="Arial" w:hAnsi="Arial"/>
          <w:sz w:val="14"/>
          <w:szCs w:val="14"/>
          <w:u w:val="single" w:color="auto"/>
          <w:color w:val="0000FF"/>
        </w:rPr>
      </w:pPr>
    </w:p>
    <w:p>
      <w:pPr>
        <w:ind w:left="1480" w:right="660"/>
        <w:spacing w:after="0" w:line="256" w:lineRule="auto"/>
        <w:rPr>
          <w:sz w:val="20"/>
          <w:szCs w:val="20"/>
          <w:color w:val="auto"/>
        </w:rPr>
      </w:pPr>
      <w:r>
        <w:rPr>
          <w:rFonts w:ascii="Arial" w:cs="Arial" w:eastAsia="Arial" w:hAnsi="Arial"/>
          <w:sz w:val="14"/>
          <w:szCs w:val="14"/>
          <w:color w:val="auto"/>
        </w:rPr>
        <w:t>Incorporated by reference to Exhibit 4.3 to Registrant’s Registration Statement No. 333-215361 dated December 29, 2016. (See SEC File Number 001-37817).</w:t>
      </w:r>
    </w:p>
    <w:p>
      <w:pPr>
        <w:spacing w:after="0" w:line="200" w:lineRule="exact"/>
        <w:rPr>
          <w:rFonts w:ascii="Arial" w:cs="Arial" w:eastAsia="Arial" w:hAnsi="Arial"/>
          <w:sz w:val="14"/>
          <w:szCs w:val="14"/>
          <w:u w:val="single" w:color="auto"/>
          <w:color w:val="0000FF"/>
        </w:rPr>
      </w:pPr>
    </w:p>
    <w:p>
      <w:pPr>
        <w:spacing w:after="0" w:line="307" w:lineRule="exact"/>
        <w:rPr>
          <w:rFonts w:ascii="Arial" w:cs="Arial" w:eastAsia="Arial" w:hAnsi="Arial"/>
          <w:sz w:val="14"/>
          <w:szCs w:val="14"/>
          <w:u w:val="single" w:color="auto"/>
          <w:color w:val="0000FF"/>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rFonts w:ascii="Arial" w:cs="Arial" w:eastAsia="Arial" w:hAnsi="Arial"/>
          <w:sz w:val="14"/>
          <w:szCs w:val="14"/>
          <w:u w:val="single" w:color="auto"/>
          <w:color w:val="0000FF"/>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-20955</wp:posOffset>
            </wp:positionH>
            <wp:positionV relativeFrom="paragraph">
              <wp:posOffset>49530</wp:posOffset>
            </wp:positionV>
            <wp:extent cx="729996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type w:val="continuous"/>
        </w:sectPr>
      </w:pPr>
    </w:p>
    <w:bookmarkStart w:id="99" w:name="page100"/>
    <w:bookmarkEnd w:id="99"/>
    <w:p>
      <w:pPr>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*10.6(a)(ii)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*10.6(a)(iii)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*10.6(a)(iv)</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*10.6(a)(v)</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*10.6(b)(i)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*10.6(b)(ii)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*10.6.(c)</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*10.6(d)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*10.6(d)(i)</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*10.6(e)</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*10.6(e)(i)</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*10.6(e)(ii)</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*10.6(f)</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*10.6(f)(i)</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*10.6(g)</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*10.6(h)</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*10.6(i)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rFonts w:ascii="Arial" w:cs="Arial" w:eastAsia="Arial" w:hAnsi="Arial"/>
          <w:sz w:val="14"/>
          <w:szCs w:val="14"/>
          <w:u w:val="single" w:color="auto"/>
          <w:color w:val="0000FF"/>
        </w:rPr>
      </w:pPr>
      <w:hyperlink r:id="rId189">
        <w:r>
          <w:rPr>
            <w:rFonts w:ascii="Arial" w:cs="Arial" w:eastAsia="Arial" w:hAnsi="Arial"/>
            <w:sz w:val="14"/>
            <w:szCs w:val="14"/>
            <w:u w:val="single" w:color="auto"/>
            <w:color w:val="0000FF"/>
          </w:rPr>
          <w:t>Form of Restricted Stock Unit Award Agreement 2018 under the PIP, dated as of October 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620"/>
        <w:spacing w:after="0" w:line="256" w:lineRule="auto"/>
        <w:rPr>
          <w:sz w:val="20"/>
          <w:szCs w:val="20"/>
          <w:color w:val="auto"/>
        </w:rPr>
      </w:pPr>
      <w:r>
        <w:rPr>
          <w:rFonts w:ascii="Arial" w:cs="Arial" w:eastAsia="Arial" w:hAnsi="Arial"/>
          <w:sz w:val="14"/>
          <w:szCs w:val="14"/>
          <w:color w:val="auto"/>
        </w:rPr>
        <w:t>Incorporated by reference to Exhibit 10.6(a)(vii) to the Registrant's Quarterly Report on Form 10-Q dated May 9, 2018.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91">
        <w:r>
          <w:rPr>
            <w:rFonts w:ascii="Arial" w:cs="Arial" w:eastAsia="Arial" w:hAnsi="Arial"/>
            <w:sz w:val="14"/>
            <w:szCs w:val="14"/>
            <w:u w:val="single" w:color="auto"/>
            <w:color w:val="0000FF"/>
          </w:rPr>
          <w:t>Form of Performance Stock Unit Award Agreement 2018 under the PIP, dated as of October 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580"/>
        <w:spacing w:after="0" w:line="256" w:lineRule="auto"/>
        <w:rPr>
          <w:sz w:val="20"/>
          <w:szCs w:val="20"/>
          <w:color w:val="auto"/>
        </w:rPr>
      </w:pPr>
      <w:r>
        <w:rPr>
          <w:rFonts w:ascii="Arial" w:cs="Arial" w:eastAsia="Arial" w:hAnsi="Arial"/>
          <w:sz w:val="14"/>
          <w:szCs w:val="14"/>
          <w:color w:val="auto"/>
        </w:rPr>
        <w:t>Incorporated by reference to Exhibit 10.6(a)(viii) to the Registrant's Quarterly Report on Form 10-Q dated May 9, 2018.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93">
        <w:r>
          <w:rPr>
            <w:rFonts w:ascii="Arial" w:cs="Arial" w:eastAsia="Arial" w:hAnsi="Arial"/>
            <w:sz w:val="14"/>
            <w:szCs w:val="14"/>
            <w:u w:val="single" w:color="auto"/>
            <w:color w:val="0000FF"/>
          </w:rPr>
          <w:t>Form of Restricted Stock Unit Award Agreement 2019 under the PIP.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420"/>
        <w:spacing w:after="0" w:line="256" w:lineRule="auto"/>
        <w:rPr>
          <w:sz w:val="20"/>
          <w:szCs w:val="20"/>
          <w:color w:val="auto"/>
        </w:rPr>
      </w:pPr>
      <w:r>
        <w:rPr>
          <w:rFonts w:ascii="Arial" w:cs="Arial" w:eastAsia="Arial" w:hAnsi="Arial"/>
          <w:sz w:val="14"/>
          <w:szCs w:val="14"/>
          <w:color w:val="auto"/>
        </w:rPr>
        <w:t>Incorporated by reference to Exhibit 10.6(a)(ix) to the Registrant's Annual Report on Form 10-K dated February 28, 2019.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95">
        <w:r>
          <w:rPr>
            <w:rFonts w:ascii="Arial" w:cs="Arial" w:eastAsia="Arial" w:hAnsi="Arial"/>
            <w:sz w:val="14"/>
            <w:szCs w:val="14"/>
            <w:u w:val="single" w:color="auto"/>
            <w:color w:val="0000FF"/>
          </w:rPr>
          <w:t>Form of Performance Stock Unit Award Agreement 2019 under the PIP.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460"/>
        <w:spacing w:after="0" w:line="256" w:lineRule="auto"/>
        <w:rPr>
          <w:sz w:val="20"/>
          <w:szCs w:val="20"/>
          <w:color w:val="auto"/>
        </w:rPr>
      </w:pPr>
      <w:r>
        <w:rPr>
          <w:rFonts w:ascii="Arial" w:cs="Arial" w:eastAsia="Arial" w:hAnsi="Arial"/>
          <w:sz w:val="14"/>
          <w:szCs w:val="14"/>
          <w:color w:val="auto"/>
        </w:rPr>
        <w:t>Incorporated by reference to Exhibit 10.6(a)(x) to the Registrant's Annual Report on Form 10-K dated February 28, 2019.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97">
        <w:r>
          <w:rPr>
            <w:rFonts w:ascii="Arial" w:cs="Arial" w:eastAsia="Arial" w:hAnsi="Arial"/>
            <w:sz w:val="14"/>
            <w:szCs w:val="14"/>
            <w:u w:val="single" w:color="auto"/>
            <w:color w:val="0000FF"/>
          </w:rPr>
          <w:t>Registrant’s Equity Compensation Plan for Non-Employee Directors dated as of December 15, 2016 (“ECPNED”).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660"/>
        <w:spacing w:after="0" w:line="256" w:lineRule="auto"/>
        <w:rPr>
          <w:sz w:val="20"/>
          <w:szCs w:val="20"/>
          <w:color w:val="auto"/>
        </w:rPr>
      </w:pPr>
      <w:r>
        <w:rPr>
          <w:rFonts w:ascii="Arial" w:cs="Arial" w:eastAsia="Arial" w:hAnsi="Arial"/>
          <w:sz w:val="14"/>
          <w:szCs w:val="14"/>
          <w:color w:val="auto"/>
        </w:rPr>
        <w:t>Incorporated by reference to Exhibit 4.4 to Registrant’s Registration Statement No. 333-215361 dated December 29, 2016.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99">
        <w:r>
          <w:rPr>
            <w:rFonts w:ascii="Arial" w:cs="Arial" w:eastAsia="Arial" w:hAnsi="Arial"/>
            <w:sz w:val="14"/>
            <w:szCs w:val="14"/>
            <w:u w:val="single" w:color="auto"/>
            <w:color w:val="0000FF"/>
          </w:rPr>
          <w:t>Form of Agreement under the ECPNED.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640"/>
        <w:spacing w:after="0" w:line="256" w:lineRule="auto"/>
        <w:rPr>
          <w:sz w:val="20"/>
          <w:szCs w:val="20"/>
          <w:color w:val="auto"/>
        </w:rPr>
      </w:pPr>
      <w:r>
        <w:rPr>
          <w:rFonts w:ascii="Arial" w:cs="Arial" w:eastAsia="Arial" w:hAnsi="Arial"/>
          <w:sz w:val="14"/>
          <w:szCs w:val="14"/>
          <w:color w:val="auto"/>
        </w:rPr>
        <w:t>Incorporated by reference to Exhibit 10.6(b)(ii) to the Registrant's Annual Report on From 10-K dated March 10, 2017. (See SEC File Number 001-37817).</w:t>
      </w:r>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201">
        <w:r>
          <w:rPr>
            <w:rFonts w:ascii="Arial" w:cs="Arial" w:eastAsia="Arial" w:hAnsi="Arial"/>
            <w:sz w:val="14"/>
            <w:szCs w:val="14"/>
            <w:u w:val="single" w:color="auto"/>
            <w:color w:val="0000FF"/>
          </w:rPr>
          <w:t>Registrant's Executive Change in Control Severance Plan dated as of April 25,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130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10.1 to the Registrant's Current Report on Form 8-K dated August 28, 2017. (See SEC File Number 001-37817).</w:t>
      </w:r>
    </w:p>
    <w:p>
      <w:pPr>
        <w:spacing w:after="0" w:line="33" w:lineRule="exact"/>
        <w:rPr>
          <w:sz w:val="20"/>
          <w:szCs w:val="20"/>
          <w:color w:val="auto"/>
        </w:rPr>
      </w:pPr>
    </w:p>
    <w:p>
      <w:pPr>
        <w:spacing w:after="0"/>
        <w:rPr>
          <w:rFonts w:ascii="Arial" w:cs="Arial" w:eastAsia="Arial" w:hAnsi="Arial"/>
          <w:sz w:val="14"/>
          <w:szCs w:val="14"/>
          <w:u w:val="single" w:color="auto"/>
          <w:color w:val="0000FF"/>
        </w:rPr>
      </w:pPr>
      <w:hyperlink r:id="rId203">
        <w:r>
          <w:rPr>
            <w:rFonts w:ascii="Arial" w:cs="Arial" w:eastAsia="Arial" w:hAnsi="Arial"/>
            <w:sz w:val="14"/>
            <w:szCs w:val="14"/>
            <w:u w:val="single" w:color="auto"/>
            <w:color w:val="0000FF"/>
          </w:rPr>
          <w:t>Letter Agreement dated June 10, 2016 between Xerox Corporation and Ashok Vemuri regarding compensation arrangements.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2324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014845" cy="232410"/>
                    </a:xfrm>
                    <a:prstGeom prst="rect">
                      <a:avLst/>
                    </a:prstGeom>
                    <a:noFill/>
                  </pic:spPr>
                </pic:pic>
              </a:graphicData>
            </a:graphic>
          </wp:anchor>
        </w:drawing>
      </w:r>
    </w:p>
    <w:p>
      <w:pPr>
        <w:spacing w:after="0" w:line="34" w:lineRule="exact"/>
        <w:rPr>
          <w:sz w:val="20"/>
          <w:szCs w:val="20"/>
          <w:color w:val="auto"/>
        </w:rPr>
      </w:pPr>
    </w:p>
    <w:p>
      <w:pPr>
        <w:ind w:right="840"/>
        <w:spacing w:after="0" w:line="256" w:lineRule="auto"/>
        <w:rPr>
          <w:sz w:val="20"/>
          <w:szCs w:val="20"/>
          <w:color w:val="auto"/>
        </w:rPr>
      </w:pPr>
      <w:r>
        <w:rPr>
          <w:rFonts w:ascii="Arial" w:cs="Arial" w:eastAsia="Arial" w:hAnsi="Arial"/>
          <w:sz w:val="14"/>
          <w:szCs w:val="14"/>
          <w:color w:val="auto"/>
        </w:rPr>
        <w:t>Incorporated by reference to Exhibit 99.2 to Xerox Corporation’s Current Report on Form 8-K dated June 14, 2016. (See SEC File Number 001-04471).</w:t>
      </w:r>
    </w:p>
    <w:p>
      <w:pPr>
        <w:spacing w:after="0" w:line="23" w:lineRule="exact"/>
        <w:rPr>
          <w:sz w:val="20"/>
          <w:szCs w:val="20"/>
          <w:color w:val="auto"/>
        </w:rPr>
      </w:pPr>
    </w:p>
    <w:p>
      <w:pPr>
        <w:spacing w:after="0"/>
        <w:rPr>
          <w:rFonts w:ascii="Arial" w:cs="Arial" w:eastAsia="Arial" w:hAnsi="Arial"/>
          <w:sz w:val="14"/>
          <w:szCs w:val="14"/>
          <w:u w:val="single" w:color="auto"/>
          <w:color w:val="0000FF"/>
        </w:rPr>
      </w:pPr>
      <w:hyperlink r:id="rId205">
        <w:r>
          <w:rPr>
            <w:rFonts w:ascii="Arial" w:cs="Arial" w:eastAsia="Arial" w:hAnsi="Arial"/>
            <w:sz w:val="14"/>
            <w:szCs w:val="14"/>
            <w:u w:val="single" w:color="auto"/>
            <w:color w:val="0000FF"/>
          </w:rPr>
          <w:t>Separation Agreement dated June 4, 2019 between Conduent Incorporated and Ashok Vemuri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10.1 to the Registrant’s Current Report on Form 8-K dated June 4, 2019. (See SEC File Number 001-37817).</w:t>
      </w:r>
    </w:p>
    <w:p>
      <w:pPr>
        <w:spacing w:after="0" w:line="44" w:lineRule="exact"/>
        <w:rPr>
          <w:sz w:val="20"/>
          <w:szCs w:val="20"/>
          <w:color w:val="auto"/>
        </w:rPr>
      </w:pPr>
    </w:p>
    <w:p>
      <w:pPr>
        <w:spacing w:after="0"/>
        <w:rPr>
          <w:rFonts w:ascii="Arial" w:cs="Arial" w:eastAsia="Arial" w:hAnsi="Arial"/>
          <w:sz w:val="14"/>
          <w:szCs w:val="14"/>
          <w:u w:val="single" w:color="auto"/>
          <w:color w:val="0000FF"/>
        </w:rPr>
      </w:pPr>
      <w:hyperlink r:id="rId207">
        <w:r>
          <w:rPr>
            <w:rFonts w:ascii="Arial" w:cs="Arial" w:eastAsia="Arial" w:hAnsi="Arial"/>
            <w:sz w:val="14"/>
            <w:szCs w:val="14"/>
            <w:u w:val="single" w:color="auto"/>
            <w:color w:val="0000FF"/>
          </w:rPr>
          <w:t>Letter Agreement dated May 21, 2019 between Conduent Incorporated and Clifford Skelton regarding compensation arrangements.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10.6(h) to the Registrant’s Current Report on Form 8-K dated May 28, 2019. (See SEC File Number 001-37817).</w:t>
      </w:r>
    </w:p>
    <w:p>
      <w:pPr>
        <w:spacing w:after="0" w:line="44" w:lineRule="exact"/>
        <w:rPr>
          <w:sz w:val="20"/>
          <w:szCs w:val="20"/>
          <w:color w:val="auto"/>
        </w:rPr>
      </w:pPr>
    </w:p>
    <w:p>
      <w:pPr>
        <w:spacing w:after="0"/>
        <w:rPr>
          <w:rFonts w:ascii="Arial" w:cs="Arial" w:eastAsia="Arial" w:hAnsi="Arial"/>
          <w:sz w:val="14"/>
          <w:szCs w:val="14"/>
          <w:u w:val="single" w:color="auto"/>
          <w:color w:val="0000FF"/>
        </w:rPr>
      </w:pPr>
      <w:hyperlink r:id="rId209">
        <w:r>
          <w:rPr>
            <w:rFonts w:ascii="Arial" w:cs="Arial" w:eastAsia="Arial" w:hAnsi="Arial"/>
            <w:sz w:val="14"/>
            <w:szCs w:val="14"/>
            <w:u w:val="single" w:color="auto"/>
            <w:color w:val="0000FF"/>
          </w:rPr>
          <w:t>Letter Agreement dated August 6, 2019 between Conduent Incorporated and Clifford Skelton regarding compensation arrangements.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10.6(j) to the Registrant’s Current Report on Form 8-K dated August 7, 2019. (See SEC File Number 001-37817).</w:t>
      </w:r>
    </w:p>
    <w:p>
      <w:pPr>
        <w:spacing w:after="0" w:line="33" w:lineRule="exact"/>
        <w:rPr>
          <w:sz w:val="20"/>
          <w:szCs w:val="20"/>
          <w:color w:val="auto"/>
        </w:rPr>
      </w:pPr>
    </w:p>
    <w:p>
      <w:pPr>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Letter Agreement dated February 25, 2020 between Conduent Incorporated and Clifford Skelton regarding compensation arrangements.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130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24" w:lineRule="exact"/>
        <w:rPr>
          <w:sz w:val="20"/>
          <w:szCs w:val="20"/>
          <w:color w:val="auto"/>
        </w:rPr>
      </w:pPr>
    </w:p>
    <w:p>
      <w:pPr>
        <w:spacing w:after="0"/>
        <w:rPr>
          <w:rFonts w:ascii="Arial" w:cs="Arial" w:eastAsia="Arial" w:hAnsi="Arial"/>
          <w:sz w:val="14"/>
          <w:szCs w:val="14"/>
          <w:u w:val="single" w:color="auto"/>
          <w:color w:val="0000FF"/>
        </w:rPr>
      </w:pPr>
      <w:hyperlink r:id="rId212">
        <w:r>
          <w:rPr>
            <w:rFonts w:ascii="Arial" w:cs="Arial" w:eastAsia="Arial" w:hAnsi="Arial"/>
            <w:sz w:val="14"/>
            <w:szCs w:val="14"/>
            <w:u w:val="single" w:color="auto"/>
            <w:color w:val="0000FF"/>
          </w:rPr>
          <w:t>Letter Agreement dated July 22, 2016 between Xerox Corporation and J. Michael Peffer regarding compensation arrangements.</w:t>
        </w:r>
      </w:hyperlink>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10.12 to Registrant’s Amendment No. 4 to Form 10 dated October 21, 2016.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24" w:lineRule="exact"/>
        <w:rPr>
          <w:sz w:val="20"/>
          <w:szCs w:val="20"/>
          <w:color w:val="auto"/>
        </w:rPr>
      </w:pPr>
    </w:p>
    <w:p>
      <w:pPr>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Separation Agreement dated November 5, 2019 between Conduent Incorporated and J. Michael Peffer.</w:t>
        </w:r>
      </w:hyperlink>
    </w:p>
    <w:p>
      <w:pPr>
        <w:spacing w:after="0" w:line="33" w:lineRule="exact"/>
        <w:rPr>
          <w:sz w:val="20"/>
          <w:szCs w:val="20"/>
          <w:color w:val="auto"/>
        </w:rPr>
      </w:pPr>
    </w:p>
    <w:p>
      <w:pPr>
        <w:spacing w:after="0"/>
        <w:rPr>
          <w:rFonts w:ascii="Arial" w:cs="Arial" w:eastAsia="Arial" w:hAnsi="Arial"/>
          <w:sz w:val="14"/>
          <w:szCs w:val="14"/>
          <w:u w:val="single" w:color="auto"/>
          <w:color w:val="0000FF"/>
        </w:rPr>
      </w:pPr>
      <w:hyperlink r:id="rId214">
        <w:r>
          <w:rPr>
            <w:rFonts w:ascii="Arial" w:cs="Arial" w:eastAsia="Arial" w:hAnsi="Arial"/>
            <w:sz w:val="14"/>
            <w:szCs w:val="14"/>
            <w:u w:val="single" w:color="auto"/>
            <w:color w:val="0000FF"/>
          </w:rPr>
          <w:t>Letter Agreement dated September 6, 2016 between Xerox Corporation and Brian Webb-Walsh regarding compensation arrangements.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20955</wp:posOffset>
            </wp:positionV>
            <wp:extent cx="7014845" cy="130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 to Exhibit 10.13 to Registrant’s Amendment No. 4 to Form 10 dated October 21, 2016. (See SEC File Number 001-37817).</w:t>
      </w:r>
    </w:p>
    <w:p>
      <w:pPr>
        <w:spacing w:after="0" w:line="44" w:lineRule="exact"/>
        <w:rPr>
          <w:sz w:val="20"/>
          <w:szCs w:val="20"/>
          <w:color w:val="auto"/>
        </w:rPr>
      </w:pPr>
    </w:p>
    <w:p>
      <w:pPr>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Letter Agreement dated May 15, 2019 between Conduent Incorporated and Mark S. Brewer.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7014845" cy="130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014845" cy="130175"/>
                    </a:xfrm>
                    <a:prstGeom prst="rect">
                      <a:avLst/>
                    </a:prstGeom>
                    <a:noFill/>
                  </pic:spPr>
                </pic:pic>
              </a:graphicData>
            </a:graphic>
          </wp:anchor>
        </w:drawing>
      </w:r>
    </w:p>
    <w:p>
      <w:pPr>
        <w:spacing w:after="0" w:line="24" w:lineRule="exact"/>
        <w:rPr>
          <w:sz w:val="20"/>
          <w:szCs w:val="20"/>
          <w:color w:val="auto"/>
        </w:rPr>
      </w:pPr>
    </w:p>
    <w:p>
      <w:pPr>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Letter Agreement dated November 5, 2019 between Conduent Incorporated and Michael Krawitz.</w:t>
        </w:r>
      </w:hyperlink>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49530</wp:posOffset>
            </wp:positionV>
            <wp:extent cx="7299960"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2">
            <w:col w:w="1200" w:space="280"/>
            <w:col w:w="9940"/>
          </w:cols>
          <w:pgMar w:left="240" w:top="153"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gridSpan w:val="2"/>
          </w:tcPr>
          <w:p>
            <w:pP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Table of Contents</w:t>
              </w:r>
            </w:hyperlink>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37"/>
        </w:trPr>
        <w:tc>
          <w:tcPr>
            <w:tcW w:w="20" w:type="dxa"/>
            <w:vAlign w:val="bottom"/>
          </w:tcPr>
          <w:p>
            <w:pPr>
              <w:spacing w:after="0"/>
              <w:rPr>
                <w:sz w:val="24"/>
                <w:szCs w:val="24"/>
                <w:color w:val="auto"/>
              </w:rPr>
            </w:pPr>
          </w:p>
        </w:tc>
        <w:tc>
          <w:tcPr>
            <w:tcW w:w="120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*10.6(j)</w:t>
            </w:r>
          </w:p>
        </w:tc>
        <w:tc>
          <w:tcPr>
            <w:tcW w:w="140" w:type="dxa"/>
            <w:vAlign w:val="bottom"/>
          </w:tcPr>
          <w:p>
            <w:pPr>
              <w:spacing w:after="0"/>
              <w:rPr>
                <w:sz w:val="24"/>
                <w:szCs w:val="24"/>
                <w:color w:val="auto"/>
              </w:rPr>
            </w:pPr>
          </w:p>
        </w:tc>
        <w:tc>
          <w:tcPr>
            <w:tcW w:w="9700" w:type="dxa"/>
            <w:vAlign w:val="bottom"/>
            <w:gridSpan w:val="8"/>
          </w:tcPr>
          <w:p>
            <w:pPr>
              <w:ind w:left="140"/>
              <w:spacing w:after="0"/>
              <w:rPr>
                <w:rFonts w:ascii="Arial" w:cs="Arial" w:eastAsia="Arial" w:hAnsi="Arial"/>
                <w:sz w:val="14"/>
                <w:szCs w:val="14"/>
                <w:color w:val="0000FF"/>
              </w:rPr>
            </w:pPr>
            <w:hyperlink w:anchor="page122">
              <w:r>
                <w:rPr>
                  <w:rFonts w:ascii="Arial" w:cs="Arial" w:eastAsia="Arial" w:hAnsi="Arial"/>
                  <w:sz w:val="14"/>
                  <w:szCs w:val="14"/>
                  <w:color w:val="0000FF"/>
                </w:rPr>
                <w:t>Separation Agreement dated January 13, 2020 between Conduent Incorporated and Jeffrey Friedel.</w:t>
              </w:r>
            </w:hyperlink>
          </w:p>
        </w:tc>
      </w:tr>
      <w:tr>
        <w:trPr>
          <w:trHeight w:val="2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51"/>
        </w:trPr>
        <w:tc>
          <w:tcPr>
            <w:tcW w:w="20" w:type="dxa"/>
            <w:vAlign w:val="bottom"/>
          </w:tcPr>
          <w:p>
            <w:pPr>
              <w:spacing w:after="0"/>
              <w:rPr>
                <w:sz w:val="13"/>
                <w:szCs w:val="13"/>
                <w:color w:val="auto"/>
              </w:rPr>
            </w:pPr>
          </w:p>
        </w:tc>
        <w:tc>
          <w:tcPr>
            <w:tcW w:w="1200" w:type="dxa"/>
            <w:vAlign w:val="bottom"/>
          </w:tcPr>
          <w:p>
            <w:pPr>
              <w:spacing w:after="0" w:line="131"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3"/>
                <w:szCs w:val="13"/>
                <w:color w:val="auto"/>
              </w:rPr>
            </w:pPr>
          </w:p>
        </w:tc>
        <w:tc>
          <w:tcPr>
            <w:tcW w:w="9700" w:type="dxa"/>
            <w:vAlign w:val="bottom"/>
            <w:gridSpan w:val="8"/>
          </w:tcPr>
          <w:p>
            <w:pPr>
              <w:ind w:left="140"/>
              <w:spacing w:after="0" w:line="131" w:lineRule="exact"/>
              <w:rPr>
                <w:rFonts w:ascii="Arial" w:cs="Arial" w:eastAsia="Arial" w:hAnsi="Arial"/>
                <w:sz w:val="14"/>
                <w:szCs w:val="14"/>
                <w:color w:val="0000FF"/>
              </w:rPr>
            </w:pPr>
            <w:hyperlink w:anchor="page126">
              <w:r>
                <w:rPr>
                  <w:rFonts w:ascii="Arial" w:cs="Arial" w:eastAsia="Arial" w:hAnsi="Arial"/>
                  <w:sz w:val="14"/>
                  <w:szCs w:val="14"/>
                  <w:color w:val="0000FF"/>
                </w:rPr>
                <w:t>List of subsidiaries of Registrant.</w:t>
              </w:r>
            </w:hyperlink>
          </w:p>
        </w:tc>
      </w:tr>
      <w:tr>
        <w:trPr>
          <w:trHeight w:val="34"/>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560" w:type="dxa"/>
            <w:vAlign w:val="bottom"/>
            <w:gridSpan w:val="7"/>
            <w:shd w:val="clear" w:color="auto" w:fill="CCEEFF"/>
          </w:tcPr>
          <w:p>
            <w:pPr>
              <w:spacing w:after="0" w:line="131" w:lineRule="exact"/>
              <w:rPr>
                <w:rFonts w:ascii="Arial" w:cs="Arial" w:eastAsia="Arial" w:hAnsi="Arial"/>
                <w:sz w:val="14"/>
                <w:szCs w:val="14"/>
                <w:color w:val="0000FF"/>
              </w:rPr>
            </w:pPr>
            <w:hyperlink w:anchor="page130">
              <w:r>
                <w:rPr>
                  <w:rFonts w:ascii="Arial" w:cs="Arial" w:eastAsia="Arial" w:hAnsi="Arial"/>
                  <w:sz w:val="14"/>
                  <w:szCs w:val="14"/>
                  <w:color w:val="0000FF"/>
                </w:rPr>
                <w:t>Consent of PricewaterhouseCoopers LLP.</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1340" w:type="dxa"/>
            <w:vAlign w:val="bottom"/>
            <w:gridSpan w:val="2"/>
          </w:tcPr>
          <w:p>
            <w:pPr>
              <w:spacing w:after="0" w:line="131" w:lineRule="exact"/>
              <w:rPr>
                <w:sz w:val="20"/>
                <w:szCs w:val="20"/>
                <w:color w:val="auto"/>
              </w:rPr>
            </w:pPr>
            <w:r>
              <w:rPr>
                <w:rFonts w:ascii="Arial" w:cs="Arial" w:eastAsia="Arial" w:hAnsi="Arial"/>
                <w:sz w:val="14"/>
                <w:szCs w:val="14"/>
                <w:color w:val="auto"/>
              </w:rPr>
              <w:t>31(a)</w:t>
            </w:r>
          </w:p>
        </w:tc>
        <w:tc>
          <w:tcPr>
            <w:tcW w:w="140" w:type="dxa"/>
            <w:vAlign w:val="bottom"/>
          </w:tcPr>
          <w:p>
            <w:pPr>
              <w:spacing w:after="0"/>
              <w:rPr>
                <w:sz w:val="13"/>
                <w:szCs w:val="13"/>
                <w:color w:val="auto"/>
              </w:rPr>
            </w:pPr>
          </w:p>
        </w:tc>
        <w:tc>
          <w:tcPr>
            <w:tcW w:w="9560" w:type="dxa"/>
            <w:vAlign w:val="bottom"/>
            <w:gridSpan w:val="7"/>
          </w:tcPr>
          <w:p>
            <w:pPr>
              <w:spacing w:after="0" w:line="131" w:lineRule="exact"/>
              <w:rPr>
                <w:rFonts w:ascii="Arial" w:cs="Arial" w:eastAsia="Arial" w:hAnsi="Arial"/>
                <w:sz w:val="14"/>
                <w:szCs w:val="14"/>
                <w:color w:val="0000FF"/>
              </w:rPr>
            </w:pPr>
            <w:hyperlink w:anchor="page131">
              <w:r>
                <w:rPr>
                  <w:rFonts w:ascii="Arial" w:cs="Arial" w:eastAsia="Arial" w:hAnsi="Arial"/>
                  <w:sz w:val="14"/>
                  <w:szCs w:val="14"/>
                  <w:color w:val="0000FF"/>
                </w:rPr>
                <w:t>Certification of CEO pursuant to Rule 13a-14(a) or Rule 15d-14(a).</w:t>
              </w:r>
            </w:hyperlink>
          </w:p>
        </w:tc>
      </w:tr>
      <w:tr>
        <w:trPr>
          <w:trHeight w:val="34"/>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31(b)</w:t>
            </w:r>
          </w:p>
        </w:tc>
        <w:tc>
          <w:tcPr>
            <w:tcW w:w="140" w:type="dxa"/>
            <w:vAlign w:val="bottom"/>
            <w:shd w:val="clear" w:color="auto" w:fill="CCEEFF"/>
          </w:tcPr>
          <w:p>
            <w:pPr>
              <w:spacing w:after="0"/>
              <w:rPr>
                <w:sz w:val="13"/>
                <w:szCs w:val="13"/>
                <w:color w:val="auto"/>
              </w:rPr>
            </w:pPr>
          </w:p>
        </w:tc>
        <w:tc>
          <w:tcPr>
            <w:tcW w:w="9560" w:type="dxa"/>
            <w:vAlign w:val="bottom"/>
            <w:gridSpan w:val="7"/>
            <w:shd w:val="clear" w:color="auto" w:fill="CCEEFF"/>
          </w:tcPr>
          <w:p>
            <w:pPr>
              <w:spacing w:after="0" w:line="131" w:lineRule="exact"/>
              <w:rPr>
                <w:rFonts w:ascii="Arial" w:cs="Arial" w:eastAsia="Arial" w:hAnsi="Arial"/>
                <w:sz w:val="14"/>
                <w:szCs w:val="14"/>
                <w:color w:val="0000FF"/>
              </w:rPr>
            </w:pPr>
            <w:hyperlink w:anchor="page132">
              <w:r>
                <w:rPr>
                  <w:rFonts w:ascii="Arial" w:cs="Arial" w:eastAsia="Arial" w:hAnsi="Arial"/>
                  <w:sz w:val="14"/>
                  <w:szCs w:val="14"/>
                  <w:color w:val="0000FF"/>
                </w:rPr>
                <w:t>Certification of CFO pursuant to Rule 13a-14(a) or Rule 15d-14(a).</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1200" w:type="dxa"/>
            <w:vAlign w:val="bottom"/>
          </w:tcPr>
          <w:p>
            <w:pPr>
              <w:spacing w:after="0" w:line="131"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60" w:type="dxa"/>
            <w:vAlign w:val="bottom"/>
            <w:gridSpan w:val="7"/>
          </w:tcPr>
          <w:p>
            <w:pPr>
              <w:spacing w:after="0" w:line="131" w:lineRule="exact"/>
              <w:rPr>
                <w:rFonts w:ascii="Arial" w:cs="Arial" w:eastAsia="Arial" w:hAnsi="Arial"/>
                <w:sz w:val="14"/>
                <w:szCs w:val="14"/>
                <w:color w:val="0000FF"/>
              </w:rPr>
            </w:pPr>
            <w:hyperlink w:anchor="page133">
              <w:r>
                <w:rPr>
                  <w:rFonts w:ascii="Arial" w:cs="Arial" w:eastAsia="Arial" w:hAnsi="Arial"/>
                  <w:sz w:val="14"/>
                  <w:szCs w:val="14"/>
                  <w:color w:val="0000FF"/>
                </w:rPr>
                <w:t>Certification of CEO and CFO pursuant to 18 U.S.C. §1350 as adopted pursuant to §906 of the Sarbanes-Oxley Act of 2002.</w:t>
              </w:r>
            </w:hyperlink>
          </w:p>
        </w:tc>
      </w:tr>
      <w:tr>
        <w:trPr>
          <w:trHeight w:val="34"/>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660" w:type="dxa"/>
            <w:vAlign w:val="bottom"/>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101.INS</w:t>
            </w:r>
          </w:p>
        </w:tc>
        <w:tc>
          <w:tcPr>
            <w:tcW w:w="9700" w:type="dxa"/>
            <w:vAlign w:val="bottom"/>
            <w:gridSpan w:val="8"/>
            <w:shd w:val="clear" w:color="auto" w:fill="CCEEFF"/>
          </w:tcPr>
          <w:p>
            <w:pPr>
              <w:ind w:left="140"/>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 are embedded within the</w:t>
            </w:r>
          </w:p>
        </w:tc>
      </w:tr>
      <w:tr>
        <w:trPr>
          <w:trHeight w:val="184"/>
        </w:trPr>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700" w:type="dxa"/>
            <w:vAlign w:val="bottom"/>
            <w:gridSpan w:val="8"/>
            <w:shd w:val="clear" w:color="auto" w:fill="CCEEFF"/>
          </w:tcPr>
          <w:p>
            <w:pPr>
              <w:ind w:left="140"/>
              <w:spacing w:after="0"/>
              <w:rPr>
                <w:sz w:val="20"/>
                <w:szCs w:val="20"/>
                <w:color w:val="auto"/>
              </w:rPr>
            </w:pPr>
            <w:r>
              <w:rPr>
                <w:rFonts w:ascii="Arial" w:cs="Arial" w:eastAsia="Arial" w:hAnsi="Arial"/>
                <w:sz w:val="14"/>
                <w:szCs w:val="14"/>
                <w:color w:val="auto"/>
              </w:rPr>
              <w:t>Inline XBRL document.</w:t>
            </w:r>
          </w:p>
        </w:tc>
      </w:tr>
      <w:tr>
        <w:trPr>
          <w:trHeight w:val="199"/>
        </w:trPr>
        <w:tc>
          <w:tcPr>
            <w:tcW w:w="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101.CAL</w:t>
            </w:r>
          </w:p>
        </w:tc>
        <w:tc>
          <w:tcPr>
            <w:tcW w:w="9700" w:type="dxa"/>
            <w:vAlign w:val="bottom"/>
            <w:gridSpan w:val="8"/>
          </w:tcPr>
          <w:p>
            <w:pPr>
              <w:ind w:left="140"/>
              <w:spacing w:after="0"/>
              <w:rPr>
                <w:sz w:val="20"/>
                <w:szCs w:val="20"/>
                <w:color w:val="auto"/>
              </w:rPr>
            </w:pPr>
            <w:r>
              <w:rPr>
                <w:rFonts w:ascii="Arial" w:cs="Arial" w:eastAsia="Arial" w:hAnsi="Arial"/>
                <w:sz w:val="14"/>
                <w:szCs w:val="14"/>
                <w:color w:val="auto"/>
              </w:rPr>
              <w:t>Inline XBRL Taxonomy Extension Calculation Linkbase.</w:t>
            </w:r>
          </w:p>
        </w:tc>
      </w:tr>
      <w:tr>
        <w:trPr>
          <w:trHeight w:val="210"/>
        </w:trPr>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101.DEF</w:t>
            </w:r>
          </w:p>
        </w:tc>
        <w:tc>
          <w:tcPr>
            <w:tcW w:w="9700" w:type="dxa"/>
            <w:vAlign w:val="bottom"/>
            <w:gridSpan w:val="8"/>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Definition Linkbase.</w:t>
            </w:r>
          </w:p>
        </w:tc>
      </w:tr>
      <w:tr>
        <w:trPr>
          <w:trHeight w:val="199"/>
        </w:trPr>
        <w:tc>
          <w:tcPr>
            <w:tcW w:w="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101.LAB</w:t>
            </w:r>
          </w:p>
        </w:tc>
        <w:tc>
          <w:tcPr>
            <w:tcW w:w="9700" w:type="dxa"/>
            <w:vAlign w:val="bottom"/>
            <w:gridSpan w:val="8"/>
          </w:tcPr>
          <w:p>
            <w:pPr>
              <w:ind w:left="140"/>
              <w:spacing w:after="0"/>
              <w:rPr>
                <w:sz w:val="20"/>
                <w:szCs w:val="20"/>
                <w:color w:val="auto"/>
              </w:rPr>
            </w:pPr>
            <w:r>
              <w:rPr>
                <w:rFonts w:ascii="Arial" w:cs="Arial" w:eastAsia="Arial" w:hAnsi="Arial"/>
                <w:sz w:val="14"/>
                <w:szCs w:val="14"/>
                <w:color w:val="auto"/>
              </w:rPr>
              <w:t>Inline XBRL Taxonomy Extension Label Linkbase.</w:t>
            </w:r>
          </w:p>
        </w:tc>
      </w:tr>
      <w:tr>
        <w:trPr>
          <w:trHeight w:val="210"/>
        </w:trPr>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101.PRE</w:t>
            </w:r>
          </w:p>
        </w:tc>
        <w:tc>
          <w:tcPr>
            <w:tcW w:w="9700" w:type="dxa"/>
            <w:vAlign w:val="bottom"/>
            <w:gridSpan w:val="8"/>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Presentation Linkbase.</w:t>
            </w:r>
          </w:p>
        </w:tc>
      </w:tr>
      <w:tr>
        <w:trPr>
          <w:trHeight w:val="199"/>
        </w:trPr>
        <w:tc>
          <w:tcPr>
            <w:tcW w:w="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101.SCH</w:t>
            </w:r>
          </w:p>
        </w:tc>
        <w:tc>
          <w:tcPr>
            <w:tcW w:w="9700" w:type="dxa"/>
            <w:vAlign w:val="bottom"/>
            <w:gridSpan w:val="8"/>
          </w:tcPr>
          <w:p>
            <w:pPr>
              <w:ind w:left="140"/>
              <w:spacing w:after="0"/>
              <w:rPr>
                <w:sz w:val="20"/>
                <w:szCs w:val="20"/>
                <w:color w:val="auto"/>
              </w:rPr>
            </w:pPr>
            <w:r>
              <w:rPr>
                <w:rFonts w:ascii="Arial" w:cs="Arial" w:eastAsia="Arial" w:hAnsi="Arial"/>
                <w:sz w:val="14"/>
                <w:szCs w:val="14"/>
                <w:color w:val="auto"/>
              </w:rPr>
              <w:t>Inline XBRL Taxonomy Extension Schema Linkbase.</w:t>
            </w:r>
          </w:p>
        </w:tc>
      </w:tr>
      <w:tr>
        <w:trPr>
          <w:trHeight w:val="210"/>
        </w:trPr>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8"/>
                <w:szCs w:val="18"/>
                <w:color w:val="auto"/>
              </w:rPr>
            </w:pPr>
          </w:p>
        </w:tc>
        <w:tc>
          <w:tcPr>
            <w:tcW w:w="9700" w:type="dxa"/>
            <w:vAlign w:val="bottom"/>
            <w:gridSpan w:val="8"/>
            <w:shd w:val="clear" w:color="auto" w:fill="CCEEFF"/>
          </w:tcPr>
          <w:p>
            <w:pPr>
              <w:ind w:left="1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51" w:right="239"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CONDUENT INCORPORATED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4"/>
          <w:szCs w:val="14"/>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95338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2953385"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Clifford Skelton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Chief Executive Officer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February 26, 2020</w:t>
      </w:r>
    </w:p>
    <w:p>
      <w:pPr>
        <w:spacing w:after="0" w:line="310"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440"/>
          </w:cols>
          <w:pgMar w:left="220" w:top="153"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2020</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Signature</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Principal Executive Officer:</w:t>
      </w:r>
    </w:p>
    <w:p>
      <w:pPr>
        <w:spacing w:after="0" w:line="70"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Clifford Skelton</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Principal Financial Officer:</w:t>
      </w:r>
    </w:p>
    <w:p>
      <w:pPr>
        <w:spacing w:after="0" w:line="70"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Brian Webb-Walsh</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Principal Accounting Officer:</w:t>
      </w:r>
    </w:p>
    <w:p>
      <w:pPr>
        <w:spacing w:after="0" w:line="70"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MARIO A. POMPEO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Mario A. Pompeo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156210</wp:posOffset>
            </wp:positionV>
            <wp:extent cx="27686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258"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NICHOLAS GRAZIANO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Nicholas Graziano</w:t>
      </w:r>
    </w:p>
    <w:p>
      <w:pPr>
        <w:spacing w:after="0" w:line="63"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KATHY H. VICTOR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Kathy H. Victor</w:t>
      </w:r>
    </w:p>
    <w:p>
      <w:pPr>
        <w:spacing w:after="0" w:line="63"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SCOTT 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Scott Letier</w:t>
      </w:r>
    </w:p>
    <w:p>
      <w:pPr>
        <w:spacing w:after="0" w:line="63" w:lineRule="exact"/>
        <w:rPr>
          <w:sz w:val="20"/>
          <w:szCs w:val="20"/>
          <w:color w:val="auto"/>
        </w:rPr>
      </w:pPr>
    </w:p>
    <w:p>
      <w:pPr>
        <w:ind w:left="80"/>
        <w:spacing w:after="0"/>
        <w:tabs>
          <w:tab w:leader="none" w:pos="34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COURTNEY R.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Courtney R. Mather</w:t>
      </w:r>
    </w:p>
    <w:p>
      <w:pPr>
        <w:spacing w:after="0" w:line="63"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Jesse Lynn</w:t>
      </w:r>
    </w:p>
    <w:p>
      <w:pPr>
        <w:spacing w:after="0" w:line="63"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MICHAEL A. NUTTER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Michael A. Nutter</w:t>
      </w:r>
    </w:p>
    <w:p>
      <w:pPr>
        <w:spacing w:after="0" w:line="52"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MARGARITA PALÁU-HERNÁNDEZ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27686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18"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Margarita Paláu-Hernández</w:t>
      </w:r>
    </w:p>
    <w:p>
      <w:pPr>
        <w:spacing w:after="0" w:line="63"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VIRGINIA 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27686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2768600" cy="698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Virginia M. Wilson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Director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Financial Officer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and Chief Accounting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 and Chairman of the Board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53" w:lineRule="exact"/>
        <w:rPr>
          <w:sz w:val="20"/>
          <w:szCs w:val="20"/>
          <w:color w:val="auto"/>
        </w:rPr>
      </w:pPr>
    </w:p>
    <w:p>
      <w:pPr>
        <w:sectPr>
          <w:pgSz w:w="11900" w:h="16838" w:orient="portrait"/>
          <w:cols w:equalWidth="0" w:num="2">
            <w:col w:w="3820" w:space="720"/>
            <w:col w:w="6900"/>
          </w:cols>
          <w:pgMar w:left="220" w:top="1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2019 Annual Report</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40"/>
          </w:cols>
          <w:pgMar w:left="220" w:top="153" w:right="2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3051F2"/>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7"/>
          <w:szCs w:val="17"/>
          <w:b w:val="1"/>
          <w:bCs w:val="1"/>
          <w:u w:val="single" w:color="auto"/>
          <w:color w:val="auto"/>
        </w:rPr>
        <w:t>DESCRIPTION OF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References to “we” or “our” herein are, unless the context otherwise indicates, only to Conduent Incorporated.</w:t>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Description of Capital Stock</w:t>
      </w:r>
    </w:p>
    <w:p>
      <w:pPr>
        <w:spacing w:after="0" w:line="182"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The following is a summary of information concerning our capital stock. The summaries and descriptions below do not purport to be complete statements of the relevant provisions of our Restated Certificate of Incorporation and our Amended and Restated By-Laws, and are entirely qualified by these documents.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Capital Stock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authorized capital stock consists of 1,000,000,000 shares of common stock, par value $0.01 per share, and 100,000,000 shares of preferred stock, par value $0.01 per share.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Dividends</w:t>
      </w:r>
    </w:p>
    <w:p>
      <w:pPr>
        <w:spacing w:after="0" w:line="194"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w:t>
      </w:r>
      <w:r>
        <w:rPr>
          <w:rFonts w:ascii="Arial" w:cs="Arial" w:eastAsia="Arial" w:hAnsi="Arial"/>
          <w:sz w:val="13"/>
          <w:szCs w:val="13"/>
          <w:i w:val="1"/>
          <w:iCs w:val="1"/>
          <w:color w:val="auto"/>
        </w:rPr>
        <w:t>.</w:t>
      </w:r>
      <w:r>
        <w:rPr>
          <w:rFonts w:ascii="Arial" w:cs="Arial" w:eastAsia="Arial" w:hAnsi="Arial"/>
          <w:sz w:val="13"/>
          <w:szCs w:val="13"/>
          <w:color w:val="auto"/>
        </w:rPr>
        <w:t xml:space="preserve"> The timing, declaration, amount and payment of future dividends will depend on our financial condition, earnings, capital requirements and debt service obligations, as well as legal requirements, regulatory constraints, industry practice and other factors that our Board deems relevant.</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Voting Rights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holders of our common stock are entitled to one vote for each share held of record on all matters submitted to a vote of the shareholders.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Fully Paid</w:t>
      </w:r>
    </w:p>
    <w:p>
      <w:pPr>
        <w:spacing w:after="0" w:line="194"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The issued and outstanding shares of our common stock are fully paid and non-assessable</w:t>
      </w:r>
      <w:r>
        <w:rPr>
          <w:rFonts w:ascii="Arial" w:cs="Arial" w:eastAsia="Arial" w:hAnsi="Arial"/>
          <w:sz w:val="14"/>
          <w:szCs w:val="14"/>
          <w:i w:val="1"/>
          <w:iCs w:val="1"/>
          <w:color w:val="auto"/>
        </w:rPr>
        <w:t>.</w:t>
      </w:r>
      <w:r>
        <w:rPr>
          <w:rFonts w:ascii="Arial" w:cs="Arial" w:eastAsia="Arial" w:hAnsi="Arial"/>
          <w:sz w:val="14"/>
          <w:szCs w:val="14"/>
          <w:color w:val="auto"/>
        </w:rPr>
        <w:t xml:space="preserve"> Any additional shares of common stock that we may issue in the future will also be fully paid and non-assessable.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Liquidation Rights</w:t>
      </w:r>
    </w:p>
    <w:p>
      <w:pPr>
        <w:spacing w:after="0" w:line="194"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Subject to the preferential liquidation rights of any preferred stock that may be outstanding, upon our liquidation, dissolution or winding-up, the holders of our common stock will be entitled to share ratably in our assets legally available for distribution to our shareholders.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Preemptive Rights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holders of our common stock do not have preemptive rights or preferential rights to subscribe for shares of our capital stock.</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Transfer Agent and Registrar</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Computershare Trust Company, N.A. is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60"/>
          </w:cols>
          <w:pgMar w:left="220" w:top="123"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3051F2"/>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Listing</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traded on the Nasdaq Global Select Market under the trading symbol, “CNDT.”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98"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Our Restated Certificate of Incorporation authorizes our Board to designate and issue from time to time one or more series of preferred stock without shareholder approval. Our Board may fix and determine the designation, relative rights, preferences and limitations of the shares of each such series of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A Convertible Perpetual Preferred Stock</w:t>
      </w:r>
    </w:p>
    <w:p>
      <w:pPr>
        <w:spacing w:after="0" w:line="198" w:lineRule="exact"/>
        <w:rPr>
          <w:sz w:val="20"/>
          <w:szCs w:val="20"/>
          <w:color w:val="auto"/>
        </w:rPr>
      </w:pPr>
    </w:p>
    <w:p>
      <w:pPr>
        <w:jc w:val="both"/>
        <w:ind w:firstLine="517"/>
        <w:spacing w:after="0" w:line="256" w:lineRule="auto"/>
        <w:rPr>
          <w:sz w:val="20"/>
          <w:szCs w:val="20"/>
          <w:color w:val="auto"/>
        </w:rPr>
      </w:pPr>
      <w:r>
        <w:rPr>
          <w:rFonts w:ascii="Arial" w:cs="Arial" w:eastAsia="Arial" w:hAnsi="Arial"/>
          <w:sz w:val="14"/>
          <w:szCs w:val="14"/>
          <w:color w:val="auto"/>
        </w:rPr>
        <w:t>The following is a summary of the terms of our Series A Convertible Perpetual Preferred Stock (“Series A Preferred Stock”). This summary is not meant to be complete and is qualified by the description of the Series A Preferred Stock in our Restated Certificate of Incorporation, which establishes the designation, relative rights, preferences and limitations relating to the Series A Preferred Stock. You are urged to read the Restated Certificate of Incorporation carefully in its entirety.</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Shares Issued</w:t>
      </w:r>
    </w:p>
    <w:p>
      <w:pPr>
        <w:spacing w:after="0" w:line="194"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In connection with our December 31, 2016 spin-off from Xerox Corporation, we issued 120,000 shares of Series A Preferred Stock with an aggregate liquidation preference of $120,000,000 and an initial fair value of $142,000,000.</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Dividends</w:t>
      </w:r>
    </w:p>
    <w:p>
      <w:pPr>
        <w:spacing w:after="0" w:line="194"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Cash dividends are payable quarterly on the Series A Preferred Stock when, as and if declared by our Board, out of any funds legally available for the payment of dividends, on a cumulative basis, at a rate per year equal to 8.0% of the liquidation preference.</w:t>
      </w:r>
    </w:p>
    <w:p>
      <w:pPr>
        <w:spacing w:after="0" w:line="153" w:lineRule="exact"/>
        <w:rPr>
          <w:sz w:val="20"/>
          <w:szCs w:val="20"/>
          <w:color w:val="auto"/>
        </w:rPr>
      </w:pPr>
    </w:p>
    <w:p>
      <w:pPr>
        <w:jc w:val="both"/>
        <w:ind w:firstLine="517"/>
        <w:spacing w:after="0" w:line="245" w:lineRule="auto"/>
        <w:rPr>
          <w:sz w:val="20"/>
          <w:szCs w:val="20"/>
          <w:color w:val="auto"/>
        </w:rPr>
      </w:pPr>
      <w:r>
        <w:rPr>
          <w:rFonts w:ascii="Arial" w:cs="Arial" w:eastAsia="Arial" w:hAnsi="Arial"/>
          <w:sz w:val="14"/>
          <w:szCs w:val="14"/>
          <w:color w:val="auto"/>
        </w:rPr>
        <w:t>If we do not pay dividends in full on any dividend payment date, cash dividends will be payable, on a cumulative basis, at a rate per year equal to 8.0% of the sum of the liquidation preference and the amount of accrued and unpaid dividends as of the most recent dividend payment date, and the shares of the Series A Preferred Stock will share ratably in the payment of dividends in accordance with the sums that would be payable on those shares if all dividends were declared and paid in full. In addition, if we do not pay dividends in full on any dividend payment date, our ability to declare or pay dividends on or redeem, purchase or otherwise acquire our common stock or any preferred stock ranking on a parity with or junior to the Series A Preferred Stock, will be subject to certain restrictions. In accordance with our Restated Certificate of Incorporation, the holders of Series A Preferred Stock will also have the right to appoint two members of our Board if six full quarterly dividend periods (whether or not consecutive) are in arrears. The right of the holders of Series A Preferred Stock to appoint two members of our Board will cease when all arrearages in dividends have been paid and dividends for the current quarterly dividend period have been paid.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Conversion</w:t>
      </w:r>
    </w:p>
    <w:p>
      <w:pPr>
        <w:spacing w:after="0" w:line="194" w:lineRule="exact"/>
        <w:rPr>
          <w:sz w:val="20"/>
          <w:szCs w:val="20"/>
          <w:color w:val="auto"/>
        </w:rPr>
      </w:pPr>
    </w:p>
    <w:p>
      <w:pPr>
        <w:jc w:val="both"/>
        <w:ind w:firstLine="517"/>
        <w:spacing w:after="0" w:line="251" w:lineRule="auto"/>
        <w:rPr>
          <w:sz w:val="20"/>
          <w:szCs w:val="20"/>
          <w:color w:val="auto"/>
        </w:rPr>
      </w:pPr>
      <w:r>
        <w:rPr>
          <w:rFonts w:ascii="Arial" w:cs="Arial" w:eastAsia="Arial" w:hAnsi="Arial"/>
          <w:sz w:val="14"/>
          <w:szCs w:val="14"/>
          <w:color w:val="auto"/>
        </w:rPr>
        <w:t>Each share of Series A Preferred Stock may be converted at any time, at the option of the holder, into 44.9438 shares of our common stock, subject to customary anti-dilution adjustments. In addition, the holder has the right to convert, under certain circumstances, each share of Series A Preferred Stock into shares of our common stock at an increased conversion rate. We have the right, at our option, to cause any or all of the Series A Preferred Stock to be converted into shares of our common stock at the then applicable conversion rate if the closing price of the common stock exceeds a certain threshold for 20 trading days over a 30-day trading day period, as specified in our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60"/>
          </w:cols>
          <w:pgMar w:left="220" w:top="123"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3051F2"/>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Redemption</w:t>
      </w:r>
    </w:p>
    <w:p>
      <w:pPr>
        <w:spacing w:after="0" w:line="194"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Upon the occurrence of certain fundamental change events, the holders of Series A Preferred Stock have the right to require us to redeem any or all of the Series A Preferred Stock in cash at a redemption price per share equal to the liquidation preference and any accrued and unpaid dividends to, but not including, the redemption date.</w:t>
      </w:r>
    </w:p>
    <w:p>
      <w:pPr>
        <w:spacing w:after="0" w:line="153" w:lineRule="exact"/>
        <w:rPr>
          <w:sz w:val="20"/>
          <w:szCs w:val="20"/>
          <w:color w:val="auto"/>
        </w:rPr>
      </w:pPr>
    </w:p>
    <w:p>
      <w:pPr>
        <w:jc w:val="both"/>
        <w:ind w:firstLine="517"/>
        <w:spacing w:after="0" w:line="256" w:lineRule="auto"/>
        <w:rPr>
          <w:sz w:val="20"/>
          <w:szCs w:val="20"/>
          <w:color w:val="auto"/>
        </w:rPr>
      </w:pPr>
      <w:r>
        <w:rPr>
          <w:rFonts w:ascii="Arial" w:cs="Arial" w:eastAsia="Arial" w:hAnsi="Arial"/>
          <w:sz w:val="14"/>
          <w:szCs w:val="14"/>
          <w:color w:val="auto"/>
        </w:rPr>
        <w:t>At any time on or following the fifth anniversary of a transfer by the holders of Series A Preferred Stock to a person other than a permitted transferee, we have the option to redeem any or all of such transferred shares of Series A Preferred Stock in cash at a redemption price per share equal to the fair market value of such redeemed shares and any accrued and unpaid dividends to, but not including, the redemption date.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Liquidation</w:t>
      </w:r>
    </w:p>
    <w:p>
      <w:pPr>
        <w:spacing w:after="0" w:line="194" w:lineRule="exact"/>
        <w:rPr>
          <w:sz w:val="20"/>
          <w:szCs w:val="20"/>
          <w:color w:val="auto"/>
        </w:rPr>
      </w:pPr>
    </w:p>
    <w:p>
      <w:pPr>
        <w:jc w:val="both"/>
        <w:ind w:firstLine="517"/>
        <w:spacing w:after="0" w:line="251" w:lineRule="auto"/>
        <w:rPr>
          <w:sz w:val="20"/>
          <w:szCs w:val="20"/>
          <w:color w:val="auto"/>
        </w:rPr>
      </w:pPr>
      <w:r>
        <w:rPr>
          <w:rFonts w:ascii="Arial" w:cs="Arial" w:eastAsia="Arial" w:hAnsi="Arial"/>
          <w:sz w:val="14"/>
          <w:szCs w:val="14"/>
          <w:color w:val="auto"/>
        </w:rPr>
        <w:t>In the event we voluntarily or involuntarily liquidate, dissolve or wind up our affairs, the holders of Series A Preferred Stock will be entitled to receive the liquidation preference per share plus an amount equal to accrued and unpaid dividends, if any, before any distribution to the holders of our common stock. If the amounts payable with respect to Series A Preferred Stock are not paid in full, the holders of Series A Preferred Stock will share ratably in any distribution of assets based upon the aggregate liquidation preference for all outstanding shares for each series. After the holders of shares of Series A Preferred Stock are paid in full, they will have no right or claim to any of our remaining assets.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Voting Rights</w:t>
      </w:r>
    </w:p>
    <w:p>
      <w:pPr>
        <w:spacing w:after="0" w:line="194"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Except as may be required by applicable law and as described below, the consent of the holders of at least two-thirds of the shares of Series A Preferred Stock at the time outstanding, voting separately as a class, is necessary to permit, effect or validate:</w:t>
      </w:r>
    </w:p>
    <w:p>
      <w:pPr>
        <w:spacing w:after="0" w:line="153" w:lineRule="exact"/>
        <w:rPr>
          <w:sz w:val="20"/>
          <w:szCs w:val="20"/>
          <w:color w:val="auto"/>
        </w:rPr>
      </w:pPr>
    </w:p>
    <w:p>
      <w:pPr>
        <w:ind w:left="520" w:hanging="255"/>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authorization of, or any increase in the authorized amount of, any class of stock ranking prior to the Series A Preferred Stock;</w:t>
      </w:r>
    </w:p>
    <w:p>
      <w:pPr>
        <w:spacing w:after="0" w:line="194" w:lineRule="exact"/>
        <w:rPr>
          <w:rFonts w:ascii="Arial" w:cs="Arial" w:eastAsia="Arial" w:hAnsi="Arial"/>
          <w:sz w:val="14"/>
          <w:szCs w:val="14"/>
          <w:color w:val="auto"/>
        </w:rPr>
      </w:pPr>
    </w:p>
    <w:p>
      <w:pPr>
        <w:ind w:left="520" w:hanging="255"/>
        <w:spacing w:after="0" w:line="27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amendment, alteration or repeal of any of the provisions of our Restated Certificate of Incorporation or Amended and Restated By-laws (whether, directly or indirectly, by merger, consolidation or otherwise) which would affect adversely any right, preference, privilege or voting power of the Series A Preferred Stock or of the holders thereof; and</w:t>
      </w:r>
    </w:p>
    <w:p>
      <w:pPr>
        <w:spacing w:after="0" w:line="153" w:lineRule="exact"/>
        <w:rPr>
          <w:rFonts w:ascii="Arial" w:cs="Arial" w:eastAsia="Arial" w:hAnsi="Arial"/>
          <w:sz w:val="14"/>
          <w:szCs w:val="14"/>
          <w:color w:val="auto"/>
        </w:rPr>
      </w:pPr>
    </w:p>
    <w:p>
      <w:pPr>
        <w:jc w:val="both"/>
        <w:ind w:left="520" w:hanging="255"/>
        <w:spacing w:after="0" w:line="25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voluntary liquidation, dissolution or winding up, or the sale, lease or conveyance (other than by mortgage) of all or substantially all of our property or business, or our consolidation, merger or other business combination with or into any other person, except any such sale, lease or conveyance (other than by mortgage) of all or substantially all of our property or business or consolidation or merger or other business combination wherein none of the rights, preferences, privileges or voting powers of the Series A Preferred Stock or the holders thereof are adversely affected.</w:t>
      </w:r>
    </w:p>
    <w:p>
      <w:pPr>
        <w:spacing w:after="0" w:line="166" w:lineRule="exact"/>
        <w:rPr>
          <w:sz w:val="20"/>
          <w:szCs w:val="20"/>
          <w:color w:val="auto"/>
        </w:rPr>
      </w:pPr>
    </w:p>
    <w:p>
      <w:pPr>
        <w:ind w:firstLine="517"/>
        <w:spacing w:after="0" w:line="271" w:lineRule="auto"/>
        <w:rPr>
          <w:sz w:val="20"/>
          <w:szCs w:val="20"/>
          <w:color w:val="auto"/>
        </w:rPr>
      </w:pPr>
      <w:r>
        <w:rPr>
          <w:rFonts w:ascii="Arial" w:cs="Arial" w:eastAsia="Arial" w:hAnsi="Arial"/>
          <w:sz w:val="14"/>
          <w:szCs w:val="14"/>
          <w:color w:val="auto"/>
        </w:rPr>
        <w:t>The holders of Series A Preferred Stock have no voting rights with respect to our consolidation, merger or other business combination with or into any other person, or sale, lease or conveyance (other than by mortgage) of all or substantially all of our property or business, if:</w:t>
      </w:r>
    </w:p>
    <w:p>
      <w:pPr>
        <w:spacing w:after="0" w:line="153" w:lineRule="exact"/>
        <w:rPr>
          <w:sz w:val="20"/>
          <w:szCs w:val="20"/>
          <w:color w:val="auto"/>
        </w:rPr>
      </w:pPr>
    </w:p>
    <w:p>
      <w:pPr>
        <w:jc w:val="both"/>
        <w:ind w:left="520" w:hanging="255"/>
        <w:spacing w:after="0" w:line="256"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to the extent we are not the surviving person in such transaction, the holders of Series A Preferred Stock will receive the stock of the entity surviving such transaction or to whom all or substantially all of our property or business is sold, leased or conveyed, as the case may be, and such stock shall have voting powers, preferences and relative, participating, optional or other special rights as nearly equal as possible to those provided in our Restated Certificate of Incorporation; and</w:t>
      </w:r>
    </w:p>
    <w:p>
      <w:pPr>
        <w:spacing w:after="0" w:line="163" w:lineRule="exact"/>
        <w:rPr>
          <w:rFonts w:ascii="Arial" w:cs="Arial" w:eastAsia="Arial" w:hAnsi="Arial"/>
          <w:sz w:val="14"/>
          <w:szCs w:val="14"/>
          <w:color w:val="auto"/>
        </w:rPr>
      </w:pPr>
    </w:p>
    <w:p>
      <w:pPr>
        <w:ind w:left="520" w:hanging="255"/>
        <w:spacing w:after="0" w:line="27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upon conversion of the Series A Preferred Stock or the stock of the person surviving such transaction or to whom all or substantially all of our property or business is sold, leased or conveyed,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60"/>
          </w:cols>
          <w:pgMar w:left="220" w:top="123"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3051F2"/>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may be, issued in accordance with such event, the holders of Series A Preferred Stock will receive certain securities, cash or other property in connection with such reorganization event.</w:t>
      </w:r>
    </w:p>
    <w:p>
      <w:pPr>
        <w:spacing w:after="0" w:line="202"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Certain Provisions of Our Restated Certificate of Incorporation, Amended and Restated By-Laws and New York Law</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Restated Certificate of Incorporation and Amended and Restated By-Laws</w:t>
      </w:r>
    </w:p>
    <w:p>
      <w:pPr>
        <w:spacing w:after="0" w:line="198" w:lineRule="exact"/>
        <w:rPr>
          <w:sz w:val="20"/>
          <w:szCs w:val="20"/>
          <w:color w:val="auto"/>
        </w:rPr>
      </w:pPr>
    </w:p>
    <w:p>
      <w:pPr>
        <w:jc w:val="both"/>
        <w:ind w:firstLine="517"/>
        <w:spacing w:after="0" w:line="251" w:lineRule="auto"/>
        <w:rPr>
          <w:sz w:val="20"/>
          <w:szCs w:val="20"/>
          <w:color w:val="auto"/>
        </w:rPr>
      </w:pPr>
      <w:r>
        <w:rPr>
          <w:rFonts w:ascii="Arial" w:cs="Arial" w:eastAsia="Arial" w:hAnsi="Arial"/>
          <w:sz w:val="14"/>
          <w:szCs w:val="14"/>
          <w:color w:val="auto"/>
        </w:rPr>
        <w:t>Certain provisions in our Restated Certificate of Incorporation and our Amended and Restated By-Laws summarized below may be deemed to have an anti-takeover effect and may delay, deter or prevent a tender offer or takeover attempt that a shareholder might consider to be in its best interests, including attempts that might result in a premium being paid over the market price for the shares held by shareholders.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Blank Check Preferred Stock</w:t>
      </w:r>
    </w:p>
    <w:p>
      <w:pPr>
        <w:spacing w:after="0" w:line="194" w:lineRule="exact"/>
        <w:rPr>
          <w:sz w:val="20"/>
          <w:szCs w:val="20"/>
          <w:color w:val="auto"/>
        </w:rPr>
      </w:pPr>
    </w:p>
    <w:p>
      <w:pPr>
        <w:jc w:val="both"/>
        <w:ind w:firstLine="517"/>
        <w:spacing w:after="0" w:line="251" w:lineRule="auto"/>
        <w:rPr>
          <w:sz w:val="20"/>
          <w:szCs w:val="20"/>
          <w:color w:val="auto"/>
        </w:rPr>
      </w:pPr>
      <w:r>
        <w:rPr>
          <w:rFonts w:ascii="Arial" w:cs="Arial" w:eastAsia="Arial" w:hAnsi="Arial"/>
          <w:sz w:val="14"/>
          <w:szCs w:val="14"/>
          <w:color w:val="auto"/>
        </w:rPr>
        <w:t>Our Restated Certificate of Incorporation authorizes our Board to designate and issue, without any further vote or action by the shareholders, shares of preferred stock at any time or from time to time in one or more series and, with respect to each such series, to establish the number of shares to be included in each such series, and to fix the designation, relative rights, preferences and limitations of the shares of each such series, including, but not limited to, the voting rights (if any) of the series and any other relative rights, preferences and limitations of that series. The ability to issue such preferred stock could discourage potential acquisition proposals and could delay or prevent a change in control.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Special Meetings of Shareholders</w:t>
      </w:r>
    </w:p>
    <w:p>
      <w:pPr>
        <w:spacing w:after="0" w:line="194"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4"/>
          <w:szCs w:val="14"/>
          <w:color w:val="auto"/>
        </w:rPr>
        <w:t>Our Amended and Restated By-Laws provides that each of the Chairman of the Board, the Board or the Secretary, at the request of the holders of record of not less than 20% of the outstanding shares of our common stock, is able to call a special meeting of shareholders. No shareholder is permitted to propose the removal of directors or the election of directors at a shareholder-called special meetings, other than a single shareholder, or “group” of shareholders who have filed as such under Section 13(d) of the Exchange Act with respect to their ownership of our common stock, that owns at least a majority of our outstanding common stock. For a shareholder to call a special meeting, the shareholder(s) must comply with the requirements set forth in our Amended and Restated By-Laws, including giving notice to our Secretary, which notice must include the information described in “Requirements for Advance Notification of Shareholder Nomination and Proposals” below.</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Requirements for Advance Notification of Shareholder Nominations and Proposals</w:t>
      </w:r>
    </w:p>
    <w:p>
      <w:pPr>
        <w:spacing w:after="0" w:line="194" w:lineRule="exact"/>
        <w:rPr>
          <w:sz w:val="20"/>
          <w:szCs w:val="20"/>
          <w:color w:val="auto"/>
        </w:rPr>
      </w:pPr>
    </w:p>
    <w:p>
      <w:pPr>
        <w:jc w:val="both"/>
        <w:ind w:firstLine="517"/>
        <w:spacing w:after="0" w:line="266" w:lineRule="auto"/>
        <w:rPr>
          <w:sz w:val="20"/>
          <w:szCs w:val="20"/>
          <w:color w:val="auto"/>
        </w:rPr>
      </w:pPr>
      <w:r>
        <w:rPr>
          <w:rFonts w:ascii="Arial" w:cs="Arial" w:eastAsia="Arial" w:hAnsi="Arial"/>
          <w:sz w:val="13"/>
          <w:szCs w:val="13"/>
          <w:color w:val="auto"/>
        </w:rPr>
        <w:t>Under our Amended and Restated By-Laws, shareholders of record may nominate persons for election to our Board or bring other business constituting a proper matter for shareholder action only by providing proper notice to our Secretary. Proper notice must be timely; for annual meetings of shareholders, notice must generally be given not less than 120 days nor more than 150 days prior to the first anniversary of the date our proxy statement was released to shareholders in connection with the previous year’s annual meeting, and for special meetings of shareholders, notice must generally be given not less than 120 days nor more than 150 days prior to the date of the special meeting. Proper notice must include, among other information, the name and address of the shareholder giving the notice and any material interest the shareholder has in the business desired to be brought before the meeting, certain information relating to each person whom such shareholder proposes to nominate for election as a director, a brief description of any other business (including the text of any resolutions proposed for consideration, and in the event that such business includes a proposal to amend the Amended and Restated By-Laws, the text of the proposed amendment) and the reason for conducting such business at the meeting, the name of each person with whom the shareholder is acting in concert and any other information requested in our Amended and Restated By-Laws, including any update or supplement described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60"/>
          </w:cols>
          <w:pgMar w:left="220" w:top="123"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3051F2"/>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Filling Vacancies; Removal of Directors</w:t>
      </w:r>
    </w:p>
    <w:p>
      <w:pPr>
        <w:spacing w:after="0" w:line="194" w:lineRule="exact"/>
        <w:rPr>
          <w:sz w:val="20"/>
          <w:szCs w:val="20"/>
          <w:color w:val="auto"/>
        </w:rPr>
      </w:pPr>
    </w:p>
    <w:p>
      <w:pPr>
        <w:jc w:val="both"/>
        <w:ind w:firstLine="517"/>
        <w:spacing w:after="0" w:line="251" w:lineRule="auto"/>
        <w:rPr>
          <w:sz w:val="20"/>
          <w:szCs w:val="20"/>
          <w:color w:val="auto"/>
        </w:rPr>
      </w:pPr>
      <w:r>
        <w:rPr>
          <w:rFonts w:ascii="Arial" w:cs="Arial" w:eastAsia="Arial" w:hAnsi="Arial"/>
          <w:sz w:val="14"/>
          <w:szCs w:val="14"/>
          <w:color w:val="auto"/>
        </w:rPr>
        <w:t>Our Restated Certificate of Incorporation and Amended and Restated By-Laws provide that any Board vacancy, including a vacancy resulting from an increase in the number of directors, may be filled solely by the affirmative vote of a majority of the directors then in office, even if less than a quorum of the Board exists. Additionally, our Restated Certificate of Incorporation and our Amended and Restated By-Laws provide that no director of our Board may be removed from office without cause. These provisions make it more difficult for shareholders to take an action opposed by our Board.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York Anti-Takeover Statute</w:t>
      </w:r>
    </w:p>
    <w:p>
      <w:pPr>
        <w:spacing w:after="0" w:line="198" w:lineRule="exact"/>
        <w:rPr>
          <w:sz w:val="20"/>
          <w:szCs w:val="20"/>
          <w:color w:val="auto"/>
        </w:rPr>
      </w:pPr>
    </w:p>
    <w:p>
      <w:pPr>
        <w:jc w:val="both"/>
        <w:ind w:firstLine="517"/>
        <w:spacing w:after="0" w:line="256" w:lineRule="auto"/>
        <w:rPr>
          <w:sz w:val="20"/>
          <w:szCs w:val="20"/>
          <w:color w:val="auto"/>
        </w:rPr>
      </w:pPr>
      <w:r>
        <w:rPr>
          <w:rFonts w:ascii="Arial" w:cs="Arial" w:eastAsia="Arial" w:hAnsi="Arial"/>
          <w:sz w:val="14"/>
          <w:szCs w:val="14"/>
          <w:color w:val="auto"/>
        </w:rPr>
        <w:t>Section 912 of the New York Business Corporation Law generally provides that a New York corporation may not engage in a business combination with an interested shareholder for a period of five years following the interested shareholder’s stock acquisition date. Such a business combination would be permitted where it is approved by the board of directors before the interested shareholder’s stock acquisition date, or within 30 days thereafter, if a good faith proposal regarding a business combination is made in writing.</w:t>
      </w:r>
    </w:p>
    <w:p>
      <w:pPr>
        <w:spacing w:after="0" w:line="163"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Covered business combinations include certain mergers and consolidations, dispositions of assets or stock, plans for liquidation or dissolution, reclassifications of securities, recapitalizations and similar transactions. An interested shareholder is generally a shareholder owning at least 20% of a corporation’s outstanding voting stock.</w:t>
      </w:r>
    </w:p>
    <w:p>
      <w:pPr>
        <w:spacing w:after="0" w:line="15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4"/>
          <w:szCs w:val="14"/>
          <w:color w:val="auto"/>
        </w:rPr>
        <w:t>In addition, New York corporations may not engage at any time with any interested shareholder in a business combination other than: (i) a business combination approved by the board of directors before the stock acquisition, or where the acquisition of the stock had been approved by the board of directors before the stock acquisition; (ii) a business combination approved by the affirmative vote of the holders of a majority of the outstanding voting stock not beneficially owned by the interested shareholder at a meeting for that purpose no earlier than five years after the stock acquisition; or (iii) a business combination in which the interested shareholder pays a formula price designed to ensure that all other shareholders receive at least the highest price per share that is paid by the interested shareholder and that meets certain other requirements. Pursuant to Section 912(d) of the New York Business Corporation Law, we have elected to opt out of these provisions, and the restrictions described above do not apply to any business combination involving us.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Indemnification of Directors and Officers</w:t>
      </w:r>
    </w:p>
    <w:p>
      <w:pPr>
        <w:spacing w:after="0" w:line="198"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4"/>
          <w:szCs w:val="14"/>
          <w:color w:val="auto"/>
        </w:rPr>
        <w:t xml:space="preserve">Our Amended and Restated By-Laws provide that except to the extent expressly prohibited by law, we will indemnify any person, made or threatened to be made, a party in any civil or criminal action or proceeding, including an action or proceeding by or in our right to procure a judgment in its favor or by or in the right of any other corporation of any type or kind, domestic or foreign, or any partnership, joint venture, trust, employee benefit plan or other enterprise, which any of our directors or officers served in any capacity at our request, by reason of the fact that he or she, his or her testator or intestate is or was our director or officer of our company or serves or served such other corporation, partnership, joint venture, trust, employee benefit plan or other enterprise, in any capacity, against judgments, fines, penalties, amounts paid in settlement and reasonable expenses, including attorneys’ fees, incurred in connection with such action or proceeding, or any appeal therein;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such indemnification shall be required with respect to any settlement unless we shall have given its prior approval thereto. Such indemnification shall include the right to be paid advances of any expenses incurred by such person in connection with such action, suit or proceeding, consistent with the provisions of applicable law. In addition to the foregoing, we are authorized to extend rights to indemnification and advancement of expenses to such persons by (i) resolution of the shareholders, (ii) resolution of the directors or (iii) an agreement, to the extent not expressly prohibited by law.</w:t>
      </w:r>
    </w:p>
    <w:p>
      <w:pPr>
        <w:spacing w:after="0" w:line="174" w:lineRule="exact"/>
        <w:rPr>
          <w:sz w:val="20"/>
          <w:szCs w:val="20"/>
          <w:color w:val="auto"/>
        </w:rPr>
      </w:pPr>
    </w:p>
    <w:p>
      <w:pPr>
        <w:jc w:val="both"/>
        <w:ind w:firstLine="517"/>
        <w:spacing w:after="0" w:line="251" w:lineRule="auto"/>
        <w:rPr>
          <w:sz w:val="20"/>
          <w:szCs w:val="20"/>
          <w:color w:val="auto"/>
        </w:rPr>
      </w:pPr>
      <w:r>
        <w:rPr>
          <w:rFonts w:ascii="Arial" w:cs="Arial" w:eastAsia="Arial" w:hAnsi="Arial"/>
          <w:sz w:val="14"/>
          <w:szCs w:val="14"/>
          <w:color w:val="auto"/>
        </w:rPr>
        <w:t>Under Section 722 of the New York Business Corporation Law, a corporation may indemnify its directors and officers made, or threatened to be made, a party to any action or proceeding, except for shareholder derivative suits, if the director or officer acted in good faith, for a purpose that he or she reasonably believed to be in or, in the case of service to another corporation or enterprise, not opposed to the best interests of the corporation, and, in addition, in criminal proceedings had no reasonable cause to believe his or her conduct was unlawful. In the case of shareholder derivative suits, the corporation may indemnify a director or officer if he or she acted in good faith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60"/>
          </w:cols>
          <w:pgMar w:left="220" w:top="123"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3051F2"/>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purpose that he or she reasonably believed to be in or, in the case of service to another corporation or enterprise, not opposed to the best interests of the corporation, except that no indemnification may be made in respect of (i) a threatened action, or a pending action that is settled or otherwise disposed of, or (ii) any claim, issue or matter as to which such individual has been adjudged to be liable to the corporation, unless and only to the extent that the court in which the action was brought, or, if no action was brought, any court of competent jurisdiction, determines, upon application, that, in view of all the circumstances of the case, the individual is fairly and reasonably entitled to indemnity for the portion of the settlement amount and expenses as the court deems proper.</w:t>
      </w:r>
    </w:p>
    <w:p>
      <w:pPr>
        <w:spacing w:after="0" w:line="152" w:lineRule="exact"/>
        <w:rPr>
          <w:sz w:val="20"/>
          <w:szCs w:val="20"/>
          <w:color w:val="auto"/>
        </w:rPr>
      </w:pPr>
    </w:p>
    <w:p>
      <w:pPr>
        <w:jc w:val="both"/>
        <w:ind w:firstLine="517"/>
        <w:spacing w:after="0" w:line="248" w:lineRule="auto"/>
        <w:rPr>
          <w:sz w:val="20"/>
          <w:szCs w:val="20"/>
          <w:color w:val="auto"/>
        </w:rPr>
      </w:pPr>
      <w:r>
        <w:rPr>
          <w:rFonts w:ascii="Arial" w:cs="Arial" w:eastAsia="Arial" w:hAnsi="Arial"/>
          <w:sz w:val="14"/>
          <w:szCs w:val="14"/>
          <w:color w:val="auto"/>
        </w:rPr>
        <w:t>Any individual who has been successful on the merits or otherwise in the defense of a civil or criminal action or proceeding will be entitled to indemnification. Except as provided in the preceding sentence, unless ordered by a court pursuant to Section 724 of the New York Business Corporation Law, any indemnification under the New York Business Corporation Law as described in the immediately preceding paragraph may be made only if, pursuant to Section 723 of the New York Business Corporation Law, indemnification is authorized in the specific case and after a finding that the director or officer met the requisite standard of conduct by the disinterested directors if a quorum is available, or, if the quorum so directs or is unavailable, (i) the board of directors upon the written opinion of independent legal counsel or (ii) the shareholders.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indemnification rights provided in our Amended and Restated By-Laws are not exclusive of any other right to which persons seeking indemnification may otherwise be entitled.</w:t>
      </w:r>
    </w:p>
    <w:p>
      <w:pPr>
        <w:spacing w:after="0" w:line="206" w:lineRule="exact"/>
        <w:rPr>
          <w:sz w:val="20"/>
          <w:szCs w:val="20"/>
          <w:color w:val="auto"/>
        </w:rPr>
      </w:pPr>
    </w:p>
    <w:p>
      <w:pPr>
        <w:jc w:val="both"/>
        <w:ind w:firstLine="517"/>
        <w:spacing w:after="0" w:line="271" w:lineRule="auto"/>
        <w:rPr>
          <w:sz w:val="20"/>
          <w:szCs w:val="20"/>
          <w:color w:val="auto"/>
        </w:rPr>
      </w:pPr>
      <w:r>
        <w:rPr>
          <w:rFonts w:ascii="Arial" w:cs="Arial" w:eastAsia="Arial" w:hAnsi="Arial"/>
          <w:sz w:val="14"/>
          <w:szCs w:val="14"/>
          <w:color w:val="auto"/>
        </w:rPr>
        <w:t>As permitted by New York law, our Amended and Restated By-Laws authorize us to purchase and maintain insurance to protect any director, officer, employee or agent against claims and liabilities that such persons may incur in such capacities.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Exclusive Forum</w:t>
      </w:r>
    </w:p>
    <w:p>
      <w:pPr>
        <w:spacing w:after="0" w:line="198" w:lineRule="exact"/>
        <w:rPr>
          <w:sz w:val="20"/>
          <w:szCs w:val="20"/>
          <w:color w:val="auto"/>
        </w:rPr>
      </w:pPr>
    </w:p>
    <w:p>
      <w:pPr>
        <w:jc w:val="both"/>
        <w:ind w:firstLine="352"/>
        <w:spacing w:after="0" w:line="248"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forum, any state or federal court located in New York County in the State of New York will be the sole and exclusive forum for (i) any derivative action or proceeding purportedly brought on behalf of us, (ii) any action or proceeding asserting a claim of breach of a fiduciary duty owed by any of our current or former directors, officers or other employees or shareholders to us or our shareholders, (iii) any action or proceeding asserting a claim arising pursuant to any provision of the Business Corporation Law of the State of New York or our Restated Certificate of Incorporation or Amended and Restated By-Laws (with respect to each, as may be amended from time to time), or (iv) any action or proceeding asserting a claim otherwise governed by the internal affairs doctrine.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Provisions of the Icahn Agreement</w:t>
      </w:r>
    </w:p>
    <w:p>
      <w:pPr>
        <w:spacing w:after="0" w:line="198" w:lineRule="exact"/>
        <w:rPr>
          <w:sz w:val="20"/>
          <w:szCs w:val="20"/>
          <w:color w:val="auto"/>
        </w:rPr>
      </w:pPr>
    </w:p>
    <w:p>
      <w:pPr>
        <w:jc w:val="both"/>
        <w:ind w:firstLine="517"/>
        <w:spacing w:after="0" w:line="265" w:lineRule="auto"/>
        <w:rPr>
          <w:sz w:val="20"/>
          <w:szCs w:val="20"/>
          <w:color w:val="auto"/>
        </w:rPr>
      </w:pPr>
      <w:r>
        <w:rPr>
          <w:rFonts w:ascii="Arial" w:cs="Arial" w:eastAsia="Arial" w:hAnsi="Arial"/>
          <w:sz w:val="13"/>
          <w:szCs w:val="13"/>
          <w:color w:val="auto"/>
        </w:rPr>
        <w:t>We are party to an Agreement, dated January 28, 2016, with Xerox Corporation and the Icahn Group (the “Icahn Agreement”). Among other things, the Icahn Agreement provides that (i) our Board will be annually elected; (ii) any “shareholder rights plan” adopted by our Board not ratified by shareholders within 135 days of its taking effect, will automatically expire; (iii) our shareholders have the ability to call special meetings on the terms to be set forth in our governing documents at the request of holders of 20% of the outstanding shares of our common stock who meet certain requirements with respect to advance notice, required disclosures and permitted matters and other matters (except that business at such shareholder-called meetings will generally not include the removal or election of directors); (iv) except as required by law, our governing documents do not impose minimum voting requirements greater than a majority of the outstanding shares of our common stock; (v) we elect not to be governed by Section 912 of the New York Business Corporation Law; (vi) we do not adopt or approve change-of-control provisions in plans benefiting or agreements with directors, officers or employees (including equity plans and change-of-control severance agreements) with ownership triggers below 50%; (vii) we abide by certain procedures, specified in the Icahn Agreement, concerning diligence requests from certain over-bidders; and (viii) we are incorporated under the laws of the State of New York. Our obligations with respect to the matters in clauses (iii) through (viii) of the immediately preceding sentence will only remain in place so long as the “Icahn Group” (those parties listed on Schedule A to the Icahn Agreement) has beneficial ownership of at least 4.9% of our outstanding “Voting Securities” (as such term is defined in the Icahn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60"/>
          </w:cols>
          <w:pgMar w:left="220" w:top="123"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3051F2"/>
        </w:rPr>
        <w:t>EXHIBIT 10.6(e)(ii)</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Mr. Clifford Skelton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 Conduent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100 Campus Drive, Suite 200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Florham Park, NJ 07932</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Dear Cliff:</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 am pleased to present to you modified terms to your compensation.</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Reference is made to the offer letter, dated May 21, 2019, between Conduent Incorporated (“Conduent”) and you (the “Offer Letter”), to the promotion letter, dated August 6, 2019, between Conduent and you (the “Promotion Letter”). This letter modifies certain terms of the Offer Letter and Promotion Letter as follows:</w:t>
      </w:r>
    </w:p>
    <w:p>
      <w:pPr>
        <w:spacing w:after="0" w:line="173" w:lineRule="exact"/>
        <w:rPr>
          <w:sz w:val="20"/>
          <w:szCs w:val="20"/>
          <w:color w:val="auto"/>
        </w:rPr>
      </w:pPr>
    </w:p>
    <w:p>
      <w:pPr>
        <w:ind w:left="160" w:hanging="154"/>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following sections of the Offer Letter will be replaced in their entirety, effective as of the date hereof:</w:t>
      </w:r>
    </w:p>
    <w:p>
      <w:pPr>
        <w:ind w:left="520"/>
        <w:spacing w:after="0"/>
        <w:rPr>
          <w:rFonts w:ascii="Arial" w:cs="Arial" w:eastAsia="Arial" w:hAnsi="Arial"/>
          <w:sz w:val="14"/>
          <w:szCs w:val="14"/>
          <w:color w:val="auto"/>
        </w:rPr>
      </w:pPr>
      <w:r>
        <w:rPr>
          <w:rFonts w:ascii="Arial" w:cs="Arial" w:eastAsia="Arial" w:hAnsi="Arial"/>
          <w:sz w:val="14"/>
          <w:szCs w:val="14"/>
          <w:b w:val="1"/>
          <w:bCs w:val="1"/>
          <w:u w:val="single" w:color="auto"/>
          <w:color w:val="auto"/>
        </w:rPr>
        <w:t>Annual Base Salary</w:t>
      </w:r>
    </w:p>
    <w:p>
      <w:pPr>
        <w:ind w:left="520"/>
        <w:spacing w:after="0"/>
        <w:rPr>
          <w:rFonts w:ascii="Arial" w:cs="Arial" w:eastAsia="Arial" w:hAnsi="Arial"/>
          <w:sz w:val="14"/>
          <w:szCs w:val="14"/>
          <w:color w:val="auto"/>
        </w:rPr>
      </w:pPr>
      <w:r>
        <w:rPr>
          <w:rFonts w:ascii="Arial" w:cs="Arial" w:eastAsia="Arial" w:hAnsi="Arial"/>
          <w:sz w:val="14"/>
          <w:szCs w:val="14"/>
          <w:color w:val="auto"/>
        </w:rPr>
        <w:t>Your revised base salary for this position will be paid in accordance with Conduent’s ordinary payroll practices for executives, at the annualized rate of $750,000.</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Annual Performance Incentive Plan</w:t>
      </w:r>
    </w:p>
    <w:p>
      <w:pPr>
        <w:spacing w:after="0" w:line="19" w:lineRule="exact"/>
        <w:rPr>
          <w:sz w:val="20"/>
          <w:szCs w:val="20"/>
          <w:color w:val="auto"/>
        </w:rPr>
      </w:pPr>
    </w:p>
    <w:p>
      <w:pPr>
        <w:ind w:left="520" w:right="20"/>
        <w:spacing w:after="0" w:line="248" w:lineRule="auto"/>
        <w:rPr>
          <w:sz w:val="20"/>
          <w:szCs w:val="20"/>
          <w:color w:val="auto"/>
        </w:rPr>
      </w:pPr>
      <w:r>
        <w:rPr>
          <w:rFonts w:ascii="Arial" w:cs="Arial" w:eastAsia="Arial" w:hAnsi="Arial"/>
          <w:sz w:val="14"/>
          <w:szCs w:val="14"/>
          <w:color w:val="auto"/>
        </w:rPr>
        <w:t>You will be eligible to participate in the Annual Performance Incentive Plan (APIP) at an annual target level of 125% of base salary (“Target”) with a potential payout range of zero to 200% of your Target. Unless specifically noted in the plan document or required by law, only those participants actively employed with Conduent on the date individual bonuses are paid will be eligible to receive a bonus. Details of this plan are contained in the APIP documentation which will be provided separately.</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Long-Term Incentive Plan</w:t>
      </w:r>
    </w:p>
    <w:p>
      <w:pPr>
        <w:spacing w:after="0" w:line="212" w:lineRule="exact"/>
        <w:rPr>
          <w:sz w:val="20"/>
          <w:szCs w:val="20"/>
          <w:color w:val="auto"/>
        </w:rPr>
      </w:pPr>
    </w:p>
    <w:p>
      <w:pPr>
        <w:ind w:left="520" w:right="400"/>
        <w:spacing w:after="0" w:line="248" w:lineRule="auto"/>
        <w:rPr>
          <w:sz w:val="20"/>
          <w:szCs w:val="20"/>
          <w:color w:val="auto"/>
        </w:rPr>
      </w:pPr>
      <w:r>
        <w:rPr>
          <w:rFonts w:ascii="Arial" w:cs="Arial" w:eastAsia="Arial" w:hAnsi="Arial"/>
          <w:sz w:val="14"/>
          <w:szCs w:val="14"/>
          <w:color w:val="auto"/>
        </w:rPr>
        <w:t>You will be eligible to participate in Conduent’s Long Term Incentive Program (“LTIP”), as may be amended from time to time. Grants are typically made in April and, in accordance with the Conduent Incorporated Performance Incentive Plan (or any successor plan that is operative at the time), are subject to the terms and conditions approved by the Compensation Committee and set forth in individual award agreements each year.</w:t>
      </w:r>
    </w:p>
    <w:p>
      <w:pPr>
        <w:spacing w:after="0" w:line="179" w:lineRule="exact"/>
        <w:rPr>
          <w:sz w:val="20"/>
          <w:szCs w:val="20"/>
          <w:color w:val="auto"/>
        </w:rPr>
      </w:pPr>
    </w:p>
    <w:p>
      <w:pPr>
        <w:ind w:left="520" w:right="380"/>
        <w:spacing w:after="0" w:line="256" w:lineRule="auto"/>
        <w:rPr>
          <w:sz w:val="20"/>
          <w:szCs w:val="20"/>
          <w:color w:val="auto"/>
        </w:rPr>
      </w:pPr>
      <w:r>
        <w:rPr>
          <w:rFonts w:ascii="Arial" w:cs="Arial" w:eastAsia="Arial" w:hAnsi="Arial"/>
          <w:sz w:val="14"/>
          <w:szCs w:val="14"/>
          <w:color w:val="auto"/>
        </w:rPr>
        <w:t>Your LTIP target annual award, subject to annual approval by the Compensation Committee, shall be $3,000,000. Participation, eligibility requirements, and the form of equity or other incentive instrument, are reviewed annually and subject to change.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2. The Promotion Letter is modified, effective as of the date hereof, (A) to strike the following words: “on an interim basis until the Board of Directors (the “Board”)</w:t>
      </w:r>
    </w:p>
    <w:p>
      <w:pPr>
        <w:sectPr>
          <w:pgSz w:w="11900" w:h="16838" w:orient="portrait"/>
          <w:cols w:equalWidth="0" w:num="1">
            <w:col w:w="11460"/>
          </w:cols>
          <w:pgMar w:left="220" w:top="317"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3051F2"/>
        </w:rPr>
        <w:t>EXHIBIT 10.6(e)(ii)</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Clifford Skelton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designates a permanent CEO” from the second paragraph thereof, and (B) to strike paragraphs 3 and 4 thereof.</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Except for those sections of the Offer Letter and Promotion Letter specifically modified hereby, the provisions of each shall continue to apply and are not modified by this letter.</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Conduent Inc.</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I agree to and accept this change: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Clifford Skelton</w:t>
            </w:r>
          </w:p>
        </w:tc>
        <w:tc>
          <w:tcPr>
            <w:tcW w:w="1260" w:type="dxa"/>
            <w:vAlign w:val="bottom"/>
          </w:tcPr>
          <w:p>
            <w:pPr>
              <w:spacing w:after="0"/>
              <w:rPr>
                <w:sz w:val="15"/>
                <w:szCs w:val="15"/>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25, 2020</w:t>
            </w:r>
          </w:p>
        </w:tc>
      </w:tr>
      <w:tr>
        <w:trPr>
          <w:trHeight w:val="189"/>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Clifford Skelton</w:t>
            </w:r>
          </w:p>
        </w:tc>
        <w:tc>
          <w:tcPr>
            <w:tcW w:w="4140" w:type="dxa"/>
            <w:vAlign w:val="bottom"/>
          </w:tcPr>
          <w:p>
            <w:pPr>
              <w:ind w:left="20"/>
              <w:spacing w:after="0"/>
              <w:rPr>
                <w:sz w:val="20"/>
                <w:szCs w:val="20"/>
                <w:color w:val="auto"/>
              </w:rPr>
            </w:pPr>
            <w:r>
              <w:rPr>
                <w:rFonts w:ascii="Arial" w:cs="Arial" w:eastAsia="Arial" w:hAnsi="Arial"/>
                <w:sz w:val="14"/>
                <w:szCs w:val="14"/>
                <w:color w:val="auto"/>
              </w:rPr>
              <w:t>Date</w:t>
            </w:r>
          </w:p>
        </w:tc>
      </w:tr>
    </w:tbl>
    <w:p>
      <w:pPr>
        <w:sectPr>
          <w:pgSz w:w="11900" w:h="16838" w:orient="portrait"/>
          <w:cols w:equalWidth="0" w:num="1">
            <w:col w:w="11460"/>
          </w:cols>
          <w:pgMar w:left="220" w:top="317"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3051F2"/>
        </w:rPr>
        <w:t>EXHIBIT 10.6(f)(i)</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2628"/>
        </w:rPr>
        <w:t>SEPARATION AGREEMENT AND GENERAL RELEASE</w:t>
      </w:r>
    </w:p>
    <w:p>
      <w:pPr>
        <w:spacing w:after="0" w:line="208" w:lineRule="exact"/>
        <w:rPr>
          <w:sz w:val="20"/>
          <w:szCs w:val="20"/>
          <w:color w:val="auto"/>
        </w:rPr>
      </w:pPr>
    </w:p>
    <w:p>
      <w:pPr>
        <w:ind w:firstLine="517"/>
        <w:spacing w:after="0"/>
        <w:rPr>
          <w:sz w:val="20"/>
          <w:szCs w:val="20"/>
          <w:color w:val="auto"/>
        </w:rPr>
      </w:pPr>
      <w:r>
        <w:rPr>
          <w:rFonts w:ascii="Arial" w:cs="Arial" w:eastAsia="Arial" w:hAnsi="Arial"/>
          <w:sz w:val="14"/>
          <w:szCs w:val="14"/>
          <w:color w:val="36383B"/>
        </w:rPr>
        <w:t xml:space="preserve">This Separation Agreement </w:t>
      </w:r>
      <w:r>
        <w:rPr>
          <w:rFonts w:ascii="Arial" w:cs="Arial" w:eastAsia="Arial" w:hAnsi="Arial"/>
          <w:sz w:val="14"/>
          <w:szCs w:val="14"/>
          <w:color w:val="232628"/>
        </w:rPr>
        <w:t>and</w:t>
      </w:r>
      <w:r>
        <w:rPr>
          <w:rFonts w:ascii="Arial" w:cs="Arial" w:eastAsia="Arial" w:hAnsi="Arial"/>
          <w:sz w:val="14"/>
          <w:szCs w:val="14"/>
          <w:color w:val="36383B"/>
        </w:rPr>
        <w:t xml:space="preserve"> General </w:t>
      </w:r>
      <w:r>
        <w:rPr>
          <w:rFonts w:ascii="Arial" w:cs="Arial" w:eastAsia="Arial" w:hAnsi="Arial"/>
          <w:sz w:val="14"/>
          <w:szCs w:val="14"/>
          <w:color w:val="232628"/>
        </w:rPr>
        <w:t>Release</w:t>
      </w:r>
      <w:r>
        <w:rPr>
          <w:rFonts w:ascii="Arial" w:cs="Arial" w:eastAsia="Arial" w:hAnsi="Arial"/>
          <w:sz w:val="14"/>
          <w:szCs w:val="14"/>
          <w:color w:val="36383B"/>
        </w:rPr>
        <w:t xml:space="preserve"> (this </w:t>
      </w:r>
      <w:r>
        <w:rPr>
          <w:rFonts w:ascii="Arial" w:cs="Arial" w:eastAsia="Arial" w:hAnsi="Arial"/>
          <w:sz w:val="14"/>
          <w:szCs w:val="14"/>
          <w:color w:val="4F5052"/>
        </w:rPr>
        <w:t>"</w:t>
      </w:r>
      <w:r>
        <w:rPr>
          <w:rFonts w:ascii="Arial" w:cs="Arial" w:eastAsia="Arial" w:hAnsi="Arial"/>
          <w:sz w:val="14"/>
          <w:szCs w:val="14"/>
          <w:color w:val="36383B"/>
        </w:rPr>
        <w:t>Agreement")</w:t>
      </w:r>
      <w:r>
        <w:rPr>
          <w:rFonts w:ascii="Arial" w:cs="Arial" w:eastAsia="Arial" w:hAnsi="Arial"/>
          <w:sz w:val="14"/>
          <w:szCs w:val="14"/>
          <w:color w:val="232628"/>
        </w:rPr>
        <w:t>is</w:t>
      </w:r>
      <w:r>
        <w:rPr>
          <w:rFonts w:ascii="Arial" w:cs="Arial" w:eastAsia="Arial" w:hAnsi="Arial"/>
          <w:sz w:val="14"/>
          <w:szCs w:val="14"/>
          <w:color w:val="36383B"/>
        </w:rPr>
        <w:t xml:space="preserve"> entered </w:t>
      </w:r>
      <w:r>
        <w:rPr>
          <w:rFonts w:ascii="Arial" w:cs="Arial" w:eastAsia="Arial" w:hAnsi="Arial"/>
          <w:sz w:val="14"/>
          <w:szCs w:val="14"/>
          <w:color w:val="232628"/>
        </w:rPr>
        <w:t>into by</w:t>
      </w:r>
      <w:r>
        <w:rPr>
          <w:rFonts w:ascii="Arial" w:cs="Arial" w:eastAsia="Arial" w:hAnsi="Arial"/>
          <w:sz w:val="14"/>
          <w:szCs w:val="14"/>
          <w:color w:val="36383B"/>
        </w:rPr>
        <w:t xml:space="preserve"> and </w:t>
      </w:r>
      <w:r>
        <w:rPr>
          <w:rFonts w:ascii="Arial" w:cs="Arial" w:eastAsia="Arial" w:hAnsi="Arial"/>
          <w:sz w:val="14"/>
          <w:szCs w:val="14"/>
          <w:color w:val="232628"/>
        </w:rPr>
        <w:t>among</w:t>
      </w:r>
      <w:r>
        <w:rPr>
          <w:rFonts w:ascii="Arial" w:cs="Arial" w:eastAsia="Arial" w:hAnsi="Arial"/>
          <w:sz w:val="14"/>
          <w:szCs w:val="14"/>
          <w:color w:val="36383B"/>
        </w:rPr>
        <w:t xml:space="preserve"> Conduent </w:t>
      </w:r>
      <w:r>
        <w:rPr>
          <w:rFonts w:ascii="Arial" w:cs="Arial" w:eastAsia="Arial" w:hAnsi="Arial"/>
          <w:sz w:val="14"/>
          <w:szCs w:val="14"/>
          <w:color w:val="232628"/>
        </w:rPr>
        <w:t>Business Services,</w:t>
      </w:r>
      <w:r>
        <w:rPr>
          <w:rFonts w:ascii="Arial" w:cs="Arial" w:eastAsia="Arial" w:hAnsi="Arial"/>
          <w:sz w:val="14"/>
          <w:szCs w:val="14"/>
          <w:color w:val="36383B"/>
        </w:rPr>
        <w:t xml:space="preserve"> LLC, </w:t>
      </w:r>
      <w:r>
        <w:rPr>
          <w:rFonts w:ascii="Arial" w:cs="Arial" w:eastAsia="Arial" w:hAnsi="Arial"/>
          <w:sz w:val="14"/>
          <w:szCs w:val="14"/>
          <w:color w:val="232628"/>
        </w:rPr>
        <w:t>its parent</w:t>
      </w:r>
      <w:r>
        <w:rPr>
          <w:rFonts w:ascii="Arial" w:cs="Arial" w:eastAsia="Arial" w:hAnsi="Arial"/>
          <w:sz w:val="14"/>
          <w:szCs w:val="14"/>
          <w:color w:val="4F5052"/>
        </w:rPr>
        <w:t>,</w:t>
      </w:r>
      <w:r>
        <w:rPr>
          <w:rFonts w:ascii="Arial" w:cs="Arial" w:eastAsia="Arial" w:hAnsi="Arial"/>
          <w:sz w:val="14"/>
          <w:szCs w:val="14"/>
          <w:color w:val="36383B"/>
        </w:rPr>
        <w:t xml:space="preserve"> subsidiaries</w:t>
      </w:r>
      <w:r>
        <w:rPr>
          <w:rFonts w:ascii="Arial" w:cs="Arial" w:eastAsia="Arial" w:hAnsi="Arial"/>
          <w:sz w:val="14"/>
          <w:szCs w:val="14"/>
          <w:color w:val="4F5052"/>
        </w:rPr>
        <w:t>,</w:t>
      </w:r>
      <w:r>
        <w:rPr>
          <w:rFonts w:ascii="Arial" w:cs="Arial" w:eastAsia="Arial" w:hAnsi="Arial"/>
          <w:sz w:val="14"/>
          <w:szCs w:val="14"/>
          <w:color w:val="36383B"/>
        </w:rPr>
        <w:t xml:space="preserve"> subdivisions </w:t>
      </w:r>
      <w:r>
        <w:rPr>
          <w:rFonts w:ascii="Arial" w:cs="Arial" w:eastAsia="Arial" w:hAnsi="Arial"/>
          <w:sz w:val="14"/>
          <w:szCs w:val="14"/>
          <w:color w:val="232628"/>
        </w:rPr>
        <w:t>and affiliates</w:t>
      </w:r>
      <w:r>
        <w:rPr>
          <w:rFonts w:ascii="Arial" w:cs="Arial" w:eastAsia="Arial" w:hAnsi="Arial"/>
          <w:sz w:val="14"/>
          <w:szCs w:val="14"/>
          <w:color w:val="606467"/>
        </w:rPr>
        <w:t>,</w:t>
      </w:r>
      <w:r>
        <w:rPr>
          <w:rFonts w:ascii="Arial" w:cs="Arial" w:eastAsia="Arial" w:hAnsi="Arial"/>
          <w:sz w:val="14"/>
          <w:szCs w:val="14"/>
          <w:color w:val="232628"/>
        </w:rPr>
        <w:t xml:space="preserve"> </w:t>
      </w:r>
      <w:r>
        <w:rPr>
          <w:rFonts w:ascii="Arial" w:cs="Arial" w:eastAsia="Arial" w:hAnsi="Arial"/>
          <w:sz w:val="14"/>
          <w:szCs w:val="14"/>
          <w:color w:val="36383B"/>
        </w:rPr>
        <w:t>(collectively, "Conduent"</w:t>
      </w:r>
      <w:r>
        <w:rPr>
          <w:rFonts w:ascii="Arial" w:cs="Arial" w:eastAsia="Arial" w:hAnsi="Arial"/>
          <w:sz w:val="14"/>
          <w:szCs w:val="14"/>
          <w:color w:val="232628"/>
        </w:rPr>
        <w:t xml:space="preserve"> or </w:t>
      </w:r>
      <w:r>
        <w:rPr>
          <w:rFonts w:ascii="Arial" w:cs="Arial" w:eastAsia="Arial" w:hAnsi="Arial"/>
          <w:sz w:val="14"/>
          <w:szCs w:val="14"/>
          <w:color w:val="606467"/>
        </w:rPr>
        <w:t>"</w:t>
      </w:r>
      <w:r>
        <w:rPr>
          <w:rFonts w:ascii="Arial" w:cs="Arial" w:eastAsia="Arial" w:hAnsi="Arial"/>
          <w:sz w:val="14"/>
          <w:szCs w:val="14"/>
          <w:color w:val="36383B"/>
        </w:rPr>
        <w:t>Company</w:t>
      </w:r>
      <w:r>
        <w:rPr>
          <w:rFonts w:ascii="Arial" w:cs="Arial" w:eastAsia="Arial" w:hAnsi="Arial"/>
          <w:sz w:val="14"/>
          <w:szCs w:val="14"/>
          <w:color w:val="4F5052"/>
        </w:rPr>
        <w:t>"</w:t>
      </w:r>
      <w:r>
        <w:rPr>
          <w:rFonts w:ascii="Arial" w:cs="Arial" w:eastAsia="Arial" w:hAnsi="Arial"/>
          <w:sz w:val="14"/>
          <w:szCs w:val="14"/>
          <w:color w:val="36383B"/>
        </w:rPr>
        <w:t>)</w:t>
      </w:r>
      <w:r>
        <w:rPr>
          <w:rFonts w:ascii="Arial" w:cs="Arial" w:eastAsia="Arial" w:hAnsi="Arial"/>
          <w:sz w:val="14"/>
          <w:szCs w:val="14"/>
          <w:color w:val="4F5052"/>
        </w:rPr>
        <w:t>,</w:t>
      </w:r>
      <w:r>
        <w:rPr>
          <w:rFonts w:ascii="Arial" w:cs="Arial" w:eastAsia="Arial" w:hAnsi="Arial"/>
          <w:sz w:val="14"/>
          <w:szCs w:val="14"/>
          <w:color w:val="232628"/>
        </w:rPr>
        <w:t xml:space="preserve"> and </w:t>
      </w:r>
      <w:r>
        <w:rPr>
          <w:rFonts w:ascii="Arial" w:cs="Arial" w:eastAsia="Arial" w:hAnsi="Arial"/>
          <w:sz w:val="14"/>
          <w:szCs w:val="14"/>
          <w:color w:val="36383B"/>
        </w:rPr>
        <w:t>J.</w:t>
      </w:r>
      <w:r>
        <w:rPr>
          <w:rFonts w:ascii="Arial" w:cs="Arial" w:eastAsia="Arial" w:hAnsi="Arial"/>
          <w:sz w:val="14"/>
          <w:szCs w:val="14"/>
          <w:color w:val="232628"/>
        </w:rPr>
        <w:t xml:space="preserve"> Michael </w:t>
      </w:r>
      <w:r>
        <w:rPr>
          <w:rFonts w:ascii="Arial" w:cs="Arial" w:eastAsia="Arial" w:hAnsi="Arial"/>
          <w:sz w:val="14"/>
          <w:szCs w:val="14"/>
          <w:color w:val="36383B"/>
        </w:rPr>
        <w:t>Peffer (</w:t>
      </w:r>
      <w:r>
        <w:rPr>
          <w:rFonts w:ascii="Arial" w:cs="Arial" w:eastAsia="Arial" w:hAnsi="Arial"/>
          <w:sz w:val="14"/>
          <w:szCs w:val="14"/>
          <w:color w:val="4F5052"/>
        </w:rPr>
        <w:t>"</w:t>
      </w:r>
      <w:r>
        <w:rPr>
          <w:rFonts w:ascii="Arial" w:cs="Arial" w:eastAsia="Arial" w:hAnsi="Arial"/>
          <w:sz w:val="14"/>
          <w:szCs w:val="14"/>
          <w:color w:val="36383B"/>
        </w:rPr>
        <w:t>Employee").</w:t>
      </w:r>
    </w:p>
    <w:p>
      <w:pPr>
        <w:spacing w:after="0" w:line="155" w:lineRule="exact"/>
        <w:rPr>
          <w:sz w:val="20"/>
          <w:szCs w:val="20"/>
          <w:color w:val="auto"/>
        </w:rPr>
      </w:pPr>
    </w:p>
    <w:p>
      <w:pPr>
        <w:ind w:right="80" w:firstLine="662"/>
        <w:spacing w:after="0" w:line="233" w:lineRule="auto"/>
        <w:rPr>
          <w:sz w:val="20"/>
          <w:szCs w:val="20"/>
          <w:color w:val="auto"/>
        </w:rPr>
      </w:pPr>
      <w:r>
        <w:rPr>
          <w:rFonts w:ascii="Arial" w:cs="Arial" w:eastAsia="Arial" w:hAnsi="Arial"/>
          <w:sz w:val="14"/>
          <w:szCs w:val="14"/>
          <w:b w:val="1"/>
          <w:bCs w:val="1"/>
          <w:color w:val="232628"/>
        </w:rPr>
        <w:t xml:space="preserve">Introduction. </w:t>
      </w:r>
      <w:r>
        <w:rPr>
          <w:rFonts w:ascii="Arial" w:cs="Arial" w:eastAsia="Arial" w:hAnsi="Arial"/>
          <w:sz w:val="14"/>
          <w:szCs w:val="14"/>
          <w:color w:val="36383B"/>
        </w:rPr>
        <w:t>The Company</w:t>
      </w:r>
      <w:r>
        <w:rPr>
          <w:rFonts w:ascii="Arial" w:cs="Arial" w:eastAsia="Arial" w:hAnsi="Arial"/>
          <w:sz w:val="14"/>
          <w:szCs w:val="14"/>
          <w:b w:val="1"/>
          <w:bCs w:val="1"/>
          <w:color w:val="232628"/>
        </w:rPr>
        <w:t xml:space="preserve"> </w:t>
      </w:r>
      <w:r>
        <w:rPr>
          <w:rFonts w:ascii="Arial" w:cs="Arial" w:eastAsia="Arial" w:hAnsi="Arial"/>
          <w:sz w:val="14"/>
          <w:szCs w:val="14"/>
          <w:color w:val="232628"/>
        </w:rPr>
        <w:t>and</w:t>
      </w:r>
      <w:r>
        <w:rPr>
          <w:rFonts w:ascii="Arial" w:cs="Arial" w:eastAsia="Arial" w:hAnsi="Arial"/>
          <w:sz w:val="14"/>
          <w:szCs w:val="14"/>
          <w:b w:val="1"/>
          <w:bCs w:val="1"/>
          <w:color w:val="232628"/>
        </w:rPr>
        <w:t xml:space="preserve"> </w:t>
      </w:r>
      <w:r>
        <w:rPr>
          <w:rFonts w:ascii="Arial" w:cs="Arial" w:eastAsia="Arial" w:hAnsi="Arial"/>
          <w:sz w:val="14"/>
          <w:szCs w:val="14"/>
          <w:color w:val="36383B"/>
        </w:rPr>
        <w:t>Employee</w:t>
      </w:r>
      <w:r>
        <w:rPr>
          <w:rFonts w:ascii="Arial" w:cs="Arial" w:eastAsia="Arial" w:hAnsi="Arial"/>
          <w:sz w:val="14"/>
          <w:szCs w:val="14"/>
          <w:b w:val="1"/>
          <w:bCs w:val="1"/>
          <w:color w:val="232628"/>
        </w:rPr>
        <w:t xml:space="preserve"> </w:t>
      </w:r>
      <w:r>
        <w:rPr>
          <w:rFonts w:ascii="Arial" w:cs="Arial" w:eastAsia="Arial" w:hAnsi="Arial"/>
          <w:sz w:val="14"/>
          <w:szCs w:val="14"/>
          <w:color w:val="232628"/>
        </w:rPr>
        <w:t>have</w:t>
      </w:r>
      <w:r>
        <w:rPr>
          <w:rFonts w:ascii="Arial" w:cs="Arial" w:eastAsia="Arial" w:hAnsi="Arial"/>
          <w:sz w:val="14"/>
          <w:szCs w:val="14"/>
          <w:b w:val="1"/>
          <w:bCs w:val="1"/>
          <w:color w:val="232628"/>
        </w:rPr>
        <w:t xml:space="preserve"> </w:t>
      </w:r>
      <w:r>
        <w:rPr>
          <w:rFonts w:ascii="Arial" w:cs="Arial" w:eastAsia="Arial" w:hAnsi="Arial"/>
          <w:sz w:val="14"/>
          <w:szCs w:val="14"/>
          <w:color w:val="36383B"/>
        </w:rPr>
        <w:t>agreed on</w:t>
      </w:r>
      <w:r>
        <w:rPr>
          <w:rFonts w:ascii="Arial" w:cs="Arial" w:eastAsia="Arial" w:hAnsi="Arial"/>
          <w:sz w:val="14"/>
          <w:szCs w:val="14"/>
          <w:b w:val="1"/>
          <w:bCs w:val="1"/>
          <w:color w:val="232628"/>
        </w:rPr>
        <w:t xml:space="preserve"> </w:t>
      </w:r>
      <w:r>
        <w:rPr>
          <w:rFonts w:ascii="Arial" w:cs="Arial" w:eastAsia="Arial" w:hAnsi="Arial"/>
          <w:sz w:val="14"/>
          <w:szCs w:val="14"/>
          <w:color w:val="232628"/>
        </w:rPr>
        <w:t>the</w:t>
      </w:r>
      <w:r>
        <w:rPr>
          <w:rFonts w:ascii="Arial" w:cs="Arial" w:eastAsia="Arial" w:hAnsi="Arial"/>
          <w:sz w:val="14"/>
          <w:szCs w:val="14"/>
          <w:b w:val="1"/>
          <w:bCs w:val="1"/>
          <w:color w:val="232628"/>
        </w:rPr>
        <w:t xml:space="preserve"> </w:t>
      </w:r>
      <w:r>
        <w:rPr>
          <w:rFonts w:ascii="Arial" w:cs="Arial" w:eastAsia="Arial" w:hAnsi="Arial"/>
          <w:sz w:val="14"/>
          <w:szCs w:val="14"/>
          <w:color w:val="36383B"/>
        </w:rPr>
        <w:t>terms</w:t>
      </w:r>
      <w:r>
        <w:rPr>
          <w:rFonts w:ascii="Arial" w:cs="Arial" w:eastAsia="Arial" w:hAnsi="Arial"/>
          <w:sz w:val="14"/>
          <w:szCs w:val="14"/>
          <w:b w:val="1"/>
          <w:bCs w:val="1"/>
          <w:color w:val="232628"/>
        </w:rPr>
        <w:t xml:space="preserve"> </w:t>
      </w:r>
      <w:r>
        <w:rPr>
          <w:rFonts w:ascii="Arial" w:cs="Arial" w:eastAsia="Arial" w:hAnsi="Arial"/>
          <w:sz w:val="14"/>
          <w:szCs w:val="14"/>
          <w:color w:val="232628"/>
        </w:rPr>
        <w:t>of</w:t>
      </w:r>
      <w:r>
        <w:rPr>
          <w:rFonts w:ascii="Arial" w:cs="Arial" w:eastAsia="Arial" w:hAnsi="Arial"/>
          <w:sz w:val="14"/>
          <w:szCs w:val="14"/>
          <w:b w:val="1"/>
          <w:bCs w:val="1"/>
          <w:color w:val="232628"/>
        </w:rPr>
        <w:t xml:space="preserve"> </w:t>
      </w:r>
      <w:r>
        <w:rPr>
          <w:rFonts w:ascii="Arial" w:cs="Arial" w:eastAsia="Arial" w:hAnsi="Arial"/>
          <w:sz w:val="14"/>
          <w:szCs w:val="14"/>
          <w:color w:val="36383B"/>
        </w:rPr>
        <w:t>the separation</w:t>
      </w:r>
      <w:r>
        <w:rPr>
          <w:rFonts w:ascii="Arial" w:cs="Arial" w:eastAsia="Arial" w:hAnsi="Arial"/>
          <w:sz w:val="14"/>
          <w:szCs w:val="14"/>
          <w:b w:val="1"/>
          <w:bCs w:val="1"/>
          <w:color w:val="232628"/>
        </w:rPr>
        <w:t xml:space="preserve"> </w:t>
      </w:r>
      <w:r>
        <w:rPr>
          <w:rFonts w:ascii="Arial" w:cs="Arial" w:eastAsia="Arial" w:hAnsi="Arial"/>
          <w:sz w:val="14"/>
          <w:szCs w:val="14"/>
          <w:color w:val="232628"/>
        </w:rPr>
        <w:t>of</w:t>
      </w:r>
      <w:r>
        <w:rPr>
          <w:rFonts w:ascii="Arial" w:cs="Arial" w:eastAsia="Arial" w:hAnsi="Arial"/>
          <w:sz w:val="14"/>
          <w:szCs w:val="14"/>
          <w:b w:val="1"/>
          <w:bCs w:val="1"/>
          <w:color w:val="232628"/>
        </w:rPr>
        <w:t xml:space="preserve"> </w:t>
      </w:r>
      <w:r>
        <w:rPr>
          <w:rFonts w:ascii="Arial" w:cs="Arial" w:eastAsia="Arial" w:hAnsi="Arial"/>
          <w:sz w:val="14"/>
          <w:szCs w:val="14"/>
          <w:color w:val="36383B"/>
        </w:rPr>
        <w:t>Employee's employment with</w:t>
      </w:r>
      <w:r>
        <w:rPr>
          <w:rFonts w:ascii="Arial" w:cs="Arial" w:eastAsia="Arial" w:hAnsi="Arial"/>
          <w:sz w:val="14"/>
          <w:szCs w:val="14"/>
          <w:b w:val="1"/>
          <w:bCs w:val="1"/>
          <w:color w:val="232628"/>
        </w:rPr>
        <w:t xml:space="preserve"> </w:t>
      </w:r>
      <w:r>
        <w:rPr>
          <w:rFonts w:ascii="Arial" w:cs="Arial" w:eastAsia="Arial" w:hAnsi="Arial"/>
          <w:sz w:val="14"/>
          <w:szCs w:val="14"/>
          <w:color w:val="232628"/>
        </w:rPr>
        <w:t>the</w:t>
      </w:r>
      <w:r>
        <w:rPr>
          <w:rFonts w:ascii="Arial" w:cs="Arial" w:eastAsia="Arial" w:hAnsi="Arial"/>
          <w:sz w:val="14"/>
          <w:szCs w:val="14"/>
          <w:b w:val="1"/>
          <w:bCs w:val="1"/>
          <w:color w:val="232628"/>
        </w:rPr>
        <w:t xml:space="preserve"> </w:t>
      </w:r>
      <w:r>
        <w:rPr>
          <w:rFonts w:ascii="Arial" w:cs="Arial" w:eastAsia="Arial" w:hAnsi="Arial"/>
          <w:sz w:val="14"/>
          <w:szCs w:val="14"/>
          <w:color w:val="36383B"/>
        </w:rPr>
        <w:t>Company</w:t>
      </w:r>
      <w:r>
        <w:rPr>
          <w:rFonts w:ascii="Arial" w:cs="Arial" w:eastAsia="Arial" w:hAnsi="Arial"/>
          <w:sz w:val="14"/>
          <w:szCs w:val="14"/>
          <w:b w:val="1"/>
          <w:bCs w:val="1"/>
          <w:color w:val="232628"/>
        </w:rPr>
        <w:t xml:space="preserve"> </w:t>
      </w:r>
      <w:r>
        <w:rPr>
          <w:rFonts w:ascii="Arial" w:cs="Arial" w:eastAsia="Arial" w:hAnsi="Arial"/>
          <w:sz w:val="14"/>
          <w:szCs w:val="14"/>
          <w:color w:val="232628"/>
        </w:rPr>
        <w:t>including payment</w:t>
      </w:r>
      <w:r>
        <w:rPr>
          <w:rFonts w:ascii="Arial" w:cs="Arial" w:eastAsia="Arial" w:hAnsi="Arial"/>
          <w:sz w:val="14"/>
          <w:szCs w:val="14"/>
          <w:b w:val="1"/>
          <w:bCs w:val="1"/>
          <w:color w:val="232628"/>
        </w:rPr>
        <w:t xml:space="preserve"> </w:t>
      </w:r>
      <w:r>
        <w:rPr>
          <w:rFonts w:ascii="Arial" w:cs="Arial" w:eastAsia="Arial" w:hAnsi="Arial"/>
          <w:sz w:val="14"/>
          <w:szCs w:val="14"/>
          <w:color w:val="36383B"/>
        </w:rPr>
        <w:t>of salary</w:t>
      </w:r>
      <w:r>
        <w:rPr>
          <w:rFonts w:ascii="Arial" w:cs="Arial" w:eastAsia="Arial" w:hAnsi="Arial"/>
          <w:sz w:val="14"/>
          <w:szCs w:val="14"/>
          <w:b w:val="1"/>
          <w:bCs w:val="1"/>
          <w:color w:val="232628"/>
        </w:rPr>
        <w:t xml:space="preserve"> </w:t>
      </w:r>
      <w:r>
        <w:rPr>
          <w:rFonts w:ascii="Arial" w:cs="Arial" w:eastAsia="Arial" w:hAnsi="Arial"/>
          <w:sz w:val="14"/>
          <w:szCs w:val="14"/>
          <w:color w:val="232628"/>
        </w:rPr>
        <w:t>and</w:t>
      </w:r>
      <w:r>
        <w:rPr>
          <w:rFonts w:ascii="Arial" w:cs="Arial" w:eastAsia="Arial" w:hAnsi="Arial"/>
          <w:sz w:val="14"/>
          <w:szCs w:val="14"/>
          <w:b w:val="1"/>
          <w:bCs w:val="1"/>
          <w:color w:val="232628"/>
        </w:rPr>
        <w:t xml:space="preserve"> </w:t>
      </w:r>
      <w:r>
        <w:rPr>
          <w:rFonts w:ascii="Arial" w:cs="Arial" w:eastAsia="Arial" w:hAnsi="Arial"/>
          <w:sz w:val="14"/>
          <w:szCs w:val="14"/>
          <w:color w:val="232628"/>
        </w:rPr>
        <w:t xml:space="preserve">benefits </w:t>
      </w:r>
      <w:r>
        <w:rPr>
          <w:rFonts w:ascii="Arial" w:cs="Arial" w:eastAsia="Arial" w:hAnsi="Arial"/>
          <w:sz w:val="14"/>
          <w:szCs w:val="14"/>
          <w:color w:val="36383B"/>
        </w:rPr>
        <w:t>as</w:t>
      </w:r>
      <w:r>
        <w:rPr>
          <w:rFonts w:ascii="Arial" w:cs="Arial" w:eastAsia="Arial" w:hAnsi="Arial"/>
          <w:sz w:val="14"/>
          <w:szCs w:val="14"/>
          <w:color w:val="232628"/>
        </w:rPr>
        <w:t xml:space="preserve"> described below through June 30, </w:t>
      </w:r>
      <w:r>
        <w:rPr>
          <w:rFonts w:ascii="Arial" w:cs="Arial" w:eastAsia="Arial" w:hAnsi="Arial"/>
          <w:sz w:val="14"/>
          <w:szCs w:val="14"/>
          <w:color w:val="36383B"/>
        </w:rPr>
        <w:t>2020 (</w:t>
      </w:r>
      <w:r>
        <w:rPr>
          <w:rFonts w:ascii="Arial" w:cs="Arial" w:eastAsia="Arial" w:hAnsi="Arial"/>
          <w:sz w:val="14"/>
          <w:szCs w:val="14"/>
          <w:color w:val="4F5052"/>
        </w:rPr>
        <w:t>"</w:t>
      </w:r>
      <w:r>
        <w:rPr>
          <w:rFonts w:ascii="Arial" w:cs="Arial" w:eastAsia="Arial" w:hAnsi="Arial"/>
          <w:sz w:val="14"/>
          <w:szCs w:val="14"/>
          <w:color w:val="232628"/>
        </w:rPr>
        <w:t xml:space="preserve">Salary and Benefits </w:t>
      </w:r>
      <w:r>
        <w:rPr>
          <w:rFonts w:ascii="Arial" w:cs="Arial" w:eastAsia="Arial" w:hAnsi="Arial"/>
          <w:sz w:val="14"/>
          <w:szCs w:val="14"/>
          <w:color w:val="36383B"/>
        </w:rPr>
        <w:t>Continuation End</w:t>
      </w:r>
      <w:r>
        <w:rPr>
          <w:rFonts w:ascii="Arial" w:cs="Arial" w:eastAsia="Arial" w:hAnsi="Arial"/>
          <w:sz w:val="14"/>
          <w:szCs w:val="14"/>
          <w:color w:val="232628"/>
        </w:rPr>
        <w:t xml:space="preserve"> Date"). </w:t>
      </w:r>
      <w:r>
        <w:rPr>
          <w:rFonts w:ascii="Arial" w:cs="Arial" w:eastAsia="Arial" w:hAnsi="Arial"/>
          <w:sz w:val="14"/>
          <w:szCs w:val="14"/>
          <w:color w:val="36383B"/>
        </w:rPr>
        <w:t>Employee's</w:t>
      </w:r>
      <w:r>
        <w:rPr>
          <w:rFonts w:ascii="Arial" w:cs="Arial" w:eastAsia="Arial" w:hAnsi="Arial"/>
          <w:sz w:val="14"/>
          <w:szCs w:val="14"/>
          <w:color w:val="232628"/>
        </w:rPr>
        <w:t xml:space="preserve"> last day </w:t>
      </w:r>
      <w:r>
        <w:rPr>
          <w:rFonts w:ascii="Arial" w:cs="Arial" w:eastAsia="Arial" w:hAnsi="Arial"/>
          <w:sz w:val="14"/>
          <w:szCs w:val="14"/>
          <w:color w:val="36383B"/>
        </w:rPr>
        <w:t>of active employment</w:t>
      </w:r>
      <w:r>
        <w:rPr>
          <w:rFonts w:ascii="Arial" w:cs="Arial" w:eastAsia="Arial" w:hAnsi="Arial"/>
          <w:sz w:val="14"/>
          <w:szCs w:val="14"/>
          <w:color w:val="232628"/>
        </w:rPr>
        <w:t xml:space="preserve"> (</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Last</w:t>
      </w:r>
      <w:r>
        <w:rPr>
          <w:rFonts w:ascii="Arial" w:cs="Arial" w:eastAsia="Arial" w:hAnsi="Arial"/>
          <w:sz w:val="14"/>
          <w:szCs w:val="14"/>
          <w:color w:val="232628"/>
        </w:rPr>
        <w:t xml:space="preserve"> Day </w:t>
      </w:r>
      <w:r>
        <w:rPr>
          <w:rFonts w:ascii="Arial" w:cs="Arial" w:eastAsia="Arial" w:hAnsi="Arial"/>
          <w:sz w:val="14"/>
          <w:szCs w:val="14"/>
          <w:color w:val="36383B"/>
        </w:rPr>
        <w:t>of Active Employment</w:t>
      </w:r>
      <w:r>
        <w:rPr>
          <w:rFonts w:ascii="Arial" w:cs="Arial" w:eastAsia="Arial" w:hAnsi="Arial"/>
          <w:sz w:val="14"/>
          <w:szCs w:val="14"/>
          <w:color w:val="606467"/>
        </w:rPr>
        <w:t>"</w:t>
      </w:r>
      <w:r>
        <w:rPr>
          <w:rFonts w:ascii="Arial" w:cs="Arial" w:eastAsia="Arial" w:hAnsi="Arial"/>
          <w:sz w:val="14"/>
          <w:szCs w:val="14"/>
          <w:color w:val="36383B"/>
        </w:rPr>
        <w:t>) is</w:t>
      </w:r>
      <w:r>
        <w:rPr>
          <w:rFonts w:ascii="Arial" w:cs="Arial" w:eastAsia="Arial" w:hAnsi="Arial"/>
          <w:sz w:val="14"/>
          <w:szCs w:val="14"/>
          <w:color w:val="232628"/>
        </w:rPr>
        <w:t xml:space="preserve"> December 31</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2019</w:t>
      </w:r>
      <w:r>
        <w:rPr>
          <w:rFonts w:ascii="Arial" w:cs="Arial" w:eastAsia="Arial" w:hAnsi="Arial"/>
          <w:sz w:val="14"/>
          <w:szCs w:val="14"/>
          <w:color w:val="232628"/>
        </w:rPr>
        <w:t xml:space="preserve"> and on </w:t>
      </w:r>
      <w:r>
        <w:rPr>
          <w:rFonts w:ascii="Arial" w:cs="Arial" w:eastAsia="Arial" w:hAnsi="Arial"/>
          <w:sz w:val="14"/>
          <w:szCs w:val="14"/>
          <w:color w:val="36383B"/>
        </w:rPr>
        <w:t>such</w:t>
      </w:r>
      <w:r>
        <w:rPr>
          <w:rFonts w:ascii="Arial" w:cs="Arial" w:eastAsia="Arial" w:hAnsi="Arial"/>
          <w:sz w:val="14"/>
          <w:szCs w:val="14"/>
          <w:color w:val="232628"/>
        </w:rPr>
        <w:t xml:space="preserve"> date he </w:t>
      </w:r>
      <w:r>
        <w:rPr>
          <w:rFonts w:ascii="Arial" w:cs="Arial" w:eastAsia="Arial" w:hAnsi="Arial"/>
          <w:sz w:val="14"/>
          <w:szCs w:val="14"/>
          <w:color w:val="36383B"/>
        </w:rPr>
        <w:t>shall</w:t>
      </w:r>
      <w:r>
        <w:rPr>
          <w:rFonts w:ascii="Arial" w:cs="Arial" w:eastAsia="Arial" w:hAnsi="Arial"/>
          <w:sz w:val="14"/>
          <w:szCs w:val="14"/>
          <w:color w:val="232628"/>
        </w:rPr>
        <w:t xml:space="preserve"> be deemed </w:t>
      </w:r>
      <w:r>
        <w:rPr>
          <w:rFonts w:ascii="Arial" w:cs="Arial" w:eastAsia="Arial" w:hAnsi="Arial"/>
          <w:sz w:val="14"/>
          <w:szCs w:val="14"/>
          <w:color w:val="36383B"/>
        </w:rPr>
        <w:t>(with</w:t>
      </w:r>
      <w:r>
        <w:rPr>
          <w:rFonts w:ascii="Arial" w:cs="Arial" w:eastAsia="Arial" w:hAnsi="Arial"/>
          <w:sz w:val="14"/>
          <w:szCs w:val="14"/>
          <w:color w:val="232628"/>
        </w:rPr>
        <w:t xml:space="preserve"> further </w:t>
      </w:r>
      <w:r>
        <w:rPr>
          <w:rFonts w:ascii="Arial" w:cs="Arial" w:eastAsia="Arial" w:hAnsi="Arial"/>
          <w:sz w:val="14"/>
          <w:szCs w:val="14"/>
          <w:color w:val="36383B"/>
        </w:rPr>
        <w:t>action</w:t>
      </w:r>
      <w:r>
        <w:rPr>
          <w:rFonts w:ascii="Arial" w:cs="Arial" w:eastAsia="Arial" w:hAnsi="Arial"/>
          <w:sz w:val="14"/>
          <w:szCs w:val="14"/>
          <w:color w:val="232628"/>
        </w:rPr>
        <w:t xml:space="preserve"> by </w:t>
      </w:r>
      <w:r>
        <w:rPr>
          <w:rFonts w:ascii="Arial" w:cs="Arial" w:eastAsia="Arial" w:hAnsi="Arial"/>
          <w:sz w:val="14"/>
          <w:szCs w:val="14"/>
          <w:color w:val="36383B"/>
        </w:rPr>
        <w:t>the</w:t>
      </w:r>
      <w:r>
        <w:rPr>
          <w:rFonts w:ascii="Arial" w:cs="Arial" w:eastAsia="Arial" w:hAnsi="Arial"/>
          <w:sz w:val="14"/>
          <w:szCs w:val="14"/>
          <w:color w:val="232628"/>
        </w:rPr>
        <w:t xml:space="preserve"> parties) to have resigned from </w:t>
      </w:r>
      <w:r>
        <w:rPr>
          <w:rFonts w:ascii="Arial" w:cs="Arial" w:eastAsia="Arial" w:hAnsi="Arial"/>
          <w:sz w:val="14"/>
          <w:szCs w:val="14"/>
          <w:color w:val="36383B"/>
        </w:rPr>
        <w:t>all offices</w:t>
      </w:r>
      <w:r>
        <w:rPr>
          <w:rFonts w:ascii="Arial" w:cs="Arial" w:eastAsia="Arial" w:hAnsi="Arial"/>
          <w:sz w:val="14"/>
          <w:szCs w:val="14"/>
          <w:color w:val="4F5052"/>
        </w:rPr>
        <w:t>,</w:t>
      </w:r>
      <w:r>
        <w:rPr>
          <w:rFonts w:ascii="Arial" w:cs="Arial" w:eastAsia="Arial" w:hAnsi="Arial"/>
          <w:sz w:val="14"/>
          <w:szCs w:val="14"/>
          <w:color w:val="232628"/>
        </w:rPr>
        <w:t xml:space="preserve"> titles, positions and </w:t>
      </w:r>
      <w:r>
        <w:rPr>
          <w:rFonts w:ascii="Arial" w:cs="Arial" w:eastAsia="Arial" w:hAnsi="Arial"/>
          <w:sz w:val="14"/>
          <w:szCs w:val="14"/>
          <w:color w:val="36383B"/>
        </w:rPr>
        <w:t>appointments</w:t>
      </w:r>
      <w:r>
        <w:rPr>
          <w:rFonts w:ascii="Arial" w:cs="Arial" w:eastAsia="Arial" w:hAnsi="Arial"/>
          <w:sz w:val="14"/>
          <w:szCs w:val="14"/>
          <w:color w:val="232628"/>
        </w:rPr>
        <w:t xml:space="preserve"> of the </w:t>
      </w:r>
      <w:r>
        <w:rPr>
          <w:rFonts w:ascii="Arial" w:cs="Arial" w:eastAsia="Arial" w:hAnsi="Arial"/>
          <w:sz w:val="14"/>
          <w:szCs w:val="14"/>
          <w:color w:val="36383B"/>
        </w:rPr>
        <w:t>Company.</w:t>
      </w:r>
      <w:r>
        <w:rPr>
          <w:rFonts w:ascii="Arial" w:cs="Arial" w:eastAsia="Arial" w:hAnsi="Arial"/>
          <w:sz w:val="14"/>
          <w:szCs w:val="14"/>
          <w:color w:val="232628"/>
        </w:rPr>
        <w:t xml:space="preserve"> It is agreed </w:t>
      </w:r>
      <w:r>
        <w:rPr>
          <w:rFonts w:ascii="Arial" w:cs="Arial" w:eastAsia="Arial" w:hAnsi="Arial"/>
          <w:sz w:val="14"/>
          <w:szCs w:val="14"/>
          <w:color w:val="36383B"/>
        </w:rPr>
        <w:t>and</w:t>
      </w:r>
      <w:r>
        <w:rPr>
          <w:rFonts w:ascii="Arial" w:cs="Arial" w:eastAsia="Arial" w:hAnsi="Arial"/>
          <w:sz w:val="14"/>
          <w:szCs w:val="14"/>
          <w:color w:val="232628"/>
        </w:rPr>
        <w:t xml:space="preserve"> understood between the parties </w:t>
      </w:r>
      <w:r>
        <w:rPr>
          <w:rFonts w:ascii="Arial" w:cs="Arial" w:eastAsia="Arial" w:hAnsi="Arial"/>
          <w:sz w:val="14"/>
          <w:szCs w:val="14"/>
          <w:color w:val="36383B"/>
        </w:rPr>
        <w:t>that Employee will</w:t>
      </w:r>
      <w:r>
        <w:rPr>
          <w:rFonts w:ascii="Arial" w:cs="Arial" w:eastAsia="Arial" w:hAnsi="Arial"/>
          <w:sz w:val="14"/>
          <w:szCs w:val="14"/>
          <w:color w:val="232628"/>
        </w:rPr>
        <w:t xml:space="preserve"> no longer report to </w:t>
      </w:r>
      <w:r>
        <w:rPr>
          <w:rFonts w:ascii="Arial" w:cs="Arial" w:eastAsia="Arial" w:hAnsi="Arial"/>
          <w:sz w:val="14"/>
          <w:szCs w:val="14"/>
          <w:color w:val="36383B"/>
        </w:rPr>
        <w:t>work or</w:t>
      </w:r>
      <w:r>
        <w:rPr>
          <w:rFonts w:ascii="Arial" w:cs="Arial" w:eastAsia="Arial" w:hAnsi="Arial"/>
          <w:sz w:val="14"/>
          <w:szCs w:val="14"/>
          <w:color w:val="232628"/>
        </w:rPr>
        <w:t xml:space="preserve"> be required to perform any </w:t>
      </w:r>
      <w:r>
        <w:rPr>
          <w:rFonts w:ascii="Arial" w:cs="Arial" w:eastAsia="Arial" w:hAnsi="Arial"/>
          <w:sz w:val="14"/>
          <w:szCs w:val="14"/>
          <w:color w:val="36383B"/>
        </w:rPr>
        <w:t>of</w:t>
      </w:r>
      <w:r>
        <w:rPr>
          <w:rFonts w:ascii="Arial" w:cs="Arial" w:eastAsia="Arial" w:hAnsi="Arial"/>
          <w:sz w:val="14"/>
          <w:szCs w:val="14"/>
          <w:color w:val="232628"/>
        </w:rPr>
        <w:t xml:space="preserve"> his </w:t>
      </w:r>
      <w:r>
        <w:rPr>
          <w:rFonts w:ascii="Arial" w:cs="Arial" w:eastAsia="Arial" w:hAnsi="Arial"/>
          <w:sz w:val="14"/>
          <w:szCs w:val="14"/>
          <w:color w:val="36383B"/>
        </w:rPr>
        <w:t>regular</w:t>
      </w:r>
      <w:r>
        <w:rPr>
          <w:rFonts w:ascii="Arial" w:cs="Arial" w:eastAsia="Arial" w:hAnsi="Arial"/>
          <w:sz w:val="14"/>
          <w:szCs w:val="14"/>
          <w:color w:val="232628"/>
        </w:rPr>
        <w:t xml:space="preserve"> job </w:t>
      </w:r>
      <w:r>
        <w:rPr>
          <w:rFonts w:ascii="Arial" w:cs="Arial" w:eastAsia="Arial" w:hAnsi="Arial"/>
          <w:sz w:val="14"/>
          <w:szCs w:val="14"/>
          <w:color w:val="36383B"/>
        </w:rPr>
        <w:t>duties and</w:t>
      </w:r>
      <w:r>
        <w:rPr>
          <w:rFonts w:ascii="Arial" w:cs="Arial" w:eastAsia="Arial" w:hAnsi="Arial"/>
          <w:sz w:val="14"/>
          <w:szCs w:val="14"/>
          <w:color w:val="232628"/>
        </w:rPr>
        <w:t xml:space="preserve"> responsibilities after November 18</w:t>
      </w:r>
      <w:r>
        <w:rPr>
          <w:rFonts w:ascii="Arial" w:cs="Arial" w:eastAsia="Arial" w:hAnsi="Arial"/>
          <w:sz w:val="14"/>
          <w:szCs w:val="14"/>
          <w:color w:val="4F5052"/>
        </w:rPr>
        <w:t>,</w:t>
      </w:r>
      <w:r>
        <w:rPr>
          <w:rFonts w:ascii="Arial" w:cs="Arial" w:eastAsia="Arial" w:hAnsi="Arial"/>
          <w:sz w:val="14"/>
          <w:szCs w:val="14"/>
          <w:color w:val="232628"/>
        </w:rPr>
        <w:t xml:space="preserve"> 2019 (</w:t>
      </w:r>
      <w:r>
        <w:rPr>
          <w:rFonts w:ascii="Arial" w:cs="Arial" w:eastAsia="Arial" w:hAnsi="Arial"/>
          <w:sz w:val="14"/>
          <w:szCs w:val="14"/>
          <w:color w:val="4F5052"/>
        </w:rPr>
        <w:t>"</w:t>
      </w:r>
      <w:r>
        <w:rPr>
          <w:rFonts w:ascii="Arial" w:cs="Arial" w:eastAsia="Arial" w:hAnsi="Arial"/>
          <w:sz w:val="14"/>
          <w:szCs w:val="14"/>
          <w:color w:val="36383B"/>
        </w:rPr>
        <w:t>Notice</w:t>
      </w:r>
      <w:r>
        <w:rPr>
          <w:rFonts w:ascii="Arial" w:cs="Arial" w:eastAsia="Arial" w:hAnsi="Arial"/>
          <w:sz w:val="14"/>
          <w:szCs w:val="14"/>
          <w:color w:val="232628"/>
        </w:rPr>
        <w:t xml:space="preserve"> Date")</w:t>
      </w:r>
      <w:r>
        <w:rPr>
          <w:rFonts w:ascii="Arial" w:cs="Arial" w:eastAsia="Arial" w:hAnsi="Arial"/>
          <w:sz w:val="14"/>
          <w:szCs w:val="14"/>
          <w:color w:val="606467"/>
        </w:rPr>
        <w:t>,</w:t>
      </w:r>
      <w:r>
        <w:rPr>
          <w:rFonts w:ascii="Arial" w:cs="Arial" w:eastAsia="Arial" w:hAnsi="Arial"/>
          <w:sz w:val="14"/>
          <w:szCs w:val="14"/>
          <w:color w:val="232628"/>
        </w:rPr>
        <w:t xml:space="preserve"> provided however, </w:t>
      </w:r>
      <w:r>
        <w:rPr>
          <w:rFonts w:ascii="Arial" w:cs="Arial" w:eastAsia="Arial" w:hAnsi="Arial"/>
          <w:sz w:val="14"/>
          <w:szCs w:val="14"/>
          <w:color w:val="36383B"/>
        </w:rPr>
        <w:t>Employee</w:t>
      </w:r>
      <w:r>
        <w:rPr>
          <w:rFonts w:ascii="Arial" w:cs="Arial" w:eastAsia="Arial" w:hAnsi="Arial"/>
          <w:sz w:val="14"/>
          <w:szCs w:val="14"/>
          <w:color w:val="232628"/>
        </w:rPr>
        <w:t xml:space="preserve"> will make himself </w:t>
      </w:r>
      <w:r>
        <w:rPr>
          <w:rFonts w:ascii="Arial" w:cs="Arial" w:eastAsia="Arial" w:hAnsi="Arial"/>
          <w:sz w:val="14"/>
          <w:szCs w:val="14"/>
          <w:color w:val="36383B"/>
        </w:rPr>
        <w:t>available</w:t>
      </w:r>
      <w:r>
        <w:rPr>
          <w:rFonts w:ascii="Arial" w:cs="Arial" w:eastAsia="Arial" w:hAnsi="Arial"/>
          <w:sz w:val="14"/>
          <w:szCs w:val="14"/>
          <w:color w:val="232628"/>
        </w:rPr>
        <w:t xml:space="preserve"> during normal business hours through December </w:t>
      </w:r>
      <w:r>
        <w:rPr>
          <w:rFonts w:ascii="Arial" w:cs="Arial" w:eastAsia="Arial" w:hAnsi="Arial"/>
          <w:sz w:val="14"/>
          <w:szCs w:val="14"/>
          <w:color w:val="36383B"/>
        </w:rPr>
        <w:t>31</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2019</w:t>
      </w:r>
      <w:r>
        <w:rPr>
          <w:rFonts w:ascii="Arial" w:cs="Arial" w:eastAsia="Arial" w:hAnsi="Arial"/>
          <w:sz w:val="14"/>
          <w:szCs w:val="14"/>
          <w:color w:val="232628"/>
        </w:rPr>
        <w:t xml:space="preserve"> to </w:t>
      </w:r>
      <w:r>
        <w:rPr>
          <w:rFonts w:ascii="Arial" w:cs="Arial" w:eastAsia="Arial" w:hAnsi="Arial"/>
          <w:sz w:val="14"/>
          <w:szCs w:val="14"/>
          <w:color w:val="36383B"/>
        </w:rPr>
        <w:t>address</w:t>
      </w:r>
      <w:r>
        <w:rPr>
          <w:rFonts w:ascii="Arial" w:cs="Arial" w:eastAsia="Arial" w:hAnsi="Arial"/>
          <w:sz w:val="14"/>
          <w:szCs w:val="14"/>
          <w:color w:val="232628"/>
        </w:rPr>
        <w:t xml:space="preserve"> questions, provide guidance </w:t>
      </w:r>
      <w:r>
        <w:rPr>
          <w:rFonts w:ascii="Arial" w:cs="Arial" w:eastAsia="Arial" w:hAnsi="Arial"/>
          <w:sz w:val="14"/>
          <w:szCs w:val="14"/>
          <w:color w:val="36383B"/>
        </w:rPr>
        <w:t>on</w:t>
      </w:r>
      <w:r>
        <w:rPr>
          <w:rFonts w:ascii="Arial" w:cs="Arial" w:eastAsia="Arial" w:hAnsi="Arial"/>
          <w:sz w:val="14"/>
          <w:szCs w:val="14"/>
          <w:color w:val="232628"/>
        </w:rPr>
        <w:t xml:space="preserve"> pending matters and take </w:t>
      </w:r>
      <w:r>
        <w:rPr>
          <w:rFonts w:ascii="Arial" w:cs="Arial" w:eastAsia="Arial" w:hAnsi="Arial"/>
          <w:sz w:val="14"/>
          <w:szCs w:val="14"/>
          <w:color w:val="36383B"/>
        </w:rPr>
        <w:t>such other</w:t>
      </w:r>
      <w:r>
        <w:rPr>
          <w:rFonts w:ascii="Arial" w:cs="Arial" w:eastAsia="Arial" w:hAnsi="Arial"/>
          <w:sz w:val="14"/>
          <w:szCs w:val="14"/>
          <w:color w:val="232628"/>
        </w:rPr>
        <w:t xml:space="preserve"> actions as may be </w:t>
      </w:r>
      <w:r>
        <w:rPr>
          <w:rFonts w:ascii="Arial" w:cs="Arial" w:eastAsia="Arial" w:hAnsi="Arial"/>
          <w:sz w:val="14"/>
          <w:szCs w:val="14"/>
          <w:color w:val="36383B"/>
        </w:rPr>
        <w:t>reasonably</w:t>
      </w:r>
      <w:r>
        <w:rPr>
          <w:rFonts w:ascii="Arial" w:cs="Arial" w:eastAsia="Arial" w:hAnsi="Arial"/>
          <w:sz w:val="14"/>
          <w:szCs w:val="14"/>
          <w:color w:val="232628"/>
        </w:rPr>
        <w:t xml:space="preserve"> necessary to help </w:t>
      </w:r>
      <w:r>
        <w:rPr>
          <w:rFonts w:ascii="Arial" w:cs="Arial" w:eastAsia="Arial" w:hAnsi="Arial"/>
          <w:sz w:val="14"/>
          <w:szCs w:val="14"/>
          <w:color w:val="36383B"/>
        </w:rPr>
        <w:t>ensure a smooth</w:t>
      </w:r>
      <w:r>
        <w:rPr>
          <w:rFonts w:ascii="Arial" w:cs="Arial" w:eastAsia="Arial" w:hAnsi="Arial"/>
          <w:sz w:val="14"/>
          <w:szCs w:val="14"/>
          <w:color w:val="232628"/>
        </w:rPr>
        <w:t xml:space="preserve"> transition</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In consideration of</w:t>
      </w:r>
      <w:r>
        <w:rPr>
          <w:rFonts w:ascii="Arial" w:cs="Arial" w:eastAsia="Arial" w:hAnsi="Arial"/>
          <w:sz w:val="14"/>
          <w:szCs w:val="14"/>
          <w:color w:val="232628"/>
        </w:rPr>
        <w:t xml:space="preserve"> the mutual promises contained </w:t>
      </w:r>
      <w:r>
        <w:rPr>
          <w:rFonts w:ascii="Arial" w:cs="Arial" w:eastAsia="Arial" w:hAnsi="Arial"/>
          <w:sz w:val="14"/>
          <w:szCs w:val="14"/>
          <w:color w:val="36383B"/>
        </w:rPr>
        <w:t>in</w:t>
      </w:r>
      <w:r>
        <w:rPr>
          <w:rFonts w:ascii="Arial" w:cs="Arial" w:eastAsia="Arial" w:hAnsi="Arial"/>
          <w:sz w:val="14"/>
          <w:szCs w:val="14"/>
          <w:color w:val="232628"/>
        </w:rPr>
        <w:t xml:space="preserve"> this </w:t>
      </w:r>
      <w:r>
        <w:rPr>
          <w:rFonts w:ascii="Arial" w:cs="Arial" w:eastAsia="Arial" w:hAnsi="Arial"/>
          <w:sz w:val="14"/>
          <w:szCs w:val="14"/>
          <w:color w:val="36383B"/>
        </w:rPr>
        <w:t>Agreement</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the Company and Employee agree as</w:t>
      </w:r>
      <w:r>
        <w:rPr>
          <w:rFonts w:ascii="Arial" w:cs="Arial" w:eastAsia="Arial" w:hAnsi="Arial"/>
          <w:sz w:val="14"/>
          <w:szCs w:val="14"/>
          <w:color w:val="232628"/>
        </w:rPr>
        <w:t xml:space="preserve"> follows:</w:t>
      </w:r>
    </w:p>
    <w:p>
      <w:pPr>
        <w:spacing w:after="0" w:line="155" w:lineRule="exact"/>
        <w:rPr>
          <w:sz w:val="20"/>
          <w:szCs w:val="20"/>
          <w:color w:val="auto"/>
        </w:rPr>
      </w:pPr>
    </w:p>
    <w:p>
      <w:pPr>
        <w:ind w:left="520" w:right="60" w:hanging="255"/>
        <w:spacing w:after="0" w:line="236" w:lineRule="auto"/>
        <w:tabs>
          <w:tab w:leader="none" w:pos="510" w:val="left"/>
        </w:tabs>
        <w:numPr>
          <w:ilvl w:val="0"/>
          <w:numId w:val="48"/>
        </w:numPr>
        <w:rPr>
          <w:rFonts w:ascii="Arial" w:cs="Arial" w:eastAsia="Arial" w:hAnsi="Arial"/>
          <w:sz w:val="14"/>
          <w:szCs w:val="14"/>
          <w:color w:val="auto"/>
        </w:rPr>
      </w:pPr>
      <w:r>
        <w:rPr>
          <w:rFonts w:ascii="Arial" w:cs="Arial" w:eastAsia="Arial" w:hAnsi="Arial"/>
          <w:sz w:val="14"/>
          <w:szCs w:val="14"/>
          <w:b w:val="1"/>
          <w:bCs w:val="1"/>
          <w:color w:val="232628"/>
        </w:rPr>
        <w:t xml:space="preserve">Pay and Salary Continuation. </w:t>
      </w:r>
      <w:r>
        <w:rPr>
          <w:rFonts w:ascii="Arial" w:cs="Arial" w:eastAsia="Arial" w:hAnsi="Arial"/>
          <w:sz w:val="14"/>
          <w:szCs w:val="14"/>
          <w:color w:val="36383B"/>
        </w:rPr>
        <w:t>Employee</w:t>
      </w:r>
      <w:r>
        <w:rPr>
          <w:rFonts w:ascii="Arial" w:cs="Arial" w:eastAsia="Arial" w:hAnsi="Arial"/>
          <w:sz w:val="14"/>
          <w:szCs w:val="14"/>
          <w:b w:val="1"/>
          <w:bCs w:val="1"/>
          <w:color w:val="232628"/>
        </w:rPr>
        <w:t xml:space="preserve"> </w:t>
      </w:r>
      <w:r>
        <w:rPr>
          <w:rFonts w:ascii="Arial" w:cs="Arial" w:eastAsia="Arial" w:hAnsi="Arial"/>
          <w:sz w:val="14"/>
          <w:szCs w:val="14"/>
          <w:color w:val="232628"/>
        </w:rPr>
        <w:t>will be paid his</w:t>
      </w:r>
      <w:r>
        <w:rPr>
          <w:rFonts w:ascii="Arial" w:cs="Arial" w:eastAsia="Arial" w:hAnsi="Arial"/>
          <w:sz w:val="14"/>
          <w:szCs w:val="14"/>
          <w:b w:val="1"/>
          <w:bCs w:val="1"/>
          <w:color w:val="232628"/>
        </w:rPr>
        <w:t xml:space="preserve"> </w:t>
      </w:r>
      <w:r>
        <w:rPr>
          <w:rFonts w:ascii="Arial" w:cs="Arial" w:eastAsia="Arial" w:hAnsi="Arial"/>
          <w:sz w:val="14"/>
          <w:szCs w:val="14"/>
          <w:color w:val="36383B"/>
        </w:rPr>
        <w:t>same</w:t>
      </w:r>
      <w:r>
        <w:rPr>
          <w:rFonts w:ascii="Arial" w:cs="Arial" w:eastAsia="Arial" w:hAnsi="Arial"/>
          <w:sz w:val="14"/>
          <w:szCs w:val="14"/>
          <w:b w:val="1"/>
          <w:bCs w:val="1"/>
          <w:color w:val="232628"/>
        </w:rPr>
        <w:t xml:space="preserve"> </w:t>
      </w:r>
      <w:r>
        <w:rPr>
          <w:rFonts w:ascii="Arial" w:cs="Arial" w:eastAsia="Arial" w:hAnsi="Arial"/>
          <w:sz w:val="14"/>
          <w:szCs w:val="14"/>
          <w:color w:val="232628"/>
        </w:rPr>
        <w:t>bi-weekly</w:t>
      </w:r>
      <w:r>
        <w:rPr>
          <w:rFonts w:ascii="Arial" w:cs="Arial" w:eastAsia="Arial" w:hAnsi="Arial"/>
          <w:sz w:val="14"/>
          <w:szCs w:val="14"/>
          <w:b w:val="1"/>
          <w:bCs w:val="1"/>
          <w:color w:val="232628"/>
        </w:rPr>
        <w:t xml:space="preserve"> </w:t>
      </w:r>
      <w:r>
        <w:rPr>
          <w:rFonts w:ascii="Arial" w:cs="Arial" w:eastAsia="Arial" w:hAnsi="Arial"/>
          <w:sz w:val="14"/>
          <w:szCs w:val="14"/>
          <w:color w:val="36383B"/>
        </w:rPr>
        <w:t>salary</w:t>
      </w:r>
      <w:r>
        <w:rPr>
          <w:rFonts w:ascii="Arial" w:cs="Arial" w:eastAsia="Arial" w:hAnsi="Arial"/>
          <w:sz w:val="14"/>
          <w:szCs w:val="14"/>
          <w:b w:val="1"/>
          <w:bCs w:val="1"/>
          <w:color w:val="232628"/>
        </w:rPr>
        <w:t xml:space="preserve"> </w:t>
      </w:r>
      <w:r>
        <w:rPr>
          <w:rFonts w:ascii="Arial" w:cs="Arial" w:eastAsia="Arial" w:hAnsi="Arial"/>
          <w:sz w:val="14"/>
          <w:szCs w:val="14"/>
          <w:color w:val="232628"/>
        </w:rPr>
        <w:t>rate</w:t>
      </w:r>
      <w:r>
        <w:rPr>
          <w:rFonts w:ascii="Arial" w:cs="Arial" w:eastAsia="Arial" w:hAnsi="Arial"/>
          <w:sz w:val="14"/>
          <w:szCs w:val="14"/>
          <w:b w:val="1"/>
          <w:bCs w:val="1"/>
          <w:color w:val="232628"/>
        </w:rPr>
        <w:t xml:space="preserve"> </w:t>
      </w:r>
      <w:r>
        <w:rPr>
          <w:rFonts w:ascii="Arial" w:cs="Arial" w:eastAsia="Arial" w:hAnsi="Arial"/>
          <w:sz w:val="14"/>
          <w:szCs w:val="14"/>
          <w:color w:val="36383B"/>
        </w:rPr>
        <w:t>after</w:t>
      </w:r>
      <w:r>
        <w:rPr>
          <w:rFonts w:ascii="Arial" w:cs="Arial" w:eastAsia="Arial" w:hAnsi="Arial"/>
          <w:sz w:val="14"/>
          <w:szCs w:val="14"/>
          <w:b w:val="1"/>
          <w:bCs w:val="1"/>
          <w:color w:val="232628"/>
        </w:rPr>
        <w:t xml:space="preserve"> </w:t>
      </w:r>
      <w:r>
        <w:rPr>
          <w:rFonts w:ascii="Arial" w:cs="Arial" w:eastAsia="Arial" w:hAnsi="Arial"/>
          <w:sz w:val="14"/>
          <w:szCs w:val="14"/>
          <w:color w:val="232628"/>
        </w:rPr>
        <w:t>his</w:t>
      </w:r>
      <w:r>
        <w:rPr>
          <w:rFonts w:ascii="Arial" w:cs="Arial" w:eastAsia="Arial" w:hAnsi="Arial"/>
          <w:sz w:val="14"/>
          <w:szCs w:val="14"/>
          <w:b w:val="1"/>
          <w:bCs w:val="1"/>
          <w:color w:val="232628"/>
        </w:rPr>
        <w:t xml:space="preserve"> </w:t>
      </w:r>
      <w:r>
        <w:rPr>
          <w:rFonts w:ascii="Arial" w:cs="Arial" w:eastAsia="Arial" w:hAnsi="Arial"/>
          <w:sz w:val="14"/>
          <w:szCs w:val="14"/>
          <w:color w:val="36383B"/>
        </w:rPr>
        <w:t>Notice</w:t>
      </w:r>
      <w:r>
        <w:rPr>
          <w:rFonts w:ascii="Arial" w:cs="Arial" w:eastAsia="Arial" w:hAnsi="Arial"/>
          <w:sz w:val="14"/>
          <w:szCs w:val="14"/>
          <w:b w:val="1"/>
          <w:bCs w:val="1"/>
          <w:color w:val="232628"/>
        </w:rPr>
        <w:t xml:space="preserve"> </w:t>
      </w:r>
      <w:r>
        <w:rPr>
          <w:rFonts w:ascii="Arial" w:cs="Arial" w:eastAsia="Arial" w:hAnsi="Arial"/>
          <w:sz w:val="14"/>
          <w:szCs w:val="14"/>
          <w:color w:val="232628"/>
        </w:rPr>
        <w:t>Date through and including his</w:t>
      </w:r>
      <w:r>
        <w:rPr>
          <w:rFonts w:ascii="Arial" w:cs="Arial" w:eastAsia="Arial" w:hAnsi="Arial"/>
          <w:sz w:val="14"/>
          <w:szCs w:val="14"/>
          <w:b w:val="1"/>
          <w:bCs w:val="1"/>
          <w:color w:val="232628"/>
        </w:rPr>
        <w:t xml:space="preserve"> </w:t>
      </w:r>
      <w:r>
        <w:rPr>
          <w:rFonts w:ascii="Arial" w:cs="Arial" w:eastAsia="Arial" w:hAnsi="Arial"/>
          <w:sz w:val="14"/>
          <w:szCs w:val="14"/>
          <w:color w:val="36383B"/>
        </w:rPr>
        <w:t>Last</w:t>
      </w:r>
      <w:r>
        <w:rPr>
          <w:rFonts w:ascii="Arial" w:cs="Arial" w:eastAsia="Arial" w:hAnsi="Arial"/>
          <w:sz w:val="14"/>
          <w:szCs w:val="14"/>
          <w:b w:val="1"/>
          <w:bCs w:val="1"/>
          <w:color w:val="232628"/>
        </w:rPr>
        <w:t xml:space="preserve"> </w:t>
      </w:r>
      <w:r>
        <w:rPr>
          <w:rFonts w:ascii="Arial" w:cs="Arial" w:eastAsia="Arial" w:hAnsi="Arial"/>
          <w:sz w:val="14"/>
          <w:szCs w:val="14"/>
          <w:color w:val="232628"/>
        </w:rPr>
        <w:t>Day</w:t>
      </w:r>
      <w:r>
        <w:rPr>
          <w:rFonts w:ascii="Arial" w:cs="Arial" w:eastAsia="Arial" w:hAnsi="Arial"/>
          <w:sz w:val="14"/>
          <w:szCs w:val="14"/>
          <w:b w:val="1"/>
          <w:bCs w:val="1"/>
          <w:color w:val="232628"/>
        </w:rPr>
        <w:t xml:space="preserve"> </w:t>
      </w:r>
      <w:r>
        <w:rPr>
          <w:rFonts w:ascii="Arial" w:cs="Arial" w:eastAsia="Arial" w:hAnsi="Arial"/>
          <w:sz w:val="14"/>
          <w:szCs w:val="14"/>
          <w:color w:val="36383B"/>
        </w:rPr>
        <w:t>of</w:t>
      </w:r>
      <w:r>
        <w:rPr>
          <w:rFonts w:ascii="Arial" w:cs="Arial" w:eastAsia="Arial" w:hAnsi="Arial"/>
          <w:sz w:val="14"/>
          <w:szCs w:val="14"/>
          <w:b w:val="1"/>
          <w:bCs w:val="1"/>
          <w:color w:val="232628"/>
        </w:rPr>
        <w:t xml:space="preserve"> </w:t>
      </w:r>
      <w:r>
        <w:rPr>
          <w:rFonts w:ascii="Arial" w:cs="Arial" w:eastAsia="Arial" w:hAnsi="Arial"/>
          <w:sz w:val="14"/>
          <w:szCs w:val="14"/>
          <w:color w:val="232628"/>
        </w:rPr>
        <w:t>Active</w:t>
      </w:r>
      <w:r>
        <w:rPr>
          <w:rFonts w:ascii="Arial" w:cs="Arial" w:eastAsia="Arial" w:hAnsi="Arial"/>
          <w:sz w:val="14"/>
          <w:szCs w:val="14"/>
          <w:b w:val="1"/>
          <w:bCs w:val="1"/>
          <w:color w:val="232628"/>
        </w:rPr>
        <w:t xml:space="preserve"> </w:t>
      </w:r>
      <w:r>
        <w:rPr>
          <w:rFonts w:ascii="Arial" w:cs="Arial" w:eastAsia="Arial" w:hAnsi="Arial"/>
          <w:sz w:val="14"/>
          <w:szCs w:val="14"/>
          <w:color w:val="36383B"/>
        </w:rPr>
        <w:t>Employment.</w:t>
      </w:r>
      <w:r>
        <w:rPr>
          <w:rFonts w:ascii="Arial" w:cs="Arial" w:eastAsia="Arial" w:hAnsi="Arial"/>
          <w:sz w:val="14"/>
          <w:szCs w:val="14"/>
          <w:b w:val="1"/>
          <w:bCs w:val="1"/>
          <w:color w:val="232628"/>
        </w:rPr>
        <w:t xml:space="preserve"> </w:t>
      </w:r>
      <w:r>
        <w:rPr>
          <w:rFonts w:ascii="Arial" w:cs="Arial" w:eastAsia="Arial" w:hAnsi="Arial"/>
          <w:sz w:val="14"/>
          <w:szCs w:val="14"/>
          <w:color w:val="36383B"/>
        </w:rPr>
        <w:t xml:space="preserve">Employee will receive salary continuation </w:t>
      </w:r>
      <w:r>
        <w:rPr>
          <w:rFonts w:ascii="Arial" w:cs="Arial" w:eastAsia="Arial" w:hAnsi="Arial"/>
          <w:sz w:val="14"/>
          <w:szCs w:val="14"/>
          <w:color w:val="232628"/>
        </w:rPr>
        <w:t>commencing on</w:t>
      </w:r>
      <w:r>
        <w:rPr>
          <w:rFonts w:ascii="Arial" w:cs="Arial" w:eastAsia="Arial" w:hAnsi="Arial"/>
          <w:sz w:val="14"/>
          <w:szCs w:val="14"/>
          <w:color w:val="36383B"/>
        </w:rPr>
        <w:t xml:space="preserve"> January </w:t>
      </w:r>
      <w:r>
        <w:rPr>
          <w:rFonts w:ascii="Arial" w:cs="Arial" w:eastAsia="Arial" w:hAnsi="Arial"/>
          <w:sz w:val="14"/>
          <w:szCs w:val="14"/>
          <w:color w:val="232628"/>
        </w:rPr>
        <w:t>1</w:t>
      </w:r>
      <w:r>
        <w:rPr>
          <w:rFonts w:ascii="Arial" w:cs="Arial" w:eastAsia="Arial" w:hAnsi="Arial"/>
          <w:sz w:val="14"/>
          <w:szCs w:val="14"/>
          <w:color w:val="4F5052"/>
        </w:rPr>
        <w:t>,</w:t>
      </w:r>
      <w:r>
        <w:rPr>
          <w:rFonts w:ascii="Arial" w:cs="Arial" w:eastAsia="Arial" w:hAnsi="Arial"/>
          <w:sz w:val="14"/>
          <w:szCs w:val="14"/>
          <w:color w:val="36383B"/>
        </w:rPr>
        <w:t xml:space="preserve"> 2020 at the same </w:t>
      </w:r>
      <w:r>
        <w:rPr>
          <w:rFonts w:ascii="Arial" w:cs="Arial" w:eastAsia="Arial" w:hAnsi="Arial"/>
          <w:sz w:val="14"/>
          <w:szCs w:val="14"/>
          <w:color w:val="232628"/>
        </w:rPr>
        <w:t>bi</w:t>
      </w:r>
      <w:r>
        <w:rPr>
          <w:rFonts w:ascii="Arial" w:cs="Arial" w:eastAsia="Arial" w:hAnsi="Arial"/>
          <w:sz w:val="14"/>
          <w:szCs w:val="14"/>
          <w:color w:val="36383B"/>
        </w:rPr>
        <w:t xml:space="preserve"> weekly </w:t>
      </w:r>
      <w:r>
        <w:rPr>
          <w:rFonts w:ascii="Arial" w:cs="Arial" w:eastAsia="Arial" w:hAnsi="Arial"/>
          <w:sz w:val="14"/>
          <w:szCs w:val="14"/>
          <w:color w:val="232628"/>
        </w:rPr>
        <w:t>salary</w:t>
      </w:r>
      <w:r>
        <w:rPr>
          <w:rFonts w:ascii="Arial" w:cs="Arial" w:eastAsia="Arial" w:hAnsi="Arial"/>
          <w:sz w:val="14"/>
          <w:szCs w:val="14"/>
          <w:color w:val="36383B"/>
        </w:rPr>
        <w:t xml:space="preserve"> rate and continuing </w:t>
      </w:r>
      <w:r>
        <w:rPr>
          <w:rFonts w:ascii="Arial" w:cs="Arial" w:eastAsia="Arial" w:hAnsi="Arial"/>
          <w:sz w:val="14"/>
          <w:szCs w:val="14"/>
          <w:color w:val="232628"/>
        </w:rPr>
        <w:t>through and including his</w:t>
      </w:r>
      <w:r>
        <w:rPr>
          <w:rFonts w:ascii="Arial" w:cs="Arial" w:eastAsia="Arial" w:hAnsi="Arial"/>
          <w:sz w:val="14"/>
          <w:szCs w:val="14"/>
          <w:color w:val="36383B"/>
        </w:rPr>
        <w:t xml:space="preserve"> Salary </w:t>
      </w:r>
      <w:r>
        <w:rPr>
          <w:rFonts w:ascii="Arial" w:cs="Arial" w:eastAsia="Arial" w:hAnsi="Arial"/>
          <w:sz w:val="14"/>
          <w:szCs w:val="14"/>
          <w:color w:val="232628"/>
        </w:rPr>
        <w:t>and Benefit</w:t>
      </w:r>
      <w:r>
        <w:rPr>
          <w:rFonts w:ascii="Arial" w:cs="Arial" w:eastAsia="Arial" w:hAnsi="Arial"/>
          <w:sz w:val="14"/>
          <w:szCs w:val="14"/>
          <w:color w:val="36383B"/>
        </w:rPr>
        <w:t xml:space="preserve"> Continuation End </w:t>
      </w:r>
      <w:r>
        <w:rPr>
          <w:rFonts w:ascii="Arial" w:cs="Arial" w:eastAsia="Arial" w:hAnsi="Arial"/>
          <w:sz w:val="14"/>
          <w:szCs w:val="14"/>
          <w:color w:val="232628"/>
        </w:rPr>
        <w:t>Date. The</w:t>
      </w:r>
      <w:r>
        <w:rPr>
          <w:rFonts w:ascii="Arial" w:cs="Arial" w:eastAsia="Arial" w:hAnsi="Arial"/>
          <w:sz w:val="14"/>
          <w:szCs w:val="14"/>
          <w:color w:val="36383B"/>
        </w:rPr>
        <w:t xml:space="preserve"> Company shall withhold from such payments all applicable </w:t>
      </w:r>
      <w:r>
        <w:rPr>
          <w:rFonts w:ascii="Arial" w:cs="Arial" w:eastAsia="Arial" w:hAnsi="Arial"/>
          <w:sz w:val="14"/>
          <w:szCs w:val="14"/>
          <w:color w:val="232628"/>
        </w:rPr>
        <w:t>payroll taxes and other</w:t>
      </w:r>
      <w:r>
        <w:rPr>
          <w:rFonts w:ascii="Arial" w:cs="Arial" w:eastAsia="Arial" w:hAnsi="Arial"/>
          <w:sz w:val="14"/>
          <w:szCs w:val="14"/>
          <w:color w:val="36383B"/>
        </w:rPr>
        <w:t xml:space="preserve"> authorized </w:t>
      </w:r>
      <w:r>
        <w:rPr>
          <w:rFonts w:ascii="Arial" w:cs="Arial" w:eastAsia="Arial" w:hAnsi="Arial"/>
          <w:sz w:val="14"/>
          <w:szCs w:val="14"/>
          <w:color w:val="232628"/>
        </w:rPr>
        <w:t>deductions.</w:t>
      </w:r>
      <w:r>
        <w:rPr>
          <w:rFonts w:ascii="Arial" w:cs="Arial" w:eastAsia="Arial" w:hAnsi="Arial"/>
          <w:sz w:val="14"/>
          <w:szCs w:val="14"/>
          <w:color w:val="36383B"/>
        </w:rPr>
        <w:t xml:space="preserve"> The </w:t>
      </w:r>
      <w:r>
        <w:rPr>
          <w:rFonts w:ascii="Arial" w:cs="Arial" w:eastAsia="Arial" w:hAnsi="Arial"/>
          <w:sz w:val="14"/>
          <w:szCs w:val="14"/>
          <w:color w:val="232628"/>
        </w:rPr>
        <w:t>payments to be made under this</w:t>
      </w:r>
      <w:r>
        <w:rPr>
          <w:rFonts w:ascii="Arial" w:cs="Arial" w:eastAsia="Arial" w:hAnsi="Arial"/>
          <w:sz w:val="14"/>
          <w:szCs w:val="14"/>
          <w:color w:val="36383B"/>
        </w:rPr>
        <w:t xml:space="preserve"> Agreement shall </w:t>
      </w:r>
      <w:r>
        <w:rPr>
          <w:rFonts w:ascii="Arial" w:cs="Arial" w:eastAsia="Arial" w:hAnsi="Arial"/>
          <w:sz w:val="14"/>
          <w:szCs w:val="14"/>
          <w:color w:val="232628"/>
        </w:rPr>
        <w:t>be deemed to be</w:t>
      </w:r>
      <w:r>
        <w:rPr>
          <w:rFonts w:ascii="Arial" w:cs="Arial" w:eastAsia="Arial" w:hAnsi="Arial"/>
          <w:sz w:val="14"/>
          <w:szCs w:val="14"/>
          <w:color w:val="36383B"/>
        </w:rPr>
        <w:t xml:space="preserve"> wages </w:t>
      </w:r>
      <w:r>
        <w:rPr>
          <w:rFonts w:ascii="Arial" w:cs="Arial" w:eastAsia="Arial" w:hAnsi="Arial"/>
          <w:sz w:val="14"/>
          <w:szCs w:val="14"/>
          <w:color w:val="232628"/>
        </w:rPr>
        <w:t>in lieu of notice during the</w:t>
      </w:r>
      <w:r>
        <w:rPr>
          <w:rFonts w:ascii="Arial" w:cs="Arial" w:eastAsia="Arial" w:hAnsi="Arial"/>
          <w:sz w:val="14"/>
          <w:szCs w:val="14"/>
          <w:color w:val="36383B"/>
        </w:rPr>
        <w:t xml:space="preserve"> applicable benefit year </w:t>
      </w:r>
      <w:r>
        <w:rPr>
          <w:rFonts w:ascii="Arial" w:cs="Arial" w:eastAsia="Arial" w:hAnsi="Arial"/>
          <w:sz w:val="14"/>
          <w:szCs w:val="14"/>
          <w:color w:val="232628"/>
        </w:rPr>
        <w:t>in the event that the</w:t>
      </w:r>
      <w:r>
        <w:rPr>
          <w:rFonts w:ascii="Arial" w:cs="Arial" w:eastAsia="Arial" w:hAnsi="Arial"/>
          <w:sz w:val="14"/>
          <w:szCs w:val="14"/>
          <w:color w:val="36383B"/>
        </w:rPr>
        <w:t xml:space="preserve"> Emplo</w:t>
      </w:r>
      <w:r>
        <w:rPr>
          <w:rFonts w:ascii="Arial" w:cs="Arial" w:eastAsia="Arial" w:hAnsi="Arial"/>
          <w:sz w:val="14"/>
          <w:szCs w:val="14"/>
          <w:color w:val="4F5052"/>
        </w:rPr>
        <w:t>y</w:t>
      </w:r>
      <w:r>
        <w:rPr>
          <w:rFonts w:ascii="Arial" w:cs="Arial" w:eastAsia="Arial" w:hAnsi="Arial"/>
          <w:sz w:val="14"/>
          <w:szCs w:val="14"/>
          <w:color w:val="232628"/>
        </w:rPr>
        <w:t>ee files a claim</w:t>
      </w:r>
      <w:r>
        <w:rPr>
          <w:rFonts w:ascii="Arial" w:cs="Arial" w:eastAsia="Arial" w:hAnsi="Arial"/>
          <w:sz w:val="14"/>
          <w:szCs w:val="14"/>
          <w:color w:val="36383B"/>
        </w:rPr>
        <w:t xml:space="preserve"> for unemployment </w:t>
      </w:r>
      <w:r>
        <w:rPr>
          <w:rFonts w:ascii="Arial" w:cs="Arial" w:eastAsia="Arial" w:hAnsi="Arial"/>
          <w:sz w:val="14"/>
          <w:szCs w:val="14"/>
          <w:color w:val="232628"/>
        </w:rPr>
        <w:t>benefits.</w:t>
      </w:r>
      <w:r>
        <w:rPr>
          <w:rFonts w:ascii="Arial" w:cs="Arial" w:eastAsia="Arial" w:hAnsi="Arial"/>
          <w:sz w:val="14"/>
          <w:szCs w:val="14"/>
          <w:color w:val="36383B"/>
        </w:rPr>
        <w:t xml:space="preserve"> Employee </w:t>
      </w:r>
      <w:r>
        <w:rPr>
          <w:rFonts w:ascii="Arial" w:cs="Arial" w:eastAsia="Arial" w:hAnsi="Arial"/>
          <w:sz w:val="14"/>
          <w:szCs w:val="14"/>
          <w:color w:val="232628"/>
        </w:rPr>
        <w:t>understands that</w:t>
      </w:r>
      <w:r>
        <w:rPr>
          <w:rFonts w:ascii="Arial" w:cs="Arial" w:eastAsia="Arial" w:hAnsi="Arial"/>
          <w:sz w:val="14"/>
          <w:szCs w:val="14"/>
          <w:color w:val="36383B"/>
        </w:rPr>
        <w:t xml:space="preserve"> the Company will </w:t>
      </w:r>
      <w:r>
        <w:rPr>
          <w:rFonts w:ascii="Arial" w:cs="Arial" w:eastAsia="Arial" w:hAnsi="Arial"/>
          <w:sz w:val="14"/>
          <w:szCs w:val="14"/>
          <w:color w:val="232628"/>
        </w:rPr>
        <w:t>not make</w:t>
      </w:r>
      <w:r>
        <w:rPr>
          <w:rFonts w:ascii="Arial" w:cs="Arial" w:eastAsia="Arial" w:hAnsi="Arial"/>
          <w:sz w:val="14"/>
          <w:szCs w:val="14"/>
          <w:color w:val="36383B"/>
        </w:rPr>
        <w:t xml:space="preserve"> any </w:t>
      </w:r>
      <w:r>
        <w:rPr>
          <w:rFonts w:ascii="Arial" w:cs="Arial" w:eastAsia="Arial" w:hAnsi="Arial"/>
          <w:sz w:val="14"/>
          <w:szCs w:val="14"/>
          <w:color w:val="232628"/>
        </w:rPr>
        <w:t>payments until</w:t>
      </w:r>
      <w:r>
        <w:rPr>
          <w:rFonts w:ascii="Arial" w:cs="Arial" w:eastAsia="Arial" w:hAnsi="Arial"/>
          <w:sz w:val="14"/>
          <w:szCs w:val="14"/>
          <w:color w:val="36383B"/>
        </w:rPr>
        <w:t xml:space="preserve"> all Company </w:t>
      </w:r>
      <w:r>
        <w:rPr>
          <w:rFonts w:ascii="Arial" w:cs="Arial" w:eastAsia="Arial" w:hAnsi="Arial"/>
          <w:sz w:val="14"/>
          <w:szCs w:val="14"/>
          <w:color w:val="232628"/>
        </w:rPr>
        <w:t>property</w:t>
      </w:r>
      <w:r>
        <w:rPr>
          <w:rFonts w:ascii="Arial" w:cs="Arial" w:eastAsia="Arial" w:hAnsi="Arial"/>
          <w:sz w:val="14"/>
          <w:szCs w:val="14"/>
          <w:color w:val="36383B"/>
        </w:rPr>
        <w:t xml:space="preserve"> in </w:t>
      </w:r>
      <w:r>
        <w:rPr>
          <w:rFonts w:ascii="Arial" w:cs="Arial" w:eastAsia="Arial" w:hAnsi="Arial"/>
          <w:sz w:val="14"/>
          <w:szCs w:val="14"/>
          <w:color w:val="232628"/>
        </w:rPr>
        <w:t>the</w:t>
      </w:r>
      <w:r>
        <w:rPr>
          <w:rFonts w:ascii="Arial" w:cs="Arial" w:eastAsia="Arial" w:hAnsi="Arial"/>
          <w:sz w:val="14"/>
          <w:szCs w:val="14"/>
          <w:color w:val="36383B"/>
        </w:rPr>
        <w:t xml:space="preserve"> Employee's </w:t>
      </w:r>
      <w:r>
        <w:rPr>
          <w:rFonts w:ascii="Arial" w:cs="Arial" w:eastAsia="Arial" w:hAnsi="Arial"/>
          <w:sz w:val="14"/>
          <w:szCs w:val="14"/>
          <w:color w:val="232628"/>
        </w:rPr>
        <w:t>possession or control is returned</w:t>
      </w:r>
      <w:r>
        <w:rPr>
          <w:rFonts w:ascii="Arial" w:cs="Arial" w:eastAsia="Arial" w:hAnsi="Arial"/>
          <w:sz w:val="14"/>
          <w:szCs w:val="14"/>
          <w:color w:val="36383B"/>
        </w:rPr>
        <w:t xml:space="preserve"> to </w:t>
      </w:r>
      <w:r>
        <w:rPr>
          <w:rFonts w:ascii="Arial" w:cs="Arial" w:eastAsia="Arial" w:hAnsi="Arial"/>
          <w:sz w:val="14"/>
          <w:szCs w:val="14"/>
          <w:color w:val="232628"/>
        </w:rPr>
        <w:t>the</w:t>
      </w:r>
      <w:r>
        <w:rPr>
          <w:rFonts w:ascii="Arial" w:cs="Arial" w:eastAsia="Arial" w:hAnsi="Arial"/>
          <w:sz w:val="14"/>
          <w:szCs w:val="14"/>
          <w:color w:val="36383B"/>
        </w:rPr>
        <w:t xml:space="preserve"> Company.</w:t>
      </w:r>
    </w:p>
    <w:p>
      <w:pPr>
        <w:spacing w:after="0" w:line="155" w:lineRule="exact"/>
        <w:rPr>
          <w:rFonts w:ascii="Arial" w:cs="Arial" w:eastAsia="Arial" w:hAnsi="Arial"/>
          <w:sz w:val="14"/>
          <w:szCs w:val="14"/>
          <w:color w:val="auto"/>
        </w:rPr>
      </w:pPr>
    </w:p>
    <w:p>
      <w:pPr>
        <w:ind w:left="520" w:right="40" w:hanging="255"/>
        <w:spacing w:after="0" w:line="219" w:lineRule="auto"/>
        <w:tabs>
          <w:tab w:leader="none" w:pos="510" w:val="left"/>
        </w:tabs>
        <w:numPr>
          <w:ilvl w:val="0"/>
          <w:numId w:val="48"/>
        </w:numPr>
        <w:rPr>
          <w:rFonts w:ascii="Arial" w:cs="Arial" w:eastAsia="Arial" w:hAnsi="Arial"/>
          <w:sz w:val="14"/>
          <w:szCs w:val="14"/>
          <w:color w:val="auto"/>
        </w:rPr>
      </w:pPr>
      <w:r>
        <w:rPr>
          <w:rFonts w:ascii="Arial" w:cs="Arial" w:eastAsia="Arial" w:hAnsi="Arial"/>
          <w:sz w:val="14"/>
          <w:szCs w:val="14"/>
          <w:b w:val="1"/>
          <w:bCs w:val="1"/>
          <w:color w:val="232628"/>
        </w:rPr>
        <w:t xml:space="preserve">Benefits Continuation. </w:t>
      </w:r>
      <w:r>
        <w:rPr>
          <w:rFonts w:ascii="Arial" w:cs="Arial" w:eastAsia="Arial" w:hAnsi="Arial"/>
          <w:sz w:val="14"/>
          <w:szCs w:val="14"/>
          <w:color w:val="36383B"/>
        </w:rPr>
        <w:t>Employee</w:t>
      </w:r>
      <w:r>
        <w:rPr>
          <w:rFonts w:ascii="Arial" w:cs="Arial" w:eastAsia="Arial" w:hAnsi="Arial"/>
          <w:sz w:val="14"/>
          <w:szCs w:val="14"/>
          <w:b w:val="1"/>
          <w:bCs w:val="1"/>
          <w:color w:val="232628"/>
        </w:rPr>
        <w:t xml:space="preserve"> </w:t>
      </w:r>
      <w:r>
        <w:rPr>
          <w:rFonts w:ascii="Arial" w:cs="Arial" w:eastAsia="Arial" w:hAnsi="Arial"/>
          <w:sz w:val="14"/>
          <w:szCs w:val="14"/>
          <w:color w:val="232628"/>
        </w:rPr>
        <w:t>will receive the</w:t>
      </w:r>
      <w:r>
        <w:rPr>
          <w:rFonts w:ascii="Arial" w:cs="Arial" w:eastAsia="Arial" w:hAnsi="Arial"/>
          <w:sz w:val="14"/>
          <w:szCs w:val="14"/>
          <w:b w:val="1"/>
          <w:bCs w:val="1"/>
          <w:color w:val="232628"/>
        </w:rPr>
        <w:t xml:space="preserve"> </w:t>
      </w:r>
      <w:r>
        <w:rPr>
          <w:rFonts w:ascii="Arial" w:cs="Arial" w:eastAsia="Arial" w:hAnsi="Arial"/>
          <w:sz w:val="14"/>
          <w:szCs w:val="14"/>
          <w:color w:val="36383B"/>
        </w:rPr>
        <w:t>same</w:t>
      </w:r>
      <w:r>
        <w:rPr>
          <w:rFonts w:ascii="Arial" w:cs="Arial" w:eastAsia="Arial" w:hAnsi="Arial"/>
          <w:sz w:val="14"/>
          <w:szCs w:val="14"/>
          <w:b w:val="1"/>
          <w:bCs w:val="1"/>
          <w:color w:val="232628"/>
        </w:rPr>
        <w:t xml:space="preserve"> </w:t>
      </w:r>
      <w:r>
        <w:rPr>
          <w:rFonts w:ascii="Arial" w:cs="Arial" w:eastAsia="Arial" w:hAnsi="Arial"/>
          <w:sz w:val="14"/>
          <w:szCs w:val="14"/>
          <w:color w:val="232628"/>
        </w:rPr>
        <w:t>level</w:t>
      </w:r>
      <w:r>
        <w:rPr>
          <w:rFonts w:ascii="Arial" w:cs="Arial" w:eastAsia="Arial" w:hAnsi="Arial"/>
          <w:sz w:val="14"/>
          <w:szCs w:val="14"/>
          <w:b w:val="1"/>
          <w:bCs w:val="1"/>
          <w:color w:val="232628"/>
        </w:rPr>
        <w:t xml:space="preserve"> </w:t>
      </w:r>
      <w:r>
        <w:rPr>
          <w:rFonts w:ascii="Arial" w:cs="Arial" w:eastAsia="Arial" w:hAnsi="Arial"/>
          <w:sz w:val="14"/>
          <w:szCs w:val="14"/>
          <w:color w:val="36383B"/>
        </w:rPr>
        <w:t>of</w:t>
      </w:r>
      <w:r>
        <w:rPr>
          <w:rFonts w:ascii="Arial" w:cs="Arial" w:eastAsia="Arial" w:hAnsi="Arial"/>
          <w:sz w:val="14"/>
          <w:szCs w:val="14"/>
          <w:b w:val="1"/>
          <w:bCs w:val="1"/>
          <w:color w:val="232628"/>
        </w:rPr>
        <w:t xml:space="preserve"> </w:t>
      </w:r>
      <w:r>
        <w:rPr>
          <w:rFonts w:ascii="Arial" w:cs="Arial" w:eastAsia="Arial" w:hAnsi="Arial"/>
          <w:sz w:val="14"/>
          <w:szCs w:val="14"/>
          <w:color w:val="232628"/>
        </w:rPr>
        <w:t>benefits</w:t>
      </w:r>
      <w:r>
        <w:rPr>
          <w:rFonts w:ascii="Arial" w:cs="Arial" w:eastAsia="Arial" w:hAnsi="Arial"/>
          <w:sz w:val="14"/>
          <w:szCs w:val="14"/>
          <w:b w:val="1"/>
          <w:bCs w:val="1"/>
          <w:color w:val="232628"/>
        </w:rPr>
        <w:t xml:space="preserve"> </w:t>
      </w:r>
      <w:r>
        <w:rPr>
          <w:rFonts w:ascii="Arial" w:cs="Arial" w:eastAsia="Arial" w:hAnsi="Arial"/>
          <w:sz w:val="14"/>
          <w:szCs w:val="14"/>
          <w:color w:val="36383B"/>
        </w:rPr>
        <w:t>in effect as of</w:t>
      </w:r>
      <w:r>
        <w:rPr>
          <w:rFonts w:ascii="Arial" w:cs="Arial" w:eastAsia="Arial" w:hAnsi="Arial"/>
          <w:sz w:val="14"/>
          <w:szCs w:val="14"/>
          <w:b w:val="1"/>
          <w:bCs w:val="1"/>
          <w:color w:val="232628"/>
        </w:rPr>
        <w:t xml:space="preserve"> </w:t>
      </w:r>
      <w:r>
        <w:rPr>
          <w:rFonts w:ascii="Arial" w:cs="Arial" w:eastAsia="Arial" w:hAnsi="Arial"/>
          <w:sz w:val="14"/>
          <w:szCs w:val="14"/>
          <w:color w:val="232628"/>
        </w:rPr>
        <w:t>his</w:t>
      </w:r>
      <w:r>
        <w:rPr>
          <w:rFonts w:ascii="Arial" w:cs="Arial" w:eastAsia="Arial" w:hAnsi="Arial"/>
          <w:sz w:val="14"/>
          <w:szCs w:val="14"/>
          <w:b w:val="1"/>
          <w:bCs w:val="1"/>
          <w:color w:val="232628"/>
        </w:rPr>
        <w:t xml:space="preserve"> </w:t>
      </w:r>
      <w:r>
        <w:rPr>
          <w:rFonts w:ascii="Arial" w:cs="Arial" w:eastAsia="Arial" w:hAnsi="Arial"/>
          <w:sz w:val="14"/>
          <w:szCs w:val="14"/>
          <w:color w:val="36383B"/>
        </w:rPr>
        <w:t>Notice</w:t>
      </w:r>
      <w:r>
        <w:rPr>
          <w:rFonts w:ascii="Arial" w:cs="Arial" w:eastAsia="Arial" w:hAnsi="Arial"/>
          <w:sz w:val="14"/>
          <w:szCs w:val="14"/>
          <w:b w:val="1"/>
          <w:bCs w:val="1"/>
          <w:color w:val="232628"/>
        </w:rPr>
        <w:t xml:space="preserve"> </w:t>
      </w:r>
      <w:r>
        <w:rPr>
          <w:rFonts w:ascii="Arial" w:cs="Arial" w:eastAsia="Arial" w:hAnsi="Arial"/>
          <w:sz w:val="14"/>
          <w:szCs w:val="14"/>
          <w:color w:val="232628"/>
        </w:rPr>
        <w:t>Date through his</w:t>
      </w:r>
      <w:r>
        <w:rPr>
          <w:rFonts w:ascii="Arial" w:cs="Arial" w:eastAsia="Arial" w:hAnsi="Arial"/>
          <w:sz w:val="14"/>
          <w:szCs w:val="14"/>
          <w:b w:val="1"/>
          <w:bCs w:val="1"/>
          <w:color w:val="232628"/>
        </w:rPr>
        <w:t xml:space="preserve"> </w:t>
      </w:r>
      <w:r>
        <w:rPr>
          <w:rFonts w:ascii="Arial" w:cs="Arial" w:eastAsia="Arial" w:hAnsi="Arial"/>
          <w:sz w:val="14"/>
          <w:szCs w:val="14"/>
          <w:color w:val="36383B"/>
        </w:rPr>
        <w:t>Last</w:t>
      </w:r>
      <w:r>
        <w:rPr>
          <w:rFonts w:ascii="Arial" w:cs="Arial" w:eastAsia="Arial" w:hAnsi="Arial"/>
          <w:sz w:val="14"/>
          <w:szCs w:val="14"/>
          <w:b w:val="1"/>
          <w:bCs w:val="1"/>
          <w:color w:val="232628"/>
        </w:rPr>
        <w:t xml:space="preserve"> </w:t>
      </w:r>
      <w:r>
        <w:rPr>
          <w:rFonts w:ascii="Arial" w:cs="Arial" w:eastAsia="Arial" w:hAnsi="Arial"/>
          <w:sz w:val="14"/>
          <w:szCs w:val="14"/>
          <w:color w:val="232628"/>
        </w:rPr>
        <w:t>Day</w:t>
      </w:r>
      <w:r>
        <w:rPr>
          <w:rFonts w:ascii="Arial" w:cs="Arial" w:eastAsia="Arial" w:hAnsi="Arial"/>
          <w:sz w:val="14"/>
          <w:szCs w:val="14"/>
          <w:b w:val="1"/>
          <w:bCs w:val="1"/>
          <w:color w:val="232628"/>
        </w:rPr>
        <w:t xml:space="preserve"> </w:t>
      </w:r>
      <w:r>
        <w:rPr>
          <w:rFonts w:ascii="Arial" w:cs="Arial" w:eastAsia="Arial" w:hAnsi="Arial"/>
          <w:sz w:val="14"/>
          <w:szCs w:val="14"/>
          <w:color w:val="36383B"/>
        </w:rPr>
        <w:t>of</w:t>
      </w:r>
      <w:r>
        <w:rPr>
          <w:rFonts w:ascii="Arial" w:cs="Arial" w:eastAsia="Arial" w:hAnsi="Arial"/>
          <w:sz w:val="14"/>
          <w:szCs w:val="14"/>
          <w:b w:val="1"/>
          <w:bCs w:val="1"/>
          <w:color w:val="232628"/>
        </w:rPr>
        <w:t xml:space="preserve"> </w:t>
      </w:r>
      <w:r>
        <w:rPr>
          <w:rFonts w:ascii="Arial" w:cs="Arial" w:eastAsia="Arial" w:hAnsi="Arial"/>
          <w:sz w:val="14"/>
          <w:szCs w:val="14"/>
          <w:color w:val="232628"/>
        </w:rPr>
        <w:t>Active</w:t>
      </w:r>
      <w:r>
        <w:rPr>
          <w:rFonts w:ascii="Arial" w:cs="Arial" w:eastAsia="Arial" w:hAnsi="Arial"/>
          <w:sz w:val="14"/>
          <w:szCs w:val="14"/>
          <w:b w:val="1"/>
          <w:bCs w:val="1"/>
          <w:color w:val="232628"/>
        </w:rPr>
        <w:t xml:space="preserve"> </w:t>
      </w:r>
      <w:r>
        <w:rPr>
          <w:rFonts w:ascii="Arial" w:cs="Arial" w:eastAsia="Arial" w:hAnsi="Arial"/>
          <w:sz w:val="14"/>
          <w:szCs w:val="14"/>
          <w:color w:val="36383B"/>
        </w:rPr>
        <w:t>Employment</w:t>
      </w:r>
      <w:r>
        <w:rPr>
          <w:rFonts w:ascii="Arial" w:cs="Arial" w:eastAsia="Arial" w:hAnsi="Arial"/>
          <w:sz w:val="14"/>
          <w:szCs w:val="14"/>
          <w:b w:val="1"/>
          <w:bCs w:val="1"/>
          <w:color w:val="232628"/>
        </w:rPr>
        <w:t xml:space="preserve"> </w:t>
      </w:r>
      <w:r>
        <w:rPr>
          <w:rFonts w:ascii="Arial" w:cs="Arial" w:eastAsia="Arial" w:hAnsi="Arial"/>
          <w:sz w:val="14"/>
          <w:szCs w:val="14"/>
          <w:color w:val="232628"/>
        </w:rPr>
        <w:t>and</w:t>
      </w:r>
      <w:r>
        <w:rPr>
          <w:rFonts w:ascii="Arial" w:cs="Arial" w:eastAsia="Arial" w:hAnsi="Arial"/>
          <w:sz w:val="14"/>
          <w:szCs w:val="14"/>
          <w:b w:val="1"/>
          <w:bCs w:val="1"/>
          <w:color w:val="232628"/>
        </w:rPr>
        <w:t xml:space="preserve"> </w:t>
      </w:r>
      <w:r>
        <w:rPr>
          <w:rFonts w:ascii="Arial" w:cs="Arial" w:eastAsia="Arial" w:hAnsi="Arial"/>
          <w:sz w:val="14"/>
          <w:szCs w:val="14"/>
          <w:color w:val="36383B"/>
        </w:rPr>
        <w:t>will continue</w:t>
      </w:r>
      <w:r>
        <w:rPr>
          <w:rFonts w:ascii="Arial" w:cs="Arial" w:eastAsia="Arial" w:hAnsi="Arial"/>
          <w:sz w:val="14"/>
          <w:szCs w:val="14"/>
          <w:b w:val="1"/>
          <w:bCs w:val="1"/>
          <w:color w:val="232628"/>
        </w:rPr>
        <w:t xml:space="preserve"> </w:t>
      </w:r>
      <w:r>
        <w:rPr>
          <w:rFonts w:ascii="Arial" w:cs="Arial" w:eastAsia="Arial" w:hAnsi="Arial"/>
          <w:sz w:val="14"/>
          <w:szCs w:val="14"/>
          <w:color w:val="232628"/>
        </w:rPr>
        <w:t>to</w:t>
      </w:r>
      <w:r>
        <w:rPr>
          <w:rFonts w:ascii="Arial" w:cs="Arial" w:eastAsia="Arial" w:hAnsi="Arial"/>
          <w:sz w:val="14"/>
          <w:szCs w:val="14"/>
          <w:b w:val="1"/>
          <w:bCs w:val="1"/>
          <w:color w:val="232628"/>
        </w:rPr>
        <w:t xml:space="preserve"> </w:t>
      </w:r>
      <w:r>
        <w:rPr>
          <w:rFonts w:ascii="Arial" w:cs="Arial" w:eastAsia="Arial" w:hAnsi="Arial"/>
          <w:sz w:val="14"/>
          <w:szCs w:val="14"/>
          <w:color w:val="232628"/>
        </w:rPr>
        <w:t xml:space="preserve">make the </w:t>
      </w:r>
      <w:r>
        <w:rPr>
          <w:rFonts w:ascii="Arial" w:cs="Arial" w:eastAsia="Arial" w:hAnsi="Arial"/>
          <w:sz w:val="14"/>
          <w:szCs w:val="14"/>
          <w:color w:val="36383B"/>
        </w:rPr>
        <w:t>same</w:t>
      </w:r>
      <w:r>
        <w:rPr>
          <w:rFonts w:ascii="Arial" w:cs="Arial" w:eastAsia="Arial" w:hAnsi="Arial"/>
          <w:sz w:val="14"/>
          <w:szCs w:val="14"/>
          <w:color w:val="232628"/>
        </w:rPr>
        <w:t xml:space="preserve"> level </w:t>
      </w:r>
      <w:r>
        <w:rPr>
          <w:rFonts w:ascii="Arial" w:cs="Arial" w:eastAsia="Arial" w:hAnsi="Arial"/>
          <w:sz w:val="14"/>
          <w:szCs w:val="14"/>
          <w:color w:val="36383B"/>
        </w:rPr>
        <w:t>of</w:t>
      </w:r>
      <w:r>
        <w:rPr>
          <w:rFonts w:ascii="Arial" w:cs="Arial" w:eastAsia="Arial" w:hAnsi="Arial"/>
          <w:sz w:val="14"/>
          <w:szCs w:val="14"/>
          <w:color w:val="232628"/>
        </w:rPr>
        <w:t xml:space="preserve"> any employee contributions towards </w:t>
      </w:r>
      <w:r>
        <w:rPr>
          <w:rFonts w:ascii="Arial" w:cs="Arial" w:eastAsia="Arial" w:hAnsi="Arial"/>
          <w:sz w:val="14"/>
          <w:szCs w:val="14"/>
          <w:color w:val="36383B"/>
        </w:rPr>
        <w:t>such</w:t>
      </w:r>
      <w:r>
        <w:rPr>
          <w:rFonts w:ascii="Arial" w:cs="Arial" w:eastAsia="Arial" w:hAnsi="Arial"/>
          <w:sz w:val="14"/>
          <w:szCs w:val="14"/>
          <w:color w:val="232628"/>
        </w:rPr>
        <w:t xml:space="preserve"> benefits through his </w:t>
      </w:r>
      <w:r>
        <w:rPr>
          <w:rFonts w:ascii="Arial" w:cs="Arial" w:eastAsia="Arial" w:hAnsi="Arial"/>
          <w:sz w:val="14"/>
          <w:szCs w:val="14"/>
          <w:color w:val="36383B"/>
        </w:rPr>
        <w:t>Last</w:t>
      </w:r>
      <w:r>
        <w:rPr>
          <w:rFonts w:ascii="Arial" w:cs="Arial" w:eastAsia="Arial" w:hAnsi="Arial"/>
          <w:sz w:val="14"/>
          <w:szCs w:val="14"/>
          <w:color w:val="232628"/>
        </w:rPr>
        <w:t xml:space="preserve"> Day </w:t>
      </w:r>
      <w:r>
        <w:rPr>
          <w:rFonts w:ascii="Arial" w:cs="Arial" w:eastAsia="Arial" w:hAnsi="Arial"/>
          <w:sz w:val="14"/>
          <w:szCs w:val="14"/>
          <w:color w:val="36383B"/>
        </w:rPr>
        <w:t>of</w:t>
      </w:r>
      <w:r>
        <w:rPr>
          <w:rFonts w:ascii="Arial" w:cs="Arial" w:eastAsia="Arial" w:hAnsi="Arial"/>
          <w:sz w:val="14"/>
          <w:szCs w:val="14"/>
          <w:color w:val="232628"/>
        </w:rPr>
        <w:t xml:space="preserve"> Active </w:t>
      </w:r>
      <w:r>
        <w:rPr>
          <w:rFonts w:ascii="Arial" w:cs="Arial" w:eastAsia="Arial" w:hAnsi="Arial"/>
          <w:sz w:val="14"/>
          <w:szCs w:val="14"/>
          <w:color w:val="36383B"/>
        </w:rPr>
        <w:t>Employment.</w:t>
      </w:r>
      <w:r>
        <w:rPr>
          <w:rFonts w:ascii="Arial" w:cs="Arial" w:eastAsia="Arial" w:hAnsi="Arial"/>
          <w:sz w:val="14"/>
          <w:szCs w:val="14"/>
          <w:color w:val="232628"/>
        </w:rPr>
        <w:t xml:space="preserve"> </w:t>
      </w:r>
      <w:r>
        <w:rPr>
          <w:rFonts w:ascii="Arial" w:cs="Arial" w:eastAsia="Arial" w:hAnsi="Arial"/>
          <w:sz w:val="14"/>
          <w:szCs w:val="14"/>
          <w:color w:val="4F5052"/>
        </w:rPr>
        <w:t>E</w:t>
      </w:r>
      <w:r>
        <w:rPr>
          <w:rFonts w:ascii="Arial" w:cs="Arial" w:eastAsia="Arial" w:hAnsi="Arial"/>
          <w:sz w:val="14"/>
          <w:szCs w:val="14"/>
          <w:color w:val="232628"/>
        </w:rPr>
        <w:t xml:space="preserve">mployee </w:t>
      </w:r>
      <w:r>
        <w:rPr>
          <w:rFonts w:ascii="Arial" w:cs="Arial" w:eastAsia="Arial" w:hAnsi="Arial"/>
          <w:sz w:val="14"/>
          <w:szCs w:val="14"/>
          <w:color w:val="36383B"/>
        </w:rPr>
        <w:t>will only</w:t>
      </w:r>
      <w:r>
        <w:rPr>
          <w:rFonts w:ascii="Arial" w:cs="Arial" w:eastAsia="Arial" w:hAnsi="Arial"/>
          <w:sz w:val="14"/>
          <w:szCs w:val="14"/>
          <w:color w:val="232628"/>
        </w:rPr>
        <w:t xml:space="preserve"> receive health </w:t>
      </w:r>
      <w:r>
        <w:rPr>
          <w:rFonts w:ascii="Arial" w:cs="Arial" w:eastAsia="Arial" w:hAnsi="Arial"/>
          <w:sz w:val="14"/>
          <w:szCs w:val="14"/>
          <w:color w:val="36383B"/>
        </w:rPr>
        <w:t>and welfare</w:t>
      </w:r>
      <w:r>
        <w:rPr>
          <w:rFonts w:ascii="Arial" w:cs="Arial" w:eastAsia="Arial" w:hAnsi="Arial"/>
          <w:sz w:val="14"/>
          <w:szCs w:val="14"/>
          <w:color w:val="232628"/>
        </w:rPr>
        <w:t xml:space="preserve"> benefits </w:t>
      </w:r>
      <w:r>
        <w:rPr>
          <w:rFonts w:ascii="Arial" w:cs="Arial" w:eastAsia="Arial" w:hAnsi="Arial"/>
          <w:sz w:val="14"/>
          <w:szCs w:val="14"/>
          <w:color w:val="36383B"/>
        </w:rPr>
        <w:t>at employee</w:t>
      </w:r>
      <w:r>
        <w:rPr>
          <w:rFonts w:ascii="Arial" w:cs="Arial" w:eastAsia="Arial" w:hAnsi="Arial"/>
          <w:sz w:val="14"/>
          <w:szCs w:val="14"/>
          <w:color w:val="232628"/>
        </w:rPr>
        <w:t xml:space="preserve"> rates</w:t>
      </w:r>
      <w:r>
        <w:rPr>
          <w:rFonts w:ascii="Arial" w:cs="Arial" w:eastAsia="Arial" w:hAnsi="Arial"/>
          <w:sz w:val="14"/>
          <w:szCs w:val="14"/>
          <w:color w:val="606467"/>
        </w:rPr>
        <w:t>,</w:t>
      </w:r>
      <w:r>
        <w:rPr>
          <w:rFonts w:ascii="Arial" w:cs="Arial" w:eastAsia="Arial" w:hAnsi="Arial"/>
          <w:sz w:val="14"/>
          <w:szCs w:val="14"/>
          <w:color w:val="232628"/>
        </w:rPr>
        <w:t xml:space="preserve"> </w:t>
      </w:r>
      <w:r>
        <w:rPr>
          <w:rFonts w:ascii="Arial" w:cs="Arial" w:eastAsia="Arial" w:hAnsi="Arial"/>
          <w:sz w:val="14"/>
          <w:szCs w:val="14"/>
          <w:color w:val="36383B"/>
        </w:rPr>
        <w:t>subject</w:t>
      </w:r>
      <w:r>
        <w:rPr>
          <w:rFonts w:ascii="Arial" w:cs="Arial" w:eastAsia="Arial" w:hAnsi="Arial"/>
          <w:sz w:val="14"/>
          <w:szCs w:val="14"/>
          <w:color w:val="232628"/>
        </w:rPr>
        <w:t xml:space="preserve"> to and conditioned upon </w:t>
      </w:r>
      <w:r>
        <w:rPr>
          <w:rFonts w:ascii="Arial" w:cs="Arial" w:eastAsia="Arial" w:hAnsi="Arial"/>
          <w:sz w:val="14"/>
          <w:szCs w:val="14"/>
          <w:color w:val="36383B"/>
        </w:rPr>
        <w:t>Employee</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s</w:t>
      </w:r>
      <w:r>
        <w:rPr>
          <w:rFonts w:ascii="Arial" w:cs="Arial" w:eastAsia="Arial" w:hAnsi="Arial"/>
          <w:sz w:val="14"/>
          <w:szCs w:val="14"/>
          <w:color w:val="232628"/>
        </w:rPr>
        <w:t xml:space="preserve"> pa</w:t>
      </w:r>
      <w:r>
        <w:rPr>
          <w:rFonts w:ascii="Arial" w:cs="Arial" w:eastAsia="Arial" w:hAnsi="Arial"/>
          <w:sz w:val="14"/>
          <w:szCs w:val="14"/>
          <w:color w:val="4F5052"/>
        </w:rPr>
        <w:t>y</w:t>
      </w:r>
      <w:r>
        <w:rPr>
          <w:rFonts w:ascii="Arial" w:cs="Arial" w:eastAsia="Arial" w:hAnsi="Arial"/>
          <w:sz w:val="14"/>
          <w:szCs w:val="14"/>
          <w:color w:val="36383B"/>
        </w:rPr>
        <w:t>ment of the</w:t>
      </w:r>
      <w:r>
        <w:rPr>
          <w:rFonts w:ascii="Arial" w:cs="Arial" w:eastAsia="Arial" w:hAnsi="Arial"/>
          <w:sz w:val="14"/>
          <w:szCs w:val="14"/>
          <w:color w:val="232628"/>
        </w:rPr>
        <w:t xml:space="preserve"> applicable employee premium contributions </w:t>
      </w:r>
      <w:r>
        <w:rPr>
          <w:rFonts w:ascii="Arial" w:cs="Arial" w:eastAsia="Arial" w:hAnsi="Arial"/>
          <w:sz w:val="14"/>
          <w:szCs w:val="14"/>
          <w:color w:val="36383B"/>
        </w:rPr>
        <w:t>set for 2020,</w:t>
      </w:r>
      <w:r>
        <w:rPr>
          <w:rFonts w:ascii="Arial" w:cs="Arial" w:eastAsia="Arial" w:hAnsi="Arial"/>
          <w:sz w:val="14"/>
          <w:szCs w:val="14"/>
          <w:color w:val="232628"/>
        </w:rPr>
        <w:t xml:space="preserve"> through and including his Salary and Benefits </w:t>
      </w:r>
      <w:r>
        <w:rPr>
          <w:rFonts w:ascii="Arial" w:cs="Arial" w:eastAsia="Arial" w:hAnsi="Arial"/>
          <w:sz w:val="14"/>
          <w:szCs w:val="14"/>
          <w:color w:val="36383B"/>
        </w:rPr>
        <w:t>Continuation End</w:t>
      </w:r>
      <w:r>
        <w:rPr>
          <w:rFonts w:ascii="Arial" w:cs="Arial" w:eastAsia="Arial" w:hAnsi="Arial"/>
          <w:sz w:val="14"/>
          <w:szCs w:val="14"/>
          <w:color w:val="232628"/>
        </w:rPr>
        <w:t xml:space="preserve"> Date </w:t>
      </w:r>
      <w:r>
        <w:rPr>
          <w:rFonts w:ascii="Arial" w:cs="Arial" w:eastAsia="Arial" w:hAnsi="Arial"/>
          <w:sz w:val="14"/>
          <w:szCs w:val="14"/>
          <w:b w:val="1"/>
          <w:bCs w:val="1"/>
          <w:color w:val="232628"/>
        </w:rPr>
        <w:t>OTHER THAN:</w:t>
      </w:r>
      <w:r>
        <w:rPr>
          <w:rFonts w:ascii="Arial" w:cs="Arial" w:eastAsia="Arial" w:hAnsi="Arial"/>
          <w:sz w:val="14"/>
          <w:szCs w:val="14"/>
          <w:color w:val="232628"/>
        </w:rPr>
        <w:t xml:space="preserve"> Short-term Disability</w:t>
      </w:r>
      <w:r>
        <w:rPr>
          <w:rFonts w:ascii="Arial" w:cs="Arial" w:eastAsia="Arial" w:hAnsi="Arial"/>
          <w:sz w:val="14"/>
          <w:szCs w:val="14"/>
          <w:color w:val="4F5052"/>
        </w:rPr>
        <w:t>,</w:t>
      </w:r>
      <w:r>
        <w:rPr>
          <w:rFonts w:ascii="Arial" w:cs="Arial" w:eastAsia="Arial" w:hAnsi="Arial"/>
          <w:sz w:val="14"/>
          <w:szCs w:val="14"/>
          <w:color w:val="232628"/>
        </w:rPr>
        <w:t xml:space="preserve"> </w:t>
      </w:r>
      <w:r>
        <w:rPr>
          <w:rFonts w:ascii="Arial" w:cs="Arial" w:eastAsia="Arial" w:hAnsi="Arial"/>
          <w:sz w:val="14"/>
          <w:szCs w:val="14"/>
          <w:color w:val="36383B"/>
        </w:rPr>
        <w:t>Long-term</w:t>
      </w:r>
      <w:r>
        <w:rPr>
          <w:rFonts w:ascii="Arial" w:cs="Arial" w:eastAsia="Arial" w:hAnsi="Arial"/>
          <w:sz w:val="14"/>
          <w:szCs w:val="14"/>
          <w:color w:val="232628"/>
        </w:rPr>
        <w:t xml:space="preserve"> Disability</w:t>
      </w:r>
      <w:r>
        <w:rPr>
          <w:rFonts w:ascii="Arial" w:cs="Arial" w:eastAsia="Arial" w:hAnsi="Arial"/>
          <w:sz w:val="14"/>
          <w:szCs w:val="14"/>
          <w:color w:val="606467"/>
        </w:rPr>
        <w:t>,</w:t>
      </w:r>
      <w:r>
        <w:rPr>
          <w:rFonts w:ascii="Arial" w:cs="Arial" w:eastAsia="Arial" w:hAnsi="Arial"/>
          <w:sz w:val="14"/>
          <w:szCs w:val="14"/>
          <w:color w:val="232628"/>
        </w:rPr>
        <w:t xml:space="preserve"> </w:t>
      </w:r>
      <w:r>
        <w:rPr>
          <w:rFonts w:ascii="Arial" w:cs="Arial" w:eastAsia="Arial" w:hAnsi="Arial"/>
          <w:sz w:val="14"/>
          <w:szCs w:val="14"/>
          <w:color w:val="36383B"/>
        </w:rPr>
        <w:t>and</w:t>
      </w:r>
      <w:r>
        <w:rPr>
          <w:rFonts w:ascii="Arial" w:cs="Arial" w:eastAsia="Arial" w:hAnsi="Arial"/>
          <w:sz w:val="14"/>
          <w:szCs w:val="14"/>
          <w:color w:val="232628"/>
        </w:rPr>
        <w:t xml:space="preserve"> 401(k) </w:t>
      </w:r>
      <w:r>
        <w:rPr>
          <w:rFonts w:ascii="Arial" w:cs="Arial" w:eastAsia="Arial" w:hAnsi="Arial"/>
          <w:sz w:val="14"/>
          <w:szCs w:val="14"/>
          <w:color w:val="36383B"/>
        </w:rPr>
        <w:t>Savings</w:t>
      </w:r>
      <w:r>
        <w:rPr>
          <w:rFonts w:ascii="Arial" w:cs="Arial" w:eastAsia="Arial" w:hAnsi="Arial"/>
          <w:sz w:val="14"/>
          <w:szCs w:val="14"/>
          <w:color w:val="232628"/>
        </w:rPr>
        <w:t xml:space="preserve"> Plan. </w:t>
      </w:r>
      <w:r>
        <w:rPr>
          <w:rFonts w:ascii="Arial" w:cs="Arial" w:eastAsia="Arial" w:hAnsi="Arial"/>
          <w:sz w:val="14"/>
          <w:szCs w:val="14"/>
          <w:color w:val="36383B"/>
        </w:rPr>
        <w:t>Employee agrees and acknowledges that</w:t>
      </w:r>
      <w:r>
        <w:rPr>
          <w:rFonts w:ascii="Arial" w:cs="Arial" w:eastAsia="Arial" w:hAnsi="Arial"/>
          <w:sz w:val="14"/>
          <w:szCs w:val="14"/>
          <w:color w:val="232628"/>
        </w:rPr>
        <w:t xml:space="preserve"> after his </w:t>
      </w:r>
      <w:r>
        <w:rPr>
          <w:rFonts w:ascii="Arial" w:cs="Arial" w:eastAsia="Arial" w:hAnsi="Arial"/>
          <w:sz w:val="14"/>
          <w:szCs w:val="14"/>
          <w:color w:val="36383B"/>
        </w:rPr>
        <w:t>Notice</w:t>
      </w:r>
      <w:r>
        <w:rPr>
          <w:rFonts w:ascii="Arial" w:cs="Arial" w:eastAsia="Arial" w:hAnsi="Arial"/>
          <w:sz w:val="14"/>
          <w:szCs w:val="14"/>
          <w:color w:val="232628"/>
        </w:rPr>
        <w:t xml:space="preserve"> Date</w:t>
      </w:r>
      <w:r>
        <w:rPr>
          <w:rFonts w:ascii="Arial" w:cs="Arial" w:eastAsia="Arial" w:hAnsi="Arial"/>
          <w:sz w:val="14"/>
          <w:szCs w:val="14"/>
          <w:color w:val="606467"/>
        </w:rPr>
        <w:t>,</w:t>
      </w:r>
      <w:r>
        <w:rPr>
          <w:rFonts w:ascii="Arial" w:cs="Arial" w:eastAsia="Arial" w:hAnsi="Arial"/>
          <w:sz w:val="14"/>
          <w:szCs w:val="14"/>
          <w:color w:val="232628"/>
        </w:rPr>
        <w:t xml:space="preserve"> he </w:t>
      </w:r>
      <w:r>
        <w:rPr>
          <w:rFonts w:ascii="Arial" w:cs="Arial" w:eastAsia="Arial" w:hAnsi="Arial"/>
          <w:sz w:val="14"/>
          <w:szCs w:val="14"/>
          <w:color w:val="36383B"/>
        </w:rPr>
        <w:t>will</w:t>
      </w:r>
      <w:r>
        <w:rPr>
          <w:rFonts w:ascii="Arial" w:cs="Arial" w:eastAsia="Arial" w:hAnsi="Arial"/>
          <w:sz w:val="14"/>
          <w:szCs w:val="14"/>
          <w:color w:val="232628"/>
        </w:rPr>
        <w:t xml:space="preserve"> no longer be </w:t>
      </w:r>
      <w:r>
        <w:rPr>
          <w:rFonts w:ascii="Arial" w:cs="Arial" w:eastAsia="Arial" w:hAnsi="Arial"/>
          <w:sz w:val="14"/>
          <w:szCs w:val="14"/>
          <w:color w:val="36383B"/>
        </w:rPr>
        <w:t>eligible for</w:t>
      </w:r>
      <w:r>
        <w:rPr>
          <w:rFonts w:ascii="Arial" w:cs="Arial" w:eastAsia="Arial" w:hAnsi="Arial"/>
          <w:sz w:val="14"/>
          <w:szCs w:val="14"/>
          <w:color w:val="232628"/>
        </w:rPr>
        <w:t xml:space="preserve"> any benefits under the </w:t>
      </w:r>
      <w:r>
        <w:rPr>
          <w:rFonts w:ascii="Arial" w:cs="Arial" w:eastAsia="Arial" w:hAnsi="Arial"/>
          <w:sz w:val="14"/>
          <w:szCs w:val="14"/>
          <w:color w:val="36383B"/>
        </w:rPr>
        <w:t>Conduent Change</w:t>
      </w:r>
      <w:r>
        <w:rPr>
          <w:rFonts w:ascii="Arial" w:cs="Arial" w:eastAsia="Arial" w:hAnsi="Arial"/>
          <w:sz w:val="14"/>
          <w:szCs w:val="14"/>
          <w:color w:val="232628"/>
        </w:rPr>
        <w:t xml:space="preserve"> in </w:t>
      </w:r>
      <w:r>
        <w:rPr>
          <w:rFonts w:ascii="Arial" w:cs="Arial" w:eastAsia="Arial" w:hAnsi="Arial"/>
          <w:sz w:val="14"/>
          <w:szCs w:val="14"/>
          <w:color w:val="36383B"/>
        </w:rPr>
        <w:t>Control Severance Plan (CIC)</w:t>
      </w:r>
      <w:r>
        <w:rPr>
          <w:rFonts w:ascii="Arial" w:cs="Arial" w:eastAsia="Arial" w:hAnsi="Arial"/>
          <w:sz w:val="14"/>
          <w:szCs w:val="14"/>
          <w:color w:val="232628"/>
        </w:rPr>
        <w:t xml:space="preserve"> and in the event </w:t>
      </w:r>
      <w:r>
        <w:rPr>
          <w:rFonts w:ascii="Arial" w:cs="Arial" w:eastAsia="Arial" w:hAnsi="Arial"/>
          <w:sz w:val="14"/>
          <w:szCs w:val="14"/>
          <w:color w:val="36383B"/>
        </w:rPr>
        <w:t>of any conflict</w:t>
      </w:r>
      <w:r>
        <w:rPr>
          <w:rFonts w:ascii="Arial" w:cs="Arial" w:eastAsia="Arial" w:hAnsi="Arial"/>
          <w:sz w:val="14"/>
          <w:szCs w:val="14"/>
          <w:color w:val="232628"/>
        </w:rPr>
        <w:t xml:space="preserve"> between this </w:t>
      </w:r>
      <w:r>
        <w:rPr>
          <w:rFonts w:ascii="Arial" w:cs="Arial" w:eastAsia="Arial" w:hAnsi="Arial"/>
          <w:sz w:val="14"/>
          <w:szCs w:val="14"/>
          <w:color w:val="36383B"/>
        </w:rPr>
        <w:t xml:space="preserve">Agreement </w:t>
      </w:r>
      <w:r>
        <w:rPr>
          <w:rFonts w:ascii="Arial" w:cs="Arial" w:eastAsia="Arial" w:hAnsi="Arial"/>
          <w:sz w:val="14"/>
          <w:szCs w:val="14"/>
          <w:color w:val="232628"/>
        </w:rPr>
        <w:t>and the</w:t>
      </w:r>
      <w:r>
        <w:rPr>
          <w:rFonts w:ascii="Arial" w:cs="Arial" w:eastAsia="Arial" w:hAnsi="Arial"/>
          <w:sz w:val="14"/>
          <w:szCs w:val="14"/>
          <w:color w:val="36383B"/>
        </w:rPr>
        <w:t xml:space="preserve"> CIC</w:t>
      </w:r>
      <w:r>
        <w:rPr>
          <w:rFonts w:ascii="Arial" w:cs="Arial" w:eastAsia="Arial" w:hAnsi="Arial"/>
          <w:sz w:val="14"/>
          <w:szCs w:val="14"/>
          <w:color w:val="4F5052"/>
        </w:rPr>
        <w:t>,</w:t>
      </w:r>
      <w:r>
        <w:rPr>
          <w:rFonts w:ascii="Arial" w:cs="Arial" w:eastAsia="Arial" w:hAnsi="Arial"/>
          <w:sz w:val="14"/>
          <w:szCs w:val="14"/>
          <w:color w:val="36383B"/>
        </w:rPr>
        <w:t xml:space="preserve"> </w:t>
      </w:r>
      <w:r>
        <w:rPr>
          <w:rFonts w:ascii="Arial" w:cs="Arial" w:eastAsia="Arial" w:hAnsi="Arial"/>
          <w:sz w:val="14"/>
          <w:szCs w:val="14"/>
          <w:color w:val="232628"/>
        </w:rPr>
        <w:t>this Agreement</w:t>
      </w:r>
      <w:r>
        <w:rPr>
          <w:rFonts w:ascii="Arial" w:cs="Arial" w:eastAsia="Arial" w:hAnsi="Arial"/>
          <w:sz w:val="14"/>
          <w:szCs w:val="14"/>
          <w:color w:val="36383B"/>
        </w:rPr>
        <w:t xml:space="preserve"> shall control. Employee </w:t>
      </w:r>
      <w:r>
        <w:rPr>
          <w:rFonts w:ascii="Arial" w:cs="Arial" w:eastAsia="Arial" w:hAnsi="Arial"/>
          <w:sz w:val="14"/>
          <w:szCs w:val="14"/>
          <w:color w:val="232628"/>
        </w:rPr>
        <w:t>further</w:t>
      </w:r>
      <w:r>
        <w:rPr>
          <w:rFonts w:ascii="Arial" w:cs="Arial" w:eastAsia="Arial" w:hAnsi="Arial"/>
          <w:sz w:val="14"/>
          <w:szCs w:val="14"/>
          <w:color w:val="36383B"/>
        </w:rPr>
        <w:t xml:space="preserve"> agrees </w:t>
      </w:r>
      <w:r>
        <w:rPr>
          <w:rFonts w:ascii="Arial" w:cs="Arial" w:eastAsia="Arial" w:hAnsi="Arial"/>
          <w:sz w:val="14"/>
          <w:szCs w:val="14"/>
          <w:color w:val="232628"/>
        </w:rPr>
        <w:t>and</w:t>
      </w:r>
      <w:r>
        <w:rPr>
          <w:rFonts w:ascii="Arial" w:cs="Arial" w:eastAsia="Arial" w:hAnsi="Arial"/>
          <w:sz w:val="14"/>
          <w:szCs w:val="14"/>
          <w:color w:val="36383B"/>
        </w:rPr>
        <w:t xml:space="preserve"> acknowledges </w:t>
      </w:r>
      <w:r>
        <w:rPr>
          <w:rFonts w:ascii="Arial" w:cs="Arial" w:eastAsia="Arial" w:hAnsi="Arial"/>
          <w:sz w:val="14"/>
          <w:szCs w:val="14"/>
          <w:color w:val="232628"/>
        </w:rPr>
        <w:t>that</w:t>
      </w:r>
      <w:r>
        <w:rPr>
          <w:rFonts w:ascii="Arial" w:cs="Arial" w:eastAsia="Arial" w:hAnsi="Arial"/>
          <w:sz w:val="14"/>
          <w:szCs w:val="14"/>
          <w:color w:val="36383B"/>
        </w:rPr>
        <w:t xml:space="preserve"> after </w:t>
      </w:r>
      <w:r>
        <w:rPr>
          <w:rFonts w:ascii="Arial" w:cs="Arial" w:eastAsia="Arial" w:hAnsi="Arial"/>
          <w:sz w:val="14"/>
          <w:szCs w:val="14"/>
          <w:color w:val="232628"/>
        </w:rPr>
        <w:t>his</w:t>
      </w:r>
      <w:r>
        <w:rPr>
          <w:rFonts w:ascii="Arial" w:cs="Arial" w:eastAsia="Arial" w:hAnsi="Arial"/>
          <w:sz w:val="14"/>
          <w:szCs w:val="14"/>
          <w:color w:val="36383B"/>
        </w:rPr>
        <w:t xml:space="preserve"> Last </w:t>
      </w:r>
      <w:r>
        <w:rPr>
          <w:rFonts w:ascii="Arial" w:cs="Arial" w:eastAsia="Arial" w:hAnsi="Arial"/>
          <w:sz w:val="14"/>
          <w:szCs w:val="14"/>
          <w:color w:val="232628"/>
        </w:rPr>
        <w:t>Day of Active</w:t>
      </w:r>
      <w:r>
        <w:rPr>
          <w:rFonts w:ascii="Arial" w:cs="Arial" w:eastAsia="Arial" w:hAnsi="Arial"/>
          <w:sz w:val="14"/>
          <w:szCs w:val="14"/>
          <w:color w:val="36383B"/>
        </w:rPr>
        <w:t xml:space="preserve"> Employment, </w:t>
      </w:r>
      <w:r>
        <w:rPr>
          <w:rFonts w:ascii="Arial" w:cs="Arial" w:eastAsia="Arial" w:hAnsi="Arial"/>
          <w:sz w:val="14"/>
          <w:szCs w:val="14"/>
          <w:color w:val="232628"/>
        </w:rPr>
        <w:t>he</w:t>
      </w:r>
      <w:r>
        <w:rPr>
          <w:rFonts w:ascii="Arial" w:cs="Arial" w:eastAsia="Arial" w:hAnsi="Arial"/>
          <w:sz w:val="14"/>
          <w:szCs w:val="14"/>
          <w:color w:val="36383B"/>
        </w:rPr>
        <w:t xml:space="preserve"> will </w:t>
      </w:r>
      <w:r>
        <w:rPr>
          <w:rFonts w:ascii="Arial" w:cs="Arial" w:eastAsia="Arial" w:hAnsi="Arial"/>
          <w:sz w:val="14"/>
          <w:szCs w:val="14"/>
          <w:color w:val="232628"/>
        </w:rPr>
        <w:t>no</w:t>
      </w:r>
      <w:r>
        <w:rPr>
          <w:rFonts w:ascii="Arial" w:cs="Arial" w:eastAsia="Arial" w:hAnsi="Arial"/>
          <w:sz w:val="14"/>
          <w:szCs w:val="14"/>
          <w:color w:val="36383B"/>
        </w:rPr>
        <w:t xml:space="preserve"> longer be </w:t>
      </w:r>
      <w:r>
        <w:rPr>
          <w:rFonts w:ascii="Arial" w:cs="Arial" w:eastAsia="Arial" w:hAnsi="Arial"/>
          <w:sz w:val="14"/>
          <w:szCs w:val="14"/>
          <w:color w:val="4F5052"/>
        </w:rPr>
        <w:t>e</w:t>
      </w:r>
      <w:r>
        <w:rPr>
          <w:rFonts w:ascii="Arial" w:cs="Arial" w:eastAsia="Arial" w:hAnsi="Arial"/>
          <w:sz w:val="14"/>
          <w:szCs w:val="14"/>
          <w:color w:val="232628"/>
        </w:rPr>
        <w:t>ligible</w:t>
      </w:r>
      <w:r>
        <w:rPr>
          <w:rFonts w:ascii="Arial" w:cs="Arial" w:eastAsia="Arial" w:hAnsi="Arial"/>
          <w:sz w:val="14"/>
          <w:szCs w:val="14"/>
          <w:color w:val="36383B"/>
        </w:rPr>
        <w:t xml:space="preserve"> for any </w:t>
      </w:r>
      <w:r>
        <w:rPr>
          <w:rFonts w:ascii="Arial" w:cs="Arial" w:eastAsia="Arial" w:hAnsi="Arial"/>
          <w:sz w:val="14"/>
          <w:szCs w:val="14"/>
          <w:color w:val="232628"/>
        </w:rPr>
        <w:t>executive 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671385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9240" w:val="left"/>
        </w:tabs>
        <w:rPr>
          <w:sz w:val="20"/>
          <w:szCs w:val="20"/>
          <w:color w:val="auto"/>
        </w:rPr>
      </w:pPr>
      <w:r>
        <w:rPr>
          <w:rFonts w:ascii="Arial" w:cs="Arial" w:eastAsia="Arial" w:hAnsi="Arial"/>
          <w:sz w:val="11"/>
          <w:szCs w:val="11"/>
          <w:color w:val="auto"/>
        </w:rPr>
        <w:t>Separation Agreement And General Release/J. Michael Peffer</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460"/>
          </w:cols>
          <w:pgMar w:left="220" w:top="317"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3051F2"/>
        </w:rPr>
        <w:t>EXHIBIT 10.6(f)(i)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0" w:right="60" w:hanging="255"/>
        <w:spacing w:after="0" w:line="234" w:lineRule="auto"/>
        <w:tabs>
          <w:tab w:leader="none" w:pos="250"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212326"/>
        </w:rPr>
        <w:t xml:space="preserve">Equity and 2019 Bonus. </w:t>
      </w:r>
      <w:r>
        <w:rPr>
          <w:rFonts w:ascii="Arial" w:cs="Arial" w:eastAsia="Arial" w:hAnsi="Arial"/>
          <w:sz w:val="14"/>
          <w:szCs w:val="14"/>
          <w:color w:val="333638"/>
        </w:rPr>
        <w:t>The vesting of Employee's equity awards (including</w:t>
      </w:r>
      <w:r>
        <w:rPr>
          <w:rFonts w:ascii="Arial" w:cs="Arial" w:eastAsia="Arial" w:hAnsi="Arial"/>
          <w:sz w:val="14"/>
          <w:szCs w:val="14"/>
          <w:b w:val="1"/>
          <w:bCs w:val="1"/>
          <w:color w:val="212326"/>
        </w:rPr>
        <w:t xml:space="preserve"> </w:t>
      </w:r>
      <w:r>
        <w:rPr>
          <w:rFonts w:ascii="Arial" w:cs="Arial" w:eastAsia="Arial" w:hAnsi="Arial"/>
          <w:sz w:val="14"/>
          <w:szCs w:val="14"/>
          <w:color w:val="212326"/>
        </w:rPr>
        <w:t>restricted</w:t>
      </w:r>
      <w:r>
        <w:rPr>
          <w:rFonts w:ascii="Arial" w:cs="Arial" w:eastAsia="Arial" w:hAnsi="Arial"/>
          <w:sz w:val="14"/>
          <w:szCs w:val="14"/>
          <w:b w:val="1"/>
          <w:bCs w:val="1"/>
          <w:color w:val="212326"/>
        </w:rPr>
        <w:t xml:space="preserve"> </w:t>
      </w:r>
      <w:r>
        <w:rPr>
          <w:rFonts w:ascii="Arial" w:cs="Arial" w:eastAsia="Arial" w:hAnsi="Arial"/>
          <w:sz w:val="14"/>
          <w:szCs w:val="14"/>
          <w:color w:val="333638"/>
        </w:rPr>
        <w:t>stock</w:t>
      </w:r>
      <w:r>
        <w:rPr>
          <w:rFonts w:ascii="Arial" w:cs="Arial" w:eastAsia="Arial" w:hAnsi="Arial"/>
          <w:sz w:val="14"/>
          <w:szCs w:val="14"/>
          <w:b w:val="1"/>
          <w:bCs w:val="1"/>
          <w:color w:val="212326"/>
        </w:rPr>
        <w:t xml:space="preserve"> </w:t>
      </w:r>
      <w:r>
        <w:rPr>
          <w:rFonts w:ascii="Arial" w:cs="Arial" w:eastAsia="Arial" w:hAnsi="Arial"/>
          <w:sz w:val="14"/>
          <w:szCs w:val="14"/>
          <w:color w:val="212326"/>
        </w:rPr>
        <w:t>units</w:t>
      </w:r>
      <w:r>
        <w:rPr>
          <w:rFonts w:ascii="Arial" w:cs="Arial" w:eastAsia="Arial" w:hAnsi="Arial"/>
          <w:sz w:val="14"/>
          <w:szCs w:val="14"/>
          <w:b w:val="1"/>
          <w:bCs w:val="1"/>
          <w:color w:val="212326"/>
        </w:rPr>
        <w:t xml:space="preserve"> </w:t>
      </w:r>
      <w:r>
        <w:rPr>
          <w:rFonts w:ascii="Arial" w:cs="Arial" w:eastAsia="Arial" w:hAnsi="Arial"/>
          <w:sz w:val="14"/>
          <w:szCs w:val="14"/>
          <w:color w:val="333638"/>
        </w:rPr>
        <w:t>and</w:t>
      </w:r>
      <w:r>
        <w:rPr>
          <w:rFonts w:ascii="Arial" w:cs="Arial" w:eastAsia="Arial" w:hAnsi="Arial"/>
          <w:sz w:val="14"/>
          <w:szCs w:val="14"/>
          <w:b w:val="1"/>
          <w:bCs w:val="1"/>
          <w:color w:val="212326"/>
        </w:rPr>
        <w:t xml:space="preserve"> </w:t>
      </w:r>
      <w:r>
        <w:rPr>
          <w:rFonts w:ascii="Arial" w:cs="Arial" w:eastAsia="Arial" w:hAnsi="Arial"/>
          <w:sz w:val="14"/>
          <w:szCs w:val="14"/>
          <w:color w:val="212326"/>
        </w:rPr>
        <w:t>performance</w:t>
      </w:r>
      <w:r>
        <w:rPr>
          <w:rFonts w:ascii="Arial" w:cs="Arial" w:eastAsia="Arial" w:hAnsi="Arial"/>
          <w:sz w:val="14"/>
          <w:szCs w:val="14"/>
          <w:b w:val="1"/>
          <w:bCs w:val="1"/>
          <w:color w:val="212326"/>
        </w:rPr>
        <w:t xml:space="preserve"> </w:t>
      </w:r>
      <w:r>
        <w:rPr>
          <w:rFonts w:ascii="Arial" w:cs="Arial" w:eastAsia="Arial" w:hAnsi="Arial"/>
          <w:sz w:val="14"/>
          <w:szCs w:val="14"/>
          <w:color w:val="333638"/>
        </w:rPr>
        <w:t>share awards) shall</w:t>
      </w:r>
      <w:r>
        <w:rPr>
          <w:rFonts w:ascii="Arial" w:cs="Arial" w:eastAsia="Arial" w:hAnsi="Arial"/>
          <w:sz w:val="14"/>
          <w:szCs w:val="14"/>
          <w:b w:val="1"/>
          <w:bCs w:val="1"/>
          <w:color w:val="212326"/>
        </w:rPr>
        <w:t xml:space="preserve"> </w:t>
      </w:r>
      <w:r>
        <w:rPr>
          <w:rFonts w:ascii="Arial" w:cs="Arial" w:eastAsia="Arial" w:hAnsi="Arial"/>
          <w:sz w:val="14"/>
          <w:szCs w:val="14"/>
          <w:color w:val="212326"/>
        </w:rPr>
        <w:t>be determined in</w:t>
      </w:r>
      <w:r>
        <w:rPr>
          <w:rFonts w:ascii="Arial" w:cs="Arial" w:eastAsia="Arial" w:hAnsi="Arial"/>
          <w:sz w:val="14"/>
          <w:szCs w:val="14"/>
          <w:b w:val="1"/>
          <w:bCs w:val="1"/>
          <w:color w:val="212326"/>
        </w:rPr>
        <w:t xml:space="preserve"> </w:t>
      </w:r>
      <w:r>
        <w:rPr>
          <w:rFonts w:ascii="Arial" w:cs="Arial" w:eastAsia="Arial" w:hAnsi="Arial"/>
          <w:sz w:val="14"/>
          <w:szCs w:val="14"/>
          <w:color w:val="333638"/>
        </w:rPr>
        <w:t>accordance with</w:t>
      </w:r>
      <w:r>
        <w:rPr>
          <w:rFonts w:ascii="Arial" w:cs="Arial" w:eastAsia="Arial" w:hAnsi="Arial"/>
          <w:sz w:val="14"/>
          <w:szCs w:val="14"/>
          <w:b w:val="1"/>
          <w:bCs w:val="1"/>
          <w:color w:val="212326"/>
        </w:rPr>
        <w:t xml:space="preserve"> </w:t>
      </w:r>
      <w:r>
        <w:rPr>
          <w:rFonts w:ascii="Arial" w:cs="Arial" w:eastAsia="Arial" w:hAnsi="Arial"/>
          <w:sz w:val="14"/>
          <w:szCs w:val="14"/>
          <w:color w:val="212326"/>
        </w:rPr>
        <w:t xml:space="preserve">the </w:t>
      </w:r>
      <w:r>
        <w:rPr>
          <w:rFonts w:ascii="Arial" w:cs="Arial" w:eastAsia="Arial" w:hAnsi="Arial"/>
          <w:sz w:val="14"/>
          <w:szCs w:val="14"/>
          <w:color w:val="333638"/>
        </w:rPr>
        <w:t>terms and conditions of the applicable equity</w:t>
      </w:r>
      <w:r>
        <w:rPr>
          <w:rFonts w:ascii="Arial" w:cs="Arial" w:eastAsia="Arial" w:hAnsi="Arial"/>
          <w:sz w:val="14"/>
          <w:szCs w:val="14"/>
          <w:color w:val="212326"/>
        </w:rPr>
        <w:t xml:space="preserve"> plan </w:t>
      </w:r>
      <w:r>
        <w:rPr>
          <w:rFonts w:ascii="Arial" w:cs="Arial" w:eastAsia="Arial" w:hAnsi="Arial"/>
          <w:sz w:val="14"/>
          <w:szCs w:val="14"/>
          <w:color w:val="333638"/>
        </w:rPr>
        <w:t>documents.</w:t>
      </w:r>
      <w:r>
        <w:rPr>
          <w:rFonts w:ascii="Arial" w:cs="Arial" w:eastAsia="Arial" w:hAnsi="Arial"/>
          <w:sz w:val="14"/>
          <w:szCs w:val="14"/>
          <w:color w:val="212326"/>
        </w:rPr>
        <w:t xml:space="preserve"> In </w:t>
      </w:r>
      <w:r>
        <w:rPr>
          <w:rFonts w:ascii="Arial" w:cs="Arial" w:eastAsia="Arial" w:hAnsi="Arial"/>
          <w:sz w:val="14"/>
          <w:szCs w:val="14"/>
          <w:color w:val="333638"/>
        </w:rPr>
        <w:t>the event of a</w:t>
      </w:r>
      <w:r>
        <w:rPr>
          <w:rFonts w:ascii="Arial" w:cs="Arial" w:eastAsia="Arial" w:hAnsi="Arial"/>
          <w:sz w:val="14"/>
          <w:szCs w:val="14"/>
          <w:color w:val="212326"/>
        </w:rPr>
        <w:t xml:space="preserve"> conflict </w:t>
      </w:r>
      <w:r>
        <w:rPr>
          <w:rFonts w:ascii="Arial" w:cs="Arial" w:eastAsia="Arial" w:hAnsi="Arial"/>
          <w:sz w:val="14"/>
          <w:szCs w:val="14"/>
          <w:color w:val="333638"/>
        </w:rPr>
        <w:t>or</w:t>
      </w:r>
      <w:r>
        <w:rPr>
          <w:rFonts w:ascii="Arial" w:cs="Arial" w:eastAsia="Arial" w:hAnsi="Arial"/>
          <w:sz w:val="14"/>
          <w:szCs w:val="14"/>
          <w:color w:val="212326"/>
        </w:rPr>
        <w:t xml:space="preserve"> discrepancy between this </w:t>
      </w:r>
      <w:r>
        <w:rPr>
          <w:rFonts w:ascii="Arial" w:cs="Arial" w:eastAsia="Arial" w:hAnsi="Arial"/>
          <w:sz w:val="14"/>
          <w:szCs w:val="14"/>
          <w:color w:val="333638"/>
        </w:rPr>
        <w:t>Agreement</w:t>
      </w:r>
      <w:r>
        <w:rPr>
          <w:rFonts w:ascii="Arial" w:cs="Arial" w:eastAsia="Arial" w:hAnsi="Arial"/>
          <w:sz w:val="14"/>
          <w:szCs w:val="14"/>
          <w:color w:val="212326"/>
        </w:rPr>
        <w:t xml:space="preserve"> and </w:t>
      </w:r>
      <w:r>
        <w:rPr>
          <w:rFonts w:ascii="Arial" w:cs="Arial" w:eastAsia="Arial" w:hAnsi="Arial"/>
          <w:sz w:val="14"/>
          <w:szCs w:val="14"/>
          <w:color w:val="333638"/>
        </w:rPr>
        <w:t>any equity</w:t>
      </w:r>
      <w:r>
        <w:rPr>
          <w:rFonts w:ascii="Arial" w:cs="Arial" w:eastAsia="Arial" w:hAnsi="Arial"/>
          <w:sz w:val="14"/>
          <w:szCs w:val="14"/>
          <w:color w:val="212326"/>
        </w:rPr>
        <w:t xml:space="preserve"> plan </w:t>
      </w:r>
      <w:r>
        <w:rPr>
          <w:rFonts w:ascii="Arial" w:cs="Arial" w:eastAsia="Arial" w:hAnsi="Arial"/>
          <w:sz w:val="14"/>
          <w:szCs w:val="14"/>
          <w:color w:val="333638"/>
        </w:rPr>
        <w:t>document, the</w:t>
      </w:r>
      <w:r>
        <w:rPr>
          <w:rFonts w:ascii="Arial" w:cs="Arial" w:eastAsia="Arial" w:hAnsi="Arial"/>
          <w:sz w:val="14"/>
          <w:szCs w:val="14"/>
          <w:color w:val="212326"/>
        </w:rPr>
        <w:t xml:space="preserve"> </w:t>
      </w:r>
      <w:r>
        <w:rPr>
          <w:rFonts w:ascii="Arial" w:cs="Arial" w:eastAsia="Arial" w:hAnsi="Arial"/>
          <w:sz w:val="14"/>
          <w:szCs w:val="14"/>
          <w:color w:val="333638"/>
        </w:rPr>
        <w:t xml:space="preserve">applicable equity </w:t>
      </w:r>
      <w:r>
        <w:rPr>
          <w:rFonts w:ascii="Arial" w:cs="Arial" w:eastAsia="Arial" w:hAnsi="Arial"/>
          <w:sz w:val="14"/>
          <w:szCs w:val="14"/>
          <w:color w:val="212326"/>
        </w:rPr>
        <w:t>plan document</w:t>
      </w:r>
      <w:r>
        <w:rPr>
          <w:rFonts w:ascii="Arial" w:cs="Arial" w:eastAsia="Arial" w:hAnsi="Arial"/>
          <w:sz w:val="14"/>
          <w:szCs w:val="14"/>
          <w:color w:val="333638"/>
        </w:rPr>
        <w:t xml:space="preserve"> shall control. Employee </w:t>
      </w:r>
      <w:r>
        <w:rPr>
          <w:rFonts w:ascii="Arial" w:cs="Arial" w:eastAsia="Arial" w:hAnsi="Arial"/>
          <w:sz w:val="14"/>
          <w:szCs w:val="14"/>
          <w:color w:val="212326"/>
        </w:rPr>
        <w:t>understands</w:t>
      </w:r>
      <w:r>
        <w:rPr>
          <w:rFonts w:ascii="Arial" w:cs="Arial" w:eastAsia="Arial" w:hAnsi="Arial"/>
          <w:sz w:val="14"/>
          <w:szCs w:val="14"/>
          <w:color w:val="333638"/>
        </w:rPr>
        <w:t xml:space="preserve"> and acknowledges that </w:t>
      </w:r>
      <w:r>
        <w:rPr>
          <w:rFonts w:ascii="Arial" w:cs="Arial" w:eastAsia="Arial" w:hAnsi="Arial"/>
          <w:sz w:val="14"/>
          <w:szCs w:val="14"/>
          <w:color w:val="212326"/>
        </w:rPr>
        <w:t>the</w:t>
      </w:r>
      <w:r>
        <w:rPr>
          <w:rFonts w:ascii="Arial" w:cs="Arial" w:eastAsia="Arial" w:hAnsi="Arial"/>
          <w:sz w:val="14"/>
          <w:szCs w:val="14"/>
          <w:color w:val="333638"/>
        </w:rPr>
        <w:t xml:space="preserve"> vesting of </w:t>
      </w:r>
      <w:r>
        <w:rPr>
          <w:rFonts w:ascii="Arial" w:cs="Arial" w:eastAsia="Arial" w:hAnsi="Arial"/>
          <w:sz w:val="14"/>
          <w:szCs w:val="14"/>
          <w:color w:val="212326"/>
        </w:rPr>
        <w:t>his equity awards</w:t>
      </w:r>
      <w:r>
        <w:rPr>
          <w:rFonts w:ascii="Arial" w:cs="Arial" w:eastAsia="Arial" w:hAnsi="Arial"/>
          <w:sz w:val="14"/>
          <w:szCs w:val="14"/>
          <w:color w:val="333638"/>
        </w:rPr>
        <w:t xml:space="preserve"> is </w:t>
      </w:r>
      <w:r>
        <w:rPr>
          <w:rFonts w:ascii="Arial" w:cs="Arial" w:eastAsia="Arial" w:hAnsi="Arial"/>
          <w:sz w:val="14"/>
          <w:szCs w:val="14"/>
          <w:color w:val="212326"/>
        </w:rPr>
        <w:t>contingent upon</w:t>
      </w:r>
      <w:r>
        <w:rPr>
          <w:rFonts w:ascii="Arial" w:cs="Arial" w:eastAsia="Arial" w:hAnsi="Arial"/>
          <w:sz w:val="14"/>
          <w:szCs w:val="14"/>
          <w:color w:val="333638"/>
        </w:rPr>
        <w:t xml:space="preserve"> Employee's execution and </w:t>
      </w:r>
      <w:r>
        <w:rPr>
          <w:rFonts w:ascii="Arial" w:cs="Arial" w:eastAsia="Arial" w:hAnsi="Arial"/>
          <w:sz w:val="14"/>
          <w:szCs w:val="14"/>
          <w:color w:val="212326"/>
        </w:rPr>
        <w:t xml:space="preserve">non revocation </w:t>
      </w:r>
      <w:r>
        <w:rPr>
          <w:rFonts w:ascii="Arial" w:cs="Arial" w:eastAsia="Arial" w:hAnsi="Arial"/>
          <w:sz w:val="14"/>
          <w:szCs w:val="14"/>
          <w:color w:val="333638"/>
        </w:rPr>
        <w:t>of</w:t>
      </w:r>
      <w:r>
        <w:rPr>
          <w:rFonts w:ascii="Arial" w:cs="Arial" w:eastAsia="Arial" w:hAnsi="Arial"/>
          <w:sz w:val="14"/>
          <w:szCs w:val="14"/>
          <w:color w:val="212326"/>
        </w:rPr>
        <w:t xml:space="preserve"> this </w:t>
      </w:r>
      <w:r>
        <w:rPr>
          <w:rFonts w:ascii="Arial" w:cs="Arial" w:eastAsia="Arial" w:hAnsi="Arial"/>
          <w:sz w:val="14"/>
          <w:szCs w:val="14"/>
          <w:color w:val="333638"/>
        </w:rPr>
        <w:t>Agreement containing a</w:t>
      </w:r>
      <w:r>
        <w:rPr>
          <w:rFonts w:ascii="Arial" w:cs="Arial" w:eastAsia="Arial" w:hAnsi="Arial"/>
          <w:sz w:val="14"/>
          <w:szCs w:val="14"/>
          <w:color w:val="212326"/>
        </w:rPr>
        <w:t xml:space="preserve"> full </w:t>
      </w:r>
      <w:r>
        <w:rPr>
          <w:rFonts w:ascii="Arial" w:cs="Arial" w:eastAsia="Arial" w:hAnsi="Arial"/>
          <w:sz w:val="14"/>
          <w:szCs w:val="14"/>
          <w:color w:val="333638"/>
        </w:rPr>
        <w:t>release of all</w:t>
      </w:r>
      <w:r>
        <w:rPr>
          <w:rFonts w:ascii="Arial" w:cs="Arial" w:eastAsia="Arial" w:hAnsi="Arial"/>
          <w:sz w:val="14"/>
          <w:szCs w:val="14"/>
          <w:color w:val="212326"/>
        </w:rPr>
        <w:t xml:space="preserve"> claims. </w:t>
      </w:r>
      <w:r>
        <w:rPr>
          <w:rFonts w:ascii="Arial" w:cs="Arial" w:eastAsia="Arial" w:hAnsi="Arial"/>
          <w:sz w:val="14"/>
          <w:szCs w:val="14"/>
          <w:color w:val="333638"/>
        </w:rPr>
        <w:t>Employee</w:t>
      </w:r>
      <w:r>
        <w:rPr>
          <w:rFonts w:ascii="Arial" w:cs="Arial" w:eastAsia="Arial" w:hAnsi="Arial"/>
          <w:sz w:val="14"/>
          <w:szCs w:val="14"/>
          <w:color w:val="212326"/>
        </w:rPr>
        <w:t xml:space="preserve"> and </w:t>
      </w:r>
      <w:r>
        <w:rPr>
          <w:rFonts w:ascii="Arial" w:cs="Arial" w:eastAsia="Arial" w:hAnsi="Arial"/>
          <w:sz w:val="14"/>
          <w:szCs w:val="14"/>
          <w:color w:val="333638"/>
        </w:rPr>
        <w:t>Company agree that the</w:t>
      </w:r>
      <w:r>
        <w:rPr>
          <w:rFonts w:ascii="Arial" w:cs="Arial" w:eastAsia="Arial" w:hAnsi="Arial"/>
          <w:sz w:val="14"/>
          <w:szCs w:val="14"/>
          <w:color w:val="212326"/>
        </w:rPr>
        <w:t xml:space="preserve"> reason </w:t>
      </w:r>
      <w:r>
        <w:rPr>
          <w:rFonts w:ascii="Arial" w:cs="Arial" w:eastAsia="Arial" w:hAnsi="Arial"/>
          <w:sz w:val="14"/>
          <w:szCs w:val="14"/>
          <w:color w:val="333638"/>
        </w:rPr>
        <w:t>for Employee</w:t>
      </w:r>
      <w:r>
        <w:rPr>
          <w:rFonts w:ascii="Arial" w:cs="Arial" w:eastAsia="Arial" w:hAnsi="Arial"/>
          <w:sz w:val="14"/>
          <w:szCs w:val="14"/>
          <w:color w:val="56595B"/>
        </w:rPr>
        <w:t>'</w:t>
      </w:r>
      <w:r>
        <w:rPr>
          <w:rFonts w:ascii="Arial" w:cs="Arial" w:eastAsia="Arial" w:hAnsi="Arial"/>
          <w:sz w:val="14"/>
          <w:szCs w:val="14"/>
          <w:color w:val="212326"/>
        </w:rPr>
        <w:t xml:space="preserve"> </w:t>
      </w:r>
      <w:r>
        <w:rPr>
          <w:rFonts w:ascii="Arial" w:cs="Arial" w:eastAsia="Arial" w:hAnsi="Arial"/>
          <w:sz w:val="14"/>
          <w:szCs w:val="14"/>
          <w:color w:val="333638"/>
        </w:rPr>
        <w:t>s separation is</w:t>
      </w:r>
      <w:r>
        <w:rPr>
          <w:rFonts w:ascii="Arial" w:cs="Arial" w:eastAsia="Arial" w:hAnsi="Arial"/>
          <w:sz w:val="14"/>
          <w:szCs w:val="14"/>
          <w:color w:val="212326"/>
        </w:rPr>
        <w:t xml:space="preserve"> not </w:t>
      </w:r>
      <w:r>
        <w:rPr>
          <w:rFonts w:ascii="Arial" w:cs="Arial" w:eastAsia="Arial" w:hAnsi="Arial"/>
          <w:sz w:val="14"/>
          <w:szCs w:val="14"/>
          <w:color w:val="333638"/>
        </w:rPr>
        <w:t>for Cause (as</w:t>
      </w:r>
      <w:r>
        <w:rPr>
          <w:rFonts w:ascii="Arial" w:cs="Arial" w:eastAsia="Arial" w:hAnsi="Arial"/>
          <w:sz w:val="14"/>
          <w:szCs w:val="14"/>
          <w:color w:val="212326"/>
        </w:rPr>
        <w:t xml:space="preserve"> defined in the applicable </w:t>
      </w:r>
      <w:r>
        <w:rPr>
          <w:rFonts w:ascii="Arial" w:cs="Arial" w:eastAsia="Arial" w:hAnsi="Arial"/>
          <w:sz w:val="14"/>
          <w:szCs w:val="14"/>
          <w:color w:val="333638"/>
        </w:rPr>
        <w:t>equity</w:t>
      </w:r>
      <w:r>
        <w:rPr>
          <w:rFonts w:ascii="Arial" w:cs="Arial" w:eastAsia="Arial" w:hAnsi="Arial"/>
          <w:sz w:val="14"/>
          <w:szCs w:val="14"/>
          <w:color w:val="212326"/>
        </w:rPr>
        <w:t xml:space="preserve"> plan documents) </w:t>
      </w:r>
      <w:r>
        <w:rPr>
          <w:rFonts w:ascii="Arial" w:cs="Arial" w:eastAsia="Arial" w:hAnsi="Arial"/>
          <w:sz w:val="14"/>
          <w:szCs w:val="14"/>
          <w:color w:val="333638"/>
        </w:rPr>
        <w:t>and that Employee will not vest</w:t>
      </w:r>
      <w:r>
        <w:rPr>
          <w:rFonts w:ascii="Arial" w:cs="Arial" w:eastAsia="Arial" w:hAnsi="Arial"/>
          <w:sz w:val="14"/>
          <w:szCs w:val="14"/>
          <w:color w:val="212326"/>
        </w:rPr>
        <w:t xml:space="preserve"> in </w:t>
      </w:r>
      <w:r>
        <w:rPr>
          <w:rFonts w:ascii="Arial" w:cs="Arial" w:eastAsia="Arial" w:hAnsi="Arial"/>
          <w:sz w:val="14"/>
          <w:szCs w:val="14"/>
          <w:color w:val="333638"/>
        </w:rPr>
        <w:t>any awards while receiving salary and</w:t>
      </w:r>
      <w:r>
        <w:rPr>
          <w:rFonts w:ascii="Arial" w:cs="Arial" w:eastAsia="Arial" w:hAnsi="Arial"/>
          <w:sz w:val="14"/>
          <w:szCs w:val="14"/>
          <w:color w:val="212326"/>
        </w:rPr>
        <w:t xml:space="preserve"> benefits </w:t>
      </w:r>
      <w:r>
        <w:rPr>
          <w:rFonts w:ascii="Arial" w:cs="Arial" w:eastAsia="Arial" w:hAnsi="Arial"/>
          <w:sz w:val="14"/>
          <w:szCs w:val="14"/>
          <w:color w:val="333638"/>
        </w:rPr>
        <w:t>continuation. Notwithstanding any</w:t>
      </w:r>
      <w:r>
        <w:rPr>
          <w:rFonts w:ascii="Arial" w:cs="Arial" w:eastAsia="Arial" w:hAnsi="Arial"/>
          <w:sz w:val="14"/>
          <w:szCs w:val="14"/>
          <w:color w:val="212326"/>
        </w:rPr>
        <w:t xml:space="preserve"> provision </w:t>
      </w:r>
      <w:r>
        <w:rPr>
          <w:rFonts w:ascii="Arial" w:cs="Arial" w:eastAsia="Arial" w:hAnsi="Arial"/>
          <w:sz w:val="14"/>
          <w:szCs w:val="14"/>
          <w:color w:val="333638"/>
        </w:rPr>
        <w:t>to</w:t>
      </w:r>
      <w:r>
        <w:rPr>
          <w:rFonts w:ascii="Arial" w:cs="Arial" w:eastAsia="Arial" w:hAnsi="Arial"/>
          <w:sz w:val="14"/>
          <w:szCs w:val="14"/>
          <w:color w:val="212326"/>
        </w:rPr>
        <w:t xml:space="preserve"> the </w:t>
      </w:r>
      <w:r>
        <w:rPr>
          <w:rFonts w:ascii="Arial" w:cs="Arial" w:eastAsia="Arial" w:hAnsi="Arial"/>
          <w:sz w:val="14"/>
          <w:szCs w:val="14"/>
          <w:color w:val="333638"/>
        </w:rPr>
        <w:t>contrary</w:t>
      </w:r>
      <w:r>
        <w:rPr>
          <w:rFonts w:ascii="Arial" w:cs="Arial" w:eastAsia="Arial" w:hAnsi="Arial"/>
          <w:sz w:val="14"/>
          <w:szCs w:val="14"/>
          <w:color w:val="212326"/>
        </w:rPr>
        <w:t xml:space="preserve"> in the 2019 Annual Performance Incentive Plan</w:t>
      </w:r>
      <w:r>
        <w:rPr>
          <w:rFonts w:ascii="Arial" w:cs="Arial" w:eastAsia="Arial" w:hAnsi="Arial"/>
          <w:sz w:val="14"/>
          <w:szCs w:val="14"/>
          <w:color w:val="56595B"/>
        </w:rPr>
        <w:t>,</w:t>
      </w:r>
      <w:r>
        <w:rPr>
          <w:rFonts w:ascii="Arial" w:cs="Arial" w:eastAsia="Arial" w:hAnsi="Arial"/>
          <w:sz w:val="14"/>
          <w:szCs w:val="14"/>
          <w:color w:val="212326"/>
        </w:rPr>
        <w:t xml:space="preserve"> </w:t>
      </w:r>
      <w:r>
        <w:rPr>
          <w:rFonts w:ascii="Arial" w:cs="Arial" w:eastAsia="Arial" w:hAnsi="Arial"/>
          <w:sz w:val="14"/>
          <w:szCs w:val="14"/>
          <w:color w:val="333638"/>
        </w:rPr>
        <w:t>Employee agrees and acknowledges</w:t>
      </w:r>
      <w:r>
        <w:rPr>
          <w:rFonts w:ascii="Arial" w:cs="Arial" w:eastAsia="Arial" w:hAnsi="Arial"/>
          <w:sz w:val="14"/>
          <w:szCs w:val="14"/>
          <w:color w:val="212326"/>
        </w:rPr>
        <w:t xml:space="preserve"> that he will not be </w:t>
      </w:r>
      <w:r>
        <w:rPr>
          <w:rFonts w:ascii="Arial" w:cs="Arial" w:eastAsia="Arial" w:hAnsi="Arial"/>
          <w:sz w:val="14"/>
          <w:szCs w:val="14"/>
          <w:color w:val="333638"/>
        </w:rPr>
        <w:t>eligible</w:t>
      </w:r>
      <w:r>
        <w:rPr>
          <w:rFonts w:ascii="Arial" w:cs="Arial" w:eastAsia="Arial" w:hAnsi="Arial"/>
          <w:sz w:val="14"/>
          <w:szCs w:val="14"/>
          <w:color w:val="212326"/>
        </w:rPr>
        <w:t xml:space="preserve"> to receive </w:t>
      </w:r>
      <w:r>
        <w:rPr>
          <w:rFonts w:ascii="Arial" w:cs="Arial" w:eastAsia="Arial" w:hAnsi="Arial"/>
          <w:sz w:val="14"/>
          <w:szCs w:val="14"/>
          <w:color w:val="333638"/>
        </w:rPr>
        <w:t>any</w:t>
      </w:r>
      <w:r>
        <w:rPr>
          <w:rFonts w:ascii="Arial" w:cs="Arial" w:eastAsia="Arial" w:hAnsi="Arial"/>
          <w:sz w:val="14"/>
          <w:szCs w:val="14"/>
          <w:color w:val="212326"/>
        </w:rPr>
        <w:t xml:space="preserve"> bonus for </w:t>
      </w:r>
      <w:r>
        <w:rPr>
          <w:rFonts w:ascii="Arial" w:cs="Arial" w:eastAsia="Arial" w:hAnsi="Arial"/>
          <w:sz w:val="14"/>
          <w:szCs w:val="14"/>
          <w:color w:val="333638"/>
        </w:rPr>
        <w:t>2019.</w:t>
      </w:r>
    </w:p>
    <w:p>
      <w:pPr>
        <w:spacing w:after="0" w:line="156" w:lineRule="exact"/>
        <w:rPr>
          <w:rFonts w:ascii="Arial" w:cs="Arial" w:eastAsia="Arial" w:hAnsi="Arial"/>
          <w:sz w:val="14"/>
          <w:szCs w:val="14"/>
          <w:color w:val="auto"/>
        </w:rPr>
      </w:pPr>
    </w:p>
    <w:p>
      <w:pPr>
        <w:ind w:left="260" w:right="300" w:hanging="255"/>
        <w:spacing w:after="0" w:line="236" w:lineRule="auto"/>
        <w:tabs>
          <w:tab w:leader="none" w:pos="250"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333638"/>
        </w:rPr>
        <w:t xml:space="preserve">Confidentiality. </w:t>
      </w:r>
      <w:r>
        <w:rPr>
          <w:rFonts w:ascii="Arial" w:cs="Arial" w:eastAsia="Arial" w:hAnsi="Arial"/>
          <w:sz w:val="14"/>
          <w:szCs w:val="14"/>
          <w:color w:val="333638"/>
        </w:rPr>
        <w:t>Employee</w:t>
      </w:r>
      <w:r>
        <w:rPr>
          <w:rFonts w:ascii="Arial" w:cs="Arial" w:eastAsia="Arial" w:hAnsi="Arial"/>
          <w:sz w:val="14"/>
          <w:szCs w:val="14"/>
          <w:b w:val="1"/>
          <w:bCs w:val="1"/>
          <w:color w:val="333638"/>
        </w:rPr>
        <w:t xml:space="preserve"> </w:t>
      </w:r>
      <w:r>
        <w:rPr>
          <w:rFonts w:ascii="Arial" w:cs="Arial" w:eastAsia="Arial" w:hAnsi="Arial"/>
          <w:sz w:val="14"/>
          <w:szCs w:val="14"/>
          <w:color w:val="212326"/>
        </w:rPr>
        <w:t>shall keep</w:t>
      </w:r>
      <w:r>
        <w:rPr>
          <w:rFonts w:ascii="Arial" w:cs="Arial" w:eastAsia="Arial" w:hAnsi="Arial"/>
          <w:sz w:val="14"/>
          <w:szCs w:val="14"/>
          <w:b w:val="1"/>
          <w:bCs w:val="1"/>
          <w:color w:val="333638"/>
        </w:rPr>
        <w:t xml:space="preserve"> </w:t>
      </w:r>
      <w:r>
        <w:rPr>
          <w:rFonts w:ascii="Arial" w:cs="Arial" w:eastAsia="Arial" w:hAnsi="Arial"/>
          <w:sz w:val="14"/>
          <w:szCs w:val="14"/>
          <w:color w:val="333638"/>
        </w:rPr>
        <w:t>confidential all confidential or</w:t>
      </w:r>
      <w:r>
        <w:rPr>
          <w:rFonts w:ascii="Arial" w:cs="Arial" w:eastAsia="Arial" w:hAnsi="Arial"/>
          <w:sz w:val="14"/>
          <w:szCs w:val="14"/>
          <w:b w:val="1"/>
          <w:bCs w:val="1"/>
          <w:color w:val="333638"/>
        </w:rPr>
        <w:t xml:space="preserve"> </w:t>
      </w:r>
      <w:r>
        <w:rPr>
          <w:rFonts w:ascii="Arial" w:cs="Arial" w:eastAsia="Arial" w:hAnsi="Arial"/>
          <w:sz w:val="14"/>
          <w:szCs w:val="14"/>
          <w:color w:val="212326"/>
        </w:rPr>
        <w:t>proprietary information known to his</w:t>
      </w:r>
      <w:r>
        <w:rPr>
          <w:rFonts w:ascii="Arial" w:cs="Arial" w:eastAsia="Arial" w:hAnsi="Arial"/>
          <w:sz w:val="14"/>
          <w:szCs w:val="14"/>
          <w:b w:val="1"/>
          <w:bCs w:val="1"/>
          <w:color w:val="333638"/>
        </w:rPr>
        <w:t xml:space="preserve"> </w:t>
      </w:r>
      <w:r>
        <w:rPr>
          <w:rFonts w:ascii="Arial" w:cs="Arial" w:eastAsia="Arial" w:hAnsi="Arial"/>
          <w:sz w:val="14"/>
          <w:szCs w:val="14"/>
          <w:color w:val="333638"/>
        </w:rPr>
        <w:t>concerning any</w:t>
      </w:r>
      <w:r>
        <w:rPr>
          <w:rFonts w:ascii="Arial" w:cs="Arial" w:eastAsia="Arial" w:hAnsi="Arial"/>
          <w:sz w:val="14"/>
          <w:szCs w:val="14"/>
          <w:b w:val="1"/>
          <w:bCs w:val="1"/>
          <w:color w:val="333638"/>
        </w:rPr>
        <w:t xml:space="preserve"> </w:t>
      </w:r>
      <w:r>
        <w:rPr>
          <w:rFonts w:ascii="Arial" w:cs="Arial" w:eastAsia="Arial" w:hAnsi="Arial"/>
          <w:sz w:val="14"/>
          <w:szCs w:val="14"/>
          <w:color w:val="212326"/>
        </w:rPr>
        <w:t>matters affectin</w:t>
      </w:r>
      <w:r>
        <w:rPr>
          <w:rFonts w:ascii="Arial" w:cs="Arial" w:eastAsia="Arial" w:hAnsi="Arial"/>
          <w:sz w:val="14"/>
          <w:szCs w:val="14"/>
          <w:color w:val="46494B"/>
        </w:rPr>
        <w:t>g</w:t>
      </w:r>
      <w:r>
        <w:rPr>
          <w:rFonts w:ascii="Arial" w:cs="Arial" w:eastAsia="Arial" w:hAnsi="Arial"/>
          <w:sz w:val="14"/>
          <w:szCs w:val="14"/>
          <w:b w:val="1"/>
          <w:bCs w:val="1"/>
          <w:color w:val="333638"/>
        </w:rPr>
        <w:t xml:space="preserve"> </w:t>
      </w:r>
      <w:r>
        <w:rPr>
          <w:rFonts w:ascii="Arial" w:cs="Arial" w:eastAsia="Arial" w:hAnsi="Arial"/>
          <w:sz w:val="14"/>
          <w:szCs w:val="14"/>
          <w:color w:val="333638"/>
        </w:rPr>
        <w:t>or</w:t>
      </w:r>
      <w:r>
        <w:rPr>
          <w:rFonts w:ascii="Arial" w:cs="Arial" w:eastAsia="Arial" w:hAnsi="Arial"/>
          <w:sz w:val="14"/>
          <w:szCs w:val="14"/>
          <w:b w:val="1"/>
          <w:bCs w:val="1"/>
          <w:color w:val="333638"/>
        </w:rPr>
        <w:t xml:space="preserve"> </w:t>
      </w:r>
      <w:r>
        <w:rPr>
          <w:rFonts w:ascii="Arial" w:cs="Arial" w:eastAsia="Arial" w:hAnsi="Arial"/>
          <w:sz w:val="14"/>
          <w:szCs w:val="14"/>
          <w:color w:val="212326"/>
        </w:rPr>
        <w:t>relating</w:t>
      </w:r>
      <w:r>
        <w:rPr>
          <w:rFonts w:ascii="Arial" w:cs="Arial" w:eastAsia="Arial" w:hAnsi="Arial"/>
          <w:sz w:val="14"/>
          <w:szCs w:val="14"/>
          <w:b w:val="1"/>
          <w:bCs w:val="1"/>
          <w:color w:val="333638"/>
        </w:rPr>
        <w:t xml:space="preserve"> </w:t>
      </w:r>
      <w:r>
        <w:rPr>
          <w:rFonts w:ascii="Arial" w:cs="Arial" w:eastAsia="Arial" w:hAnsi="Arial"/>
          <w:sz w:val="14"/>
          <w:szCs w:val="14"/>
          <w:color w:val="333638"/>
        </w:rPr>
        <w:t>to</w:t>
      </w:r>
      <w:r>
        <w:rPr>
          <w:rFonts w:ascii="Arial" w:cs="Arial" w:eastAsia="Arial" w:hAnsi="Arial"/>
          <w:sz w:val="14"/>
          <w:szCs w:val="14"/>
          <w:b w:val="1"/>
          <w:bCs w:val="1"/>
          <w:color w:val="333638"/>
        </w:rPr>
        <w:t xml:space="preserve"> </w:t>
      </w:r>
      <w:r>
        <w:rPr>
          <w:rFonts w:ascii="Arial" w:cs="Arial" w:eastAsia="Arial" w:hAnsi="Arial"/>
          <w:sz w:val="14"/>
          <w:szCs w:val="14"/>
          <w:color w:val="212326"/>
        </w:rPr>
        <w:t>the business</w:t>
      </w:r>
      <w:r>
        <w:rPr>
          <w:rFonts w:ascii="Arial" w:cs="Arial" w:eastAsia="Arial" w:hAnsi="Arial"/>
          <w:sz w:val="14"/>
          <w:szCs w:val="14"/>
          <w:color w:val="56595B"/>
        </w:rPr>
        <w:t>,</w:t>
      </w:r>
      <w:r>
        <w:rPr>
          <w:rFonts w:ascii="Arial" w:cs="Arial" w:eastAsia="Arial" w:hAnsi="Arial"/>
          <w:sz w:val="14"/>
          <w:szCs w:val="14"/>
          <w:b w:val="1"/>
          <w:bCs w:val="1"/>
          <w:color w:val="333638"/>
        </w:rPr>
        <w:t xml:space="preserve"> </w:t>
      </w:r>
      <w:r>
        <w:rPr>
          <w:rFonts w:ascii="Arial" w:cs="Arial" w:eastAsia="Arial" w:hAnsi="Arial"/>
          <w:sz w:val="14"/>
          <w:szCs w:val="14"/>
          <w:color w:val="333638"/>
        </w:rPr>
        <w:t>operations</w:t>
      </w:r>
      <w:r>
        <w:rPr>
          <w:rFonts w:ascii="Arial" w:cs="Arial" w:eastAsia="Arial" w:hAnsi="Arial"/>
          <w:sz w:val="14"/>
          <w:szCs w:val="14"/>
          <w:color w:val="6B7072"/>
        </w:rPr>
        <w:t>,</w:t>
      </w:r>
      <w:r>
        <w:rPr>
          <w:rFonts w:ascii="Arial" w:cs="Arial" w:eastAsia="Arial" w:hAnsi="Arial"/>
          <w:sz w:val="14"/>
          <w:szCs w:val="14"/>
          <w:color w:val="333638"/>
        </w:rPr>
        <w:t xml:space="preserve"> </w:t>
      </w:r>
      <w:r>
        <w:rPr>
          <w:rFonts w:ascii="Arial" w:cs="Arial" w:eastAsia="Arial" w:hAnsi="Arial"/>
          <w:sz w:val="14"/>
          <w:szCs w:val="14"/>
          <w:color w:val="212326"/>
        </w:rPr>
        <w:t>and financial</w:t>
      </w:r>
      <w:r>
        <w:rPr>
          <w:rFonts w:ascii="Arial" w:cs="Arial" w:eastAsia="Arial" w:hAnsi="Arial"/>
          <w:sz w:val="14"/>
          <w:szCs w:val="14"/>
          <w:color w:val="333638"/>
        </w:rPr>
        <w:t xml:space="preserve"> affairs of </w:t>
      </w:r>
      <w:r>
        <w:rPr>
          <w:rFonts w:ascii="Arial" w:cs="Arial" w:eastAsia="Arial" w:hAnsi="Arial"/>
          <w:sz w:val="14"/>
          <w:szCs w:val="14"/>
          <w:color w:val="212326"/>
        </w:rPr>
        <w:t>the</w:t>
      </w:r>
      <w:r>
        <w:rPr>
          <w:rFonts w:ascii="Arial" w:cs="Arial" w:eastAsia="Arial" w:hAnsi="Arial"/>
          <w:sz w:val="14"/>
          <w:szCs w:val="14"/>
          <w:color w:val="333638"/>
        </w:rPr>
        <w:t xml:space="preserve"> Company which are </w:t>
      </w:r>
      <w:r>
        <w:rPr>
          <w:rFonts w:ascii="Arial" w:cs="Arial" w:eastAsia="Arial" w:hAnsi="Arial"/>
          <w:sz w:val="14"/>
          <w:szCs w:val="14"/>
          <w:color w:val="212326"/>
        </w:rPr>
        <w:t>of</w:t>
      </w:r>
      <w:r>
        <w:rPr>
          <w:rFonts w:ascii="Arial" w:cs="Arial" w:eastAsia="Arial" w:hAnsi="Arial"/>
          <w:sz w:val="14"/>
          <w:szCs w:val="14"/>
          <w:color w:val="333638"/>
        </w:rPr>
        <w:t xml:space="preserve"> a special or </w:t>
      </w:r>
      <w:r>
        <w:rPr>
          <w:rFonts w:ascii="Arial" w:cs="Arial" w:eastAsia="Arial" w:hAnsi="Arial"/>
          <w:sz w:val="14"/>
          <w:szCs w:val="14"/>
          <w:color w:val="212326"/>
        </w:rPr>
        <w:t>unique nature</w:t>
      </w:r>
      <w:r>
        <w:rPr>
          <w:rFonts w:ascii="Arial" w:cs="Arial" w:eastAsia="Arial" w:hAnsi="Arial"/>
          <w:sz w:val="14"/>
          <w:szCs w:val="14"/>
          <w:color w:val="46494B"/>
        </w:rPr>
        <w:t>,</w:t>
      </w:r>
      <w:r>
        <w:rPr>
          <w:rFonts w:ascii="Arial" w:cs="Arial" w:eastAsia="Arial" w:hAnsi="Arial"/>
          <w:sz w:val="14"/>
          <w:szCs w:val="14"/>
          <w:color w:val="333638"/>
        </w:rPr>
        <w:t xml:space="preserve"> </w:t>
      </w:r>
      <w:r>
        <w:rPr>
          <w:rFonts w:ascii="Arial" w:cs="Arial" w:eastAsia="Arial" w:hAnsi="Arial"/>
          <w:sz w:val="14"/>
          <w:szCs w:val="14"/>
          <w:color w:val="212326"/>
        </w:rPr>
        <w:t>re</w:t>
      </w:r>
      <w:r>
        <w:rPr>
          <w:rFonts w:ascii="Arial" w:cs="Arial" w:eastAsia="Arial" w:hAnsi="Arial"/>
          <w:sz w:val="14"/>
          <w:szCs w:val="14"/>
          <w:color w:val="46494B"/>
        </w:rPr>
        <w:t>ga</w:t>
      </w:r>
      <w:r>
        <w:rPr>
          <w:rFonts w:ascii="Arial" w:cs="Arial" w:eastAsia="Arial" w:hAnsi="Arial"/>
          <w:sz w:val="14"/>
          <w:szCs w:val="14"/>
          <w:color w:val="212326"/>
        </w:rPr>
        <w:t>rdless of whether any</w:t>
      </w:r>
      <w:r>
        <w:rPr>
          <w:rFonts w:ascii="Arial" w:cs="Arial" w:eastAsia="Arial" w:hAnsi="Arial"/>
          <w:sz w:val="14"/>
          <w:szCs w:val="14"/>
          <w:color w:val="333638"/>
        </w:rPr>
        <w:t xml:space="preserve"> such </w:t>
      </w:r>
      <w:r>
        <w:rPr>
          <w:rFonts w:ascii="Arial" w:cs="Arial" w:eastAsia="Arial" w:hAnsi="Arial"/>
          <w:sz w:val="14"/>
          <w:szCs w:val="14"/>
          <w:color w:val="212326"/>
        </w:rPr>
        <w:t>information is labeled</w:t>
      </w:r>
      <w:r>
        <w:rPr>
          <w:rFonts w:ascii="Arial" w:cs="Arial" w:eastAsia="Arial" w:hAnsi="Arial"/>
          <w:sz w:val="14"/>
          <w:szCs w:val="14"/>
          <w:color w:val="333638"/>
        </w:rPr>
        <w:t xml:space="preserve"> or otherwise treated as confidential</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material,</w:t>
      </w:r>
      <w:r>
        <w:rPr>
          <w:rFonts w:ascii="Arial" w:cs="Arial" w:eastAsia="Arial" w:hAnsi="Arial"/>
          <w:sz w:val="14"/>
          <w:szCs w:val="14"/>
          <w:color w:val="333638"/>
        </w:rPr>
        <w:t xml:space="preserve"> or </w:t>
      </w:r>
      <w:r>
        <w:rPr>
          <w:rFonts w:ascii="Arial" w:cs="Arial" w:eastAsia="Arial" w:hAnsi="Arial"/>
          <w:sz w:val="14"/>
          <w:szCs w:val="14"/>
          <w:color w:val="212326"/>
        </w:rPr>
        <w:t>important.</w:t>
      </w:r>
      <w:r>
        <w:rPr>
          <w:rFonts w:ascii="Arial" w:cs="Arial" w:eastAsia="Arial" w:hAnsi="Arial"/>
          <w:sz w:val="14"/>
          <w:szCs w:val="14"/>
          <w:color w:val="333638"/>
        </w:rPr>
        <w:t xml:space="preserve"> Unless </w:t>
      </w:r>
      <w:r>
        <w:rPr>
          <w:rFonts w:ascii="Arial" w:cs="Arial" w:eastAsia="Arial" w:hAnsi="Arial"/>
          <w:sz w:val="14"/>
          <w:szCs w:val="14"/>
          <w:color w:val="212326"/>
        </w:rPr>
        <w:t>the</w:t>
      </w:r>
      <w:r>
        <w:rPr>
          <w:rFonts w:ascii="Arial" w:cs="Arial" w:eastAsia="Arial" w:hAnsi="Arial"/>
          <w:sz w:val="14"/>
          <w:szCs w:val="14"/>
          <w:color w:val="333638"/>
        </w:rPr>
        <w:t xml:space="preserve"> Company </w:t>
      </w:r>
      <w:r>
        <w:rPr>
          <w:rFonts w:ascii="Arial" w:cs="Arial" w:eastAsia="Arial" w:hAnsi="Arial"/>
          <w:sz w:val="14"/>
          <w:szCs w:val="14"/>
          <w:color w:val="212326"/>
        </w:rPr>
        <w:t>files this</w:t>
      </w:r>
      <w:r>
        <w:rPr>
          <w:rFonts w:ascii="Arial" w:cs="Arial" w:eastAsia="Arial" w:hAnsi="Arial"/>
          <w:sz w:val="14"/>
          <w:szCs w:val="14"/>
          <w:color w:val="333638"/>
        </w:rPr>
        <w:t xml:space="preserve"> Agreement as a </w:t>
      </w:r>
      <w:r>
        <w:rPr>
          <w:rFonts w:ascii="Arial" w:cs="Arial" w:eastAsia="Arial" w:hAnsi="Arial"/>
          <w:sz w:val="14"/>
          <w:szCs w:val="14"/>
          <w:color w:val="212326"/>
        </w:rPr>
        <w:t>matter</w:t>
      </w:r>
      <w:r>
        <w:rPr>
          <w:rFonts w:ascii="Arial" w:cs="Arial" w:eastAsia="Arial" w:hAnsi="Arial"/>
          <w:sz w:val="14"/>
          <w:szCs w:val="14"/>
          <w:color w:val="333638"/>
        </w:rPr>
        <w:t xml:space="preserve"> of </w:t>
      </w:r>
      <w:r>
        <w:rPr>
          <w:rFonts w:ascii="Arial" w:cs="Arial" w:eastAsia="Arial" w:hAnsi="Arial"/>
          <w:sz w:val="14"/>
          <w:szCs w:val="14"/>
          <w:color w:val="212326"/>
        </w:rPr>
        <w:t>public</w:t>
      </w:r>
      <w:r>
        <w:rPr>
          <w:rFonts w:ascii="Arial" w:cs="Arial" w:eastAsia="Arial" w:hAnsi="Arial"/>
          <w:sz w:val="14"/>
          <w:szCs w:val="14"/>
          <w:color w:val="333638"/>
        </w:rPr>
        <w:t xml:space="preserve"> record with </w:t>
      </w:r>
      <w:r>
        <w:rPr>
          <w:rFonts w:ascii="Arial" w:cs="Arial" w:eastAsia="Arial" w:hAnsi="Arial"/>
          <w:sz w:val="14"/>
          <w:szCs w:val="14"/>
          <w:color w:val="212326"/>
        </w:rPr>
        <w:t>the</w:t>
      </w:r>
      <w:r>
        <w:rPr>
          <w:rFonts w:ascii="Arial" w:cs="Arial" w:eastAsia="Arial" w:hAnsi="Arial"/>
          <w:sz w:val="14"/>
          <w:szCs w:val="14"/>
          <w:color w:val="333638"/>
        </w:rPr>
        <w:t xml:space="preserve"> Securities </w:t>
      </w:r>
      <w:r>
        <w:rPr>
          <w:rFonts w:ascii="Arial" w:cs="Arial" w:eastAsia="Arial" w:hAnsi="Arial"/>
          <w:sz w:val="14"/>
          <w:szCs w:val="14"/>
          <w:color w:val="46494B"/>
        </w:rPr>
        <w:t>Exc</w:t>
      </w:r>
      <w:r>
        <w:rPr>
          <w:rFonts w:ascii="Arial" w:cs="Arial" w:eastAsia="Arial" w:hAnsi="Arial"/>
          <w:sz w:val="14"/>
          <w:szCs w:val="14"/>
          <w:color w:val="212326"/>
        </w:rPr>
        <w:t>hange</w:t>
      </w:r>
      <w:r>
        <w:rPr>
          <w:rFonts w:ascii="Arial" w:cs="Arial" w:eastAsia="Arial" w:hAnsi="Arial"/>
          <w:sz w:val="14"/>
          <w:szCs w:val="14"/>
          <w:color w:val="333638"/>
        </w:rPr>
        <w:t xml:space="preserve"> Commission</w:t>
      </w:r>
      <w:r>
        <w:rPr>
          <w:rFonts w:ascii="Arial" w:cs="Arial" w:eastAsia="Arial" w:hAnsi="Arial"/>
          <w:sz w:val="14"/>
          <w:szCs w:val="14"/>
          <w:color w:val="56595B"/>
        </w:rPr>
        <w:t>,</w:t>
      </w:r>
      <w:r>
        <w:rPr>
          <w:rFonts w:ascii="Arial" w:cs="Arial" w:eastAsia="Arial" w:hAnsi="Arial"/>
          <w:sz w:val="14"/>
          <w:szCs w:val="14"/>
          <w:color w:val="333638"/>
        </w:rPr>
        <w:t xml:space="preserve"> the contents of this </w:t>
      </w:r>
      <w:r>
        <w:rPr>
          <w:rFonts w:ascii="Arial" w:cs="Arial" w:eastAsia="Arial" w:hAnsi="Arial"/>
          <w:sz w:val="14"/>
          <w:szCs w:val="14"/>
          <w:color w:val="212326"/>
        </w:rPr>
        <w:t xml:space="preserve">Agreement </w:t>
      </w:r>
      <w:r>
        <w:rPr>
          <w:rFonts w:ascii="Arial" w:cs="Arial" w:eastAsia="Arial" w:hAnsi="Arial"/>
          <w:sz w:val="14"/>
          <w:szCs w:val="14"/>
          <w:color w:val="333638"/>
        </w:rPr>
        <w:t>shall</w:t>
      </w:r>
      <w:r>
        <w:rPr>
          <w:rFonts w:ascii="Arial" w:cs="Arial" w:eastAsia="Arial" w:hAnsi="Arial"/>
          <w:sz w:val="14"/>
          <w:szCs w:val="14"/>
          <w:color w:val="212326"/>
        </w:rPr>
        <w:t xml:space="preserve"> not be disclosed</w:t>
      </w:r>
      <w:r>
        <w:rPr>
          <w:rFonts w:ascii="Arial" w:cs="Arial" w:eastAsia="Arial" w:hAnsi="Arial"/>
          <w:sz w:val="14"/>
          <w:szCs w:val="14"/>
          <w:color w:val="46494B"/>
        </w:rPr>
        <w:t>,</w:t>
      </w:r>
      <w:r>
        <w:rPr>
          <w:rFonts w:ascii="Arial" w:cs="Arial" w:eastAsia="Arial" w:hAnsi="Arial"/>
          <w:sz w:val="14"/>
          <w:szCs w:val="14"/>
          <w:color w:val="212326"/>
        </w:rPr>
        <w:t xml:space="preserve"> </w:t>
      </w:r>
      <w:r>
        <w:rPr>
          <w:rFonts w:ascii="Arial" w:cs="Arial" w:eastAsia="Arial" w:hAnsi="Arial"/>
          <w:sz w:val="14"/>
          <w:szCs w:val="14"/>
          <w:color w:val="333638"/>
        </w:rPr>
        <w:t>released or communicated by Employee to any</w:t>
      </w:r>
      <w:r>
        <w:rPr>
          <w:rFonts w:ascii="Arial" w:cs="Arial" w:eastAsia="Arial" w:hAnsi="Arial"/>
          <w:sz w:val="14"/>
          <w:szCs w:val="14"/>
          <w:color w:val="212326"/>
        </w:rPr>
        <w:t xml:space="preserve"> person, </w:t>
      </w:r>
      <w:r>
        <w:rPr>
          <w:rFonts w:ascii="Arial" w:cs="Arial" w:eastAsia="Arial" w:hAnsi="Arial"/>
          <w:sz w:val="14"/>
          <w:szCs w:val="14"/>
          <w:color w:val="333638"/>
        </w:rPr>
        <w:t>other than Employee</w:t>
      </w:r>
      <w:r>
        <w:rPr>
          <w:rFonts w:ascii="Arial" w:cs="Arial" w:eastAsia="Arial" w:hAnsi="Arial"/>
          <w:sz w:val="14"/>
          <w:szCs w:val="14"/>
          <w:color w:val="56595B"/>
        </w:rPr>
        <w:t>'</w:t>
      </w:r>
      <w:r>
        <w:rPr>
          <w:rFonts w:ascii="Arial" w:cs="Arial" w:eastAsia="Arial" w:hAnsi="Arial"/>
          <w:sz w:val="14"/>
          <w:szCs w:val="14"/>
          <w:color w:val="333638"/>
        </w:rPr>
        <w:t>s</w:t>
      </w:r>
      <w:r>
        <w:rPr>
          <w:rFonts w:ascii="Arial" w:cs="Arial" w:eastAsia="Arial" w:hAnsi="Arial"/>
          <w:sz w:val="14"/>
          <w:szCs w:val="14"/>
          <w:color w:val="212326"/>
        </w:rPr>
        <w:t xml:space="preserve"> </w:t>
      </w:r>
      <w:r>
        <w:rPr>
          <w:rFonts w:ascii="Arial" w:cs="Arial" w:eastAsia="Arial" w:hAnsi="Arial"/>
          <w:sz w:val="14"/>
          <w:szCs w:val="14"/>
          <w:color w:val="46494B"/>
        </w:rPr>
        <w:t>s</w:t>
      </w:r>
      <w:r>
        <w:rPr>
          <w:rFonts w:ascii="Arial" w:cs="Arial" w:eastAsia="Arial" w:hAnsi="Arial"/>
          <w:sz w:val="14"/>
          <w:szCs w:val="14"/>
          <w:color w:val="212326"/>
        </w:rPr>
        <w:t>pouse</w:t>
      </w:r>
      <w:r>
        <w:rPr>
          <w:rFonts w:ascii="Arial" w:cs="Arial" w:eastAsia="Arial" w:hAnsi="Arial"/>
          <w:sz w:val="14"/>
          <w:szCs w:val="14"/>
          <w:color w:val="6B7072"/>
        </w:rPr>
        <w:t>,</w:t>
      </w:r>
      <w:r>
        <w:rPr>
          <w:rFonts w:ascii="Arial" w:cs="Arial" w:eastAsia="Arial" w:hAnsi="Arial"/>
          <w:sz w:val="14"/>
          <w:szCs w:val="14"/>
          <w:color w:val="212326"/>
        </w:rPr>
        <w:t xml:space="preserve"> tax </w:t>
      </w:r>
      <w:r>
        <w:rPr>
          <w:rFonts w:ascii="Arial" w:cs="Arial" w:eastAsia="Arial" w:hAnsi="Arial"/>
          <w:sz w:val="14"/>
          <w:szCs w:val="14"/>
          <w:color w:val="333638"/>
        </w:rPr>
        <w:t>advisor</w:t>
      </w:r>
      <w:r>
        <w:rPr>
          <w:rFonts w:ascii="Arial" w:cs="Arial" w:eastAsia="Arial" w:hAnsi="Arial"/>
          <w:sz w:val="14"/>
          <w:szCs w:val="14"/>
          <w:color w:val="212326"/>
        </w:rPr>
        <w:t xml:space="preserve"> or legal counsel</w:t>
      </w:r>
      <w:r>
        <w:rPr>
          <w:rFonts w:ascii="Arial" w:cs="Arial" w:eastAsia="Arial" w:hAnsi="Arial"/>
          <w:sz w:val="14"/>
          <w:szCs w:val="14"/>
          <w:color w:val="56595B"/>
        </w:rPr>
        <w:t>,</w:t>
      </w:r>
      <w:r>
        <w:rPr>
          <w:rFonts w:ascii="Arial" w:cs="Arial" w:eastAsia="Arial" w:hAnsi="Arial"/>
          <w:sz w:val="14"/>
          <w:szCs w:val="14"/>
          <w:color w:val="212326"/>
        </w:rPr>
        <w:t xml:space="preserve"> and </w:t>
      </w:r>
      <w:r>
        <w:rPr>
          <w:rFonts w:ascii="Arial" w:cs="Arial" w:eastAsia="Arial" w:hAnsi="Arial"/>
          <w:sz w:val="14"/>
          <w:szCs w:val="14"/>
          <w:color w:val="333638"/>
        </w:rPr>
        <w:t>to the extent</w:t>
      </w:r>
      <w:r>
        <w:rPr>
          <w:rFonts w:ascii="Arial" w:cs="Arial" w:eastAsia="Arial" w:hAnsi="Arial"/>
          <w:sz w:val="14"/>
          <w:szCs w:val="14"/>
          <w:color w:val="212326"/>
        </w:rPr>
        <w:t xml:space="preserve"> neces</w:t>
      </w:r>
      <w:r>
        <w:rPr>
          <w:rFonts w:ascii="Arial" w:cs="Arial" w:eastAsia="Arial" w:hAnsi="Arial"/>
          <w:sz w:val="14"/>
          <w:szCs w:val="14"/>
          <w:color w:val="46494B"/>
        </w:rPr>
        <w:t>sary</w:t>
      </w:r>
      <w:r>
        <w:rPr>
          <w:rFonts w:ascii="Arial" w:cs="Arial" w:eastAsia="Arial" w:hAnsi="Arial"/>
          <w:sz w:val="14"/>
          <w:szCs w:val="14"/>
          <w:color w:val="212326"/>
        </w:rPr>
        <w:t xml:space="preserve"> </w:t>
      </w:r>
      <w:r>
        <w:rPr>
          <w:rFonts w:ascii="Arial" w:cs="Arial" w:eastAsia="Arial" w:hAnsi="Arial"/>
          <w:sz w:val="14"/>
          <w:szCs w:val="14"/>
          <w:color w:val="333638"/>
        </w:rPr>
        <w:t>to</w:t>
      </w:r>
      <w:r>
        <w:rPr>
          <w:rFonts w:ascii="Arial" w:cs="Arial" w:eastAsia="Arial" w:hAnsi="Arial"/>
          <w:sz w:val="14"/>
          <w:szCs w:val="14"/>
          <w:color w:val="212326"/>
        </w:rPr>
        <w:t xml:space="preserve"> </w:t>
      </w:r>
      <w:r>
        <w:rPr>
          <w:rFonts w:ascii="Arial" w:cs="Arial" w:eastAsia="Arial" w:hAnsi="Arial"/>
          <w:sz w:val="14"/>
          <w:szCs w:val="14"/>
          <w:color w:val="46494B"/>
        </w:rPr>
        <w:t>enfo</w:t>
      </w:r>
      <w:r>
        <w:rPr>
          <w:rFonts w:ascii="Arial" w:cs="Arial" w:eastAsia="Arial" w:hAnsi="Arial"/>
          <w:sz w:val="14"/>
          <w:szCs w:val="14"/>
          <w:color w:val="212326"/>
        </w:rPr>
        <w:t xml:space="preserve">rce </w:t>
      </w:r>
      <w:r>
        <w:rPr>
          <w:rFonts w:ascii="Arial" w:cs="Arial" w:eastAsia="Arial" w:hAnsi="Arial"/>
          <w:sz w:val="14"/>
          <w:szCs w:val="14"/>
          <w:color w:val="333638"/>
        </w:rPr>
        <w:t>any</w:t>
      </w:r>
      <w:r>
        <w:rPr>
          <w:rFonts w:ascii="Arial" w:cs="Arial" w:eastAsia="Arial" w:hAnsi="Arial"/>
          <w:sz w:val="14"/>
          <w:szCs w:val="14"/>
          <w:color w:val="212326"/>
        </w:rPr>
        <w:t xml:space="preserve"> of the terms </w:t>
      </w:r>
      <w:r>
        <w:rPr>
          <w:rFonts w:ascii="Arial" w:cs="Arial" w:eastAsia="Arial" w:hAnsi="Arial"/>
          <w:sz w:val="14"/>
          <w:szCs w:val="14"/>
          <w:color w:val="333638"/>
        </w:rPr>
        <w:t>of</w:t>
      </w:r>
      <w:r>
        <w:rPr>
          <w:rFonts w:ascii="Arial" w:cs="Arial" w:eastAsia="Arial" w:hAnsi="Arial"/>
          <w:sz w:val="14"/>
          <w:szCs w:val="14"/>
          <w:color w:val="212326"/>
        </w:rPr>
        <w:t xml:space="preserve"> this </w:t>
      </w:r>
      <w:r>
        <w:rPr>
          <w:rFonts w:ascii="Arial" w:cs="Arial" w:eastAsia="Arial" w:hAnsi="Arial"/>
          <w:sz w:val="14"/>
          <w:szCs w:val="14"/>
          <w:color w:val="333638"/>
        </w:rPr>
        <w:t>Agreement.</w:t>
      </w:r>
    </w:p>
    <w:p>
      <w:pPr>
        <w:spacing w:after="0" w:line="155" w:lineRule="exact"/>
        <w:rPr>
          <w:rFonts w:ascii="Arial" w:cs="Arial" w:eastAsia="Arial" w:hAnsi="Arial"/>
          <w:sz w:val="14"/>
          <w:szCs w:val="14"/>
          <w:color w:val="auto"/>
        </w:rPr>
      </w:pPr>
    </w:p>
    <w:p>
      <w:pPr>
        <w:ind w:left="260" w:right="40" w:hanging="255"/>
        <w:spacing w:after="0" w:line="214" w:lineRule="auto"/>
        <w:tabs>
          <w:tab w:leader="none" w:pos="250"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212326"/>
        </w:rPr>
        <w:t xml:space="preserve">Release and Covenant Not to Sue. </w:t>
      </w:r>
      <w:r>
        <w:rPr>
          <w:rFonts w:ascii="Arial" w:cs="Arial" w:eastAsia="Arial" w:hAnsi="Arial"/>
          <w:sz w:val="14"/>
          <w:szCs w:val="14"/>
          <w:color w:val="333638"/>
        </w:rPr>
        <w:t>As a</w:t>
      </w:r>
      <w:r>
        <w:rPr>
          <w:rFonts w:ascii="Arial" w:cs="Arial" w:eastAsia="Arial" w:hAnsi="Arial"/>
          <w:sz w:val="14"/>
          <w:szCs w:val="14"/>
          <w:b w:val="1"/>
          <w:bCs w:val="1"/>
          <w:color w:val="212326"/>
        </w:rPr>
        <w:t xml:space="preserve"> </w:t>
      </w:r>
      <w:r>
        <w:rPr>
          <w:rFonts w:ascii="Arial" w:cs="Arial" w:eastAsia="Arial" w:hAnsi="Arial"/>
          <w:sz w:val="14"/>
          <w:szCs w:val="14"/>
          <w:color w:val="212326"/>
        </w:rPr>
        <w:t>material inducement to the</w:t>
      </w:r>
      <w:r>
        <w:rPr>
          <w:rFonts w:ascii="Arial" w:cs="Arial" w:eastAsia="Arial" w:hAnsi="Arial"/>
          <w:sz w:val="14"/>
          <w:szCs w:val="14"/>
          <w:b w:val="1"/>
          <w:bCs w:val="1"/>
          <w:color w:val="212326"/>
        </w:rPr>
        <w:t xml:space="preserve"> </w:t>
      </w:r>
      <w:r>
        <w:rPr>
          <w:rFonts w:ascii="Arial" w:cs="Arial" w:eastAsia="Arial" w:hAnsi="Arial"/>
          <w:sz w:val="14"/>
          <w:szCs w:val="14"/>
          <w:color w:val="333638"/>
        </w:rPr>
        <w:t>Company to enter</w:t>
      </w:r>
      <w:r>
        <w:rPr>
          <w:rFonts w:ascii="Arial" w:cs="Arial" w:eastAsia="Arial" w:hAnsi="Arial"/>
          <w:sz w:val="14"/>
          <w:szCs w:val="14"/>
          <w:b w:val="1"/>
          <w:bCs w:val="1"/>
          <w:color w:val="212326"/>
        </w:rPr>
        <w:t xml:space="preserve"> </w:t>
      </w:r>
      <w:r>
        <w:rPr>
          <w:rFonts w:ascii="Arial" w:cs="Arial" w:eastAsia="Arial" w:hAnsi="Arial"/>
          <w:sz w:val="14"/>
          <w:szCs w:val="14"/>
          <w:color w:val="212326"/>
        </w:rPr>
        <w:t>into</w:t>
      </w:r>
      <w:r>
        <w:rPr>
          <w:rFonts w:ascii="Arial" w:cs="Arial" w:eastAsia="Arial" w:hAnsi="Arial"/>
          <w:sz w:val="14"/>
          <w:szCs w:val="14"/>
          <w:b w:val="1"/>
          <w:bCs w:val="1"/>
          <w:color w:val="212326"/>
        </w:rPr>
        <w:t xml:space="preserve"> </w:t>
      </w:r>
      <w:r>
        <w:rPr>
          <w:rFonts w:ascii="Arial" w:cs="Arial" w:eastAsia="Arial" w:hAnsi="Arial"/>
          <w:sz w:val="14"/>
          <w:szCs w:val="14"/>
          <w:color w:val="333638"/>
        </w:rPr>
        <w:t>this Agreement, Employee</w:t>
      </w:r>
      <w:r>
        <w:rPr>
          <w:rFonts w:ascii="Arial" w:cs="Arial" w:eastAsia="Arial" w:hAnsi="Arial"/>
          <w:sz w:val="14"/>
          <w:szCs w:val="14"/>
          <w:b w:val="1"/>
          <w:bCs w:val="1"/>
          <w:color w:val="212326"/>
        </w:rPr>
        <w:t xml:space="preserve"> </w:t>
      </w:r>
      <w:r>
        <w:rPr>
          <w:rFonts w:ascii="Arial" w:cs="Arial" w:eastAsia="Arial" w:hAnsi="Arial"/>
          <w:sz w:val="14"/>
          <w:szCs w:val="14"/>
          <w:color w:val="212326"/>
        </w:rPr>
        <w:t>hereby</w:t>
      </w:r>
      <w:r>
        <w:rPr>
          <w:rFonts w:ascii="Arial" w:cs="Arial" w:eastAsia="Arial" w:hAnsi="Arial"/>
          <w:sz w:val="14"/>
          <w:szCs w:val="14"/>
          <w:b w:val="1"/>
          <w:bCs w:val="1"/>
          <w:color w:val="212326"/>
        </w:rPr>
        <w:t xml:space="preserve"> </w:t>
      </w:r>
      <w:r>
        <w:rPr>
          <w:rFonts w:ascii="Arial" w:cs="Arial" w:eastAsia="Arial" w:hAnsi="Arial"/>
          <w:sz w:val="14"/>
          <w:szCs w:val="14"/>
          <w:color w:val="333638"/>
        </w:rPr>
        <w:t>irrevocably and</w:t>
      </w:r>
      <w:r>
        <w:rPr>
          <w:rFonts w:ascii="Arial" w:cs="Arial" w:eastAsia="Arial" w:hAnsi="Arial"/>
          <w:sz w:val="14"/>
          <w:szCs w:val="14"/>
          <w:b w:val="1"/>
          <w:bCs w:val="1"/>
          <w:color w:val="212326"/>
        </w:rPr>
        <w:t xml:space="preserve"> </w:t>
      </w:r>
      <w:r>
        <w:rPr>
          <w:rFonts w:ascii="Arial" w:cs="Arial" w:eastAsia="Arial" w:hAnsi="Arial"/>
          <w:sz w:val="14"/>
          <w:szCs w:val="14"/>
          <w:color w:val="212326"/>
        </w:rPr>
        <w:t>unconditionally releases</w:t>
      </w:r>
      <w:r>
        <w:rPr>
          <w:rFonts w:ascii="Arial" w:cs="Arial" w:eastAsia="Arial" w:hAnsi="Arial"/>
          <w:sz w:val="14"/>
          <w:szCs w:val="14"/>
          <w:color w:val="56595B"/>
        </w:rPr>
        <w:t>,</w:t>
      </w:r>
      <w:r>
        <w:rPr>
          <w:rFonts w:ascii="Arial" w:cs="Arial" w:eastAsia="Arial" w:hAnsi="Arial"/>
          <w:sz w:val="14"/>
          <w:szCs w:val="14"/>
          <w:b w:val="1"/>
          <w:bCs w:val="1"/>
          <w:color w:val="212326"/>
        </w:rPr>
        <w:t xml:space="preserve"> </w:t>
      </w:r>
      <w:r>
        <w:rPr>
          <w:rFonts w:ascii="Arial" w:cs="Arial" w:eastAsia="Arial" w:hAnsi="Arial"/>
          <w:sz w:val="14"/>
          <w:szCs w:val="14"/>
          <w:color w:val="333638"/>
        </w:rPr>
        <w:t xml:space="preserve">acquits and forever </w:t>
      </w:r>
      <w:r>
        <w:rPr>
          <w:rFonts w:ascii="Arial" w:cs="Arial" w:eastAsia="Arial" w:hAnsi="Arial"/>
          <w:sz w:val="14"/>
          <w:szCs w:val="14"/>
          <w:color w:val="212326"/>
        </w:rPr>
        <w:t>discharges</w:t>
      </w:r>
      <w:r>
        <w:rPr>
          <w:rFonts w:ascii="Arial" w:cs="Arial" w:eastAsia="Arial" w:hAnsi="Arial"/>
          <w:sz w:val="14"/>
          <w:szCs w:val="14"/>
          <w:color w:val="333638"/>
        </w:rPr>
        <w:t xml:space="preserve"> and covenants </w:t>
      </w:r>
      <w:r>
        <w:rPr>
          <w:rFonts w:ascii="Arial" w:cs="Arial" w:eastAsia="Arial" w:hAnsi="Arial"/>
          <w:sz w:val="14"/>
          <w:szCs w:val="14"/>
          <w:color w:val="212326"/>
        </w:rPr>
        <w:t>not</w:t>
      </w:r>
      <w:r>
        <w:rPr>
          <w:rFonts w:ascii="Arial" w:cs="Arial" w:eastAsia="Arial" w:hAnsi="Arial"/>
          <w:sz w:val="14"/>
          <w:szCs w:val="14"/>
          <w:color w:val="333638"/>
        </w:rPr>
        <w:t xml:space="preserve"> to sue </w:t>
      </w:r>
      <w:r>
        <w:rPr>
          <w:rFonts w:ascii="Arial" w:cs="Arial" w:eastAsia="Arial" w:hAnsi="Arial"/>
          <w:sz w:val="14"/>
          <w:szCs w:val="14"/>
          <w:color w:val="212326"/>
        </w:rPr>
        <w:t>the</w:t>
      </w:r>
      <w:r>
        <w:rPr>
          <w:rFonts w:ascii="Arial" w:cs="Arial" w:eastAsia="Arial" w:hAnsi="Arial"/>
          <w:sz w:val="14"/>
          <w:szCs w:val="14"/>
          <w:color w:val="333638"/>
        </w:rPr>
        <w:t xml:space="preserve"> Company </w:t>
      </w:r>
      <w:r>
        <w:rPr>
          <w:rFonts w:ascii="Arial" w:cs="Arial" w:eastAsia="Arial" w:hAnsi="Arial"/>
          <w:sz w:val="14"/>
          <w:szCs w:val="14"/>
          <w:color w:val="212326"/>
        </w:rPr>
        <w:t>and</w:t>
      </w:r>
      <w:r>
        <w:rPr>
          <w:rFonts w:ascii="Arial" w:cs="Arial" w:eastAsia="Arial" w:hAnsi="Arial"/>
          <w:sz w:val="14"/>
          <w:szCs w:val="14"/>
          <w:color w:val="333638"/>
        </w:rPr>
        <w:t xml:space="preserve"> each of the Company's owners</w:t>
      </w:r>
      <w:r>
        <w:rPr>
          <w:rFonts w:ascii="Arial" w:cs="Arial" w:eastAsia="Arial" w:hAnsi="Arial"/>
          <w:sz w:val="14"/>
          <w:szCs w:val="14"/>
          <w:color w:val="56595B"/>
        </w:rPr>
        <w:t>,</w:t>
      </w:r>
      <w:r>
        <w:rPr>
          <w:rFonts w:ascii="Arial" w:cs="Arial" w:eastAsia="Arial" w:hAnsi="Arial"/>
          <w:sz w:val="14"/>
          <w:szCs w:val="14"/>
          <w:color w:val="333638"/>
        </w:rPr>
        <w:t xml:space="preserve"> stockholders</w:t>
      </w:r>
      <w:r>
        <w:rPr>
          <w:rFonts w:ascii="Arial" w:cs="Arial" w:eastAsia="Arial" w:hAnsi="Arial"/>
          <w:sz w:val="14"/>
          <w:szCs w:val="14"/>
          <w:color w:val="56595B"/>
        </w:rPr>
        <w:t>,</w:t>
      </w:r>
      <w:r>
        <w:rPr>
          <w:rFonts w:ascii="Arial" w:cs="Arial" w:eastAsia="Arial" w:hAnsi="Arial"/>
          <w:sz w:val="14"/>
          <w:szCs w:val="14"/>
          <w:color w:val="333638"/>
        </w:rPr>
        <w:t xml:space="preserve"> predecessors</w:t>
      </w:r>
      <w:r>
        <w:rPr>
          <w:rFonts w:ascii="Arial" w:cs="Arial" w:eastAsia="Arial" w:hAnsi="Arial"/>
          <w:sz w:val="14"/>
          <w:szCs w:val="14"/>
          <w:color w:val="56595B"/>
        </w:rPr>
        <w:t>,</w:t>
      </w:r>
      <w:r>
        <w:rPr>
          <w:rFonts w:ascii="Arial" w:cs="Arial" w:eastAsia="Arial" w:hAnsi="Arial"/>
          <w:sz w:val="14"/>
          <w:szCs w:val="14"/>
          <w:color w:val="333638"/>
        </w:rPr>
        <w:t xml:space="preserve"> successors, assigns, agents</w:t>
      </w:r>
      <w:r>
        <w:rPr>
          <w:rFonts w:ascii="Arial" w:cs="Arial" w:eastAsia="Arial" w:hAnsi="Arial"/>
          <w:sz w:val="14"/>
          <w:szCs w:val="14"/>
          <w:color w:val="6B7072"/>
        </w:rPr>
        <w:t>,</w:t>
      </w:r>
      <w:r>
        <w:rPr>
          <w:rFonts w:ascii="Arial" w:cs="Arial" w:eastAsia="Arial" w:hAnsi="Arial"/>
          <w:sz w:val="14"/>
          <w:szCs w:val="14"/>
          <w:color w:val="333638"/>
        </w:rPr>
        <w:t xml:space="preserve"> directors, officers, employees</w:t>
      </w:r>
      <w:r>
        <w:rPr>
          <w:rFonts w:ascii="Arial" w:cs="Arial" w:eastAsia="Arial" w:hAnsi="Arial"/>
          <w:sz w:val="14"/>
          <w:szCs w:val="14"/>
          <w:color w:val="56595B"/>
        </w:rPr>
        <w:t>,</w:t>
      </w:r>
      <w:r>
        <w:rPr>
          <w:rFonts w:ascii="Arial" w:cs="Arial" w:eastAsia="Arial" w:hAnsi="Arial"/>
          <w:sz w:val="14"/>
          <w:szCs w:val="14"/>
          <w:color w:val="333638"/>
        </w:rPr>
        <w:t xml:space="preserve"> representatives, attorneys, </w:t>
      </w:r>
      <w:r>
        <w:rPr>
          <w:rFonts w:ascii="Arial" w:cs="Arial" w:eastAsia="Arial" w:hAnsi="Arial"/>
          <w:sz w:val="14"/>
          <w:szCs w:val="14"/>
          <w:color w:val="212326"/>
        </w:rPr>
        <w:t>division</w:t>
      </w:r>
      <w:r>
        <w:rPr>
          <w:rFonts w:ascii="Arial" w:cs="Arial" w:eastAsia="Arial" w:hAnsi="Arial"/>
          <w:sz w:val="14"/>
          <w:szCs w:val="14"/>
          <w:color w:val="46494B"/>
        </w:rPr>
        <w:t>s, s</w:t>
      </w:r>
      <w:r>
        <w:rPr>
          <w:rFonts w:ascii="Arial" w:cs="Arial" w:eastAsia="Arial" w:hAnsi="Arial"/>
          <w:sz w:val="14"/>
          <w:szCs w:val="14"/>
          <w:color w:val="212326"/>
        </w:rPr>
        <w:t>ubsidiaries</w:t>
      </w:r>
      <w:r>
        <w:rPr>
          <w:rFonts w:ascii="Arial" w:cs="Arial" w:eastAsia="Arial" w:hAnsi="Arial"/>
          <w:sz w:val="14"/>
          <w:szCs w:val="14"/>
          <w:color w:val="46494B"/>
        </w:rPr>
        <w:t>,</w:t>
      </w:r>
      <w:r>
        <w:rPr>
          <w:rFonts w:ascii="Arial" w:cs="Arial" w:eastAsia="Arial" w:hAnsi="Arial"/>
          <w:sz w:val="14"/>
          <w:szCs w:val="14"/>
          <w:color w:val="333638"/>
        </w:rPr>
        <w:t xml:space="preserve"> affiliates (and agents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directors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officers,</w:t>
      </w:r>
      <w:r>
        <w:rPr>
          <w:rFonts w:ascii="Arial" w:cs="Arial" w:eastAsia="Arial" w:hAnsi="Arial"/>
          <w:sz w:val="14"/>
          <w:szCs w:val="14"/>
          <w:color w:val="333638"/>
        </w:rPr>
        <w:t xml:space="preserve"> employees, representatives </w:t>
      </w:r>
      <w:r>
        <w:rPr>
          <w:rFonts w:ascii="Arial" w:cs="Arial" w:eastAsia="Arial" w:hAnsi="Arial"/>
          <w:sz w:val="14"/>
          <w:szCs w:val="14"/>
          <w:color w:val="212326"/>
        </w:rPr>
        <w:t>and</w:t>
      </w:r>
      <w:r>
        <w:rPr>
          <w:rFonts w:ascii="Arial" w:cs="Arial" w:eastAsia="Arial" w:hAnsi="Arial"/>
          <w:sz w:val="14"/>
          <w:szCs w:val="14"/>
          <w:color w:val="333638"/>
        </w:rPr>
        <w:t xml:space="preserve"> attorneys of such </w:t>
      </w:r>
      <w:r>
        <w:rPr>
          <w:rFonts w:ascii="Arial" w:cs="Arial" w:eastAsia="Arial" w:hAnsi="Arial"/>
          <w:sz w:val="14"/>
          <w:szCs w:val="14"/>
          <w:color w:val="212326"/>
        </w:rPr>
        <w:t>divisions</w:t>
      </w:r>
      <w:r>
        <w:rPr>
          <w:rFonts w:ascii="Arial" w:cs="Arial" w:eastAsia="Arial" w:hAnsi="Arial"/>
          <w:sz w:val="14"/>
          <w:szCs w:val="14"/>
          <w:color w:val="56595B"/>
        </w:rPr>
        <w:t>,</w:t>
      </w:r>
      <w:r>
        <w:rPr>
          <w:rFonts w:ascii="Arial" w:cs="Arial" w:eastAsia="Arial" w:hAnsi="Arial"/>
          <w:sz w:val="14"/>
          <w:szCs w:val="14"/>
          <w:color w:val="212326"/>
        </w:rPr>
        <w:t xml:space="preserve"> </w:t>
      </w:r>
      <w:r>
        <w:rPr>
          <w:rFonts w:ascii="Arial" w:cs="Arial" w:eastAsia="Arial" w:hAnsi="Arial"/>
          <w:sz w:val="14"/>
          <w:szCs w:val="14"/>
          <w:color w:val="333638"/>
        </w:rPr>
        <w:t>subsidiaries and affiliates) and all</w:t>
      </w:r>
      <w:r>
        <w:rPr>
          <w:rFonts w:ascii="Arial" w:cs="Arial" w:eastAsia="Arial" w:hAnsi="Arial"/>
          <w:sz w:val="14"/>
          <w:szCs w:val="14"/>
          <w:color w:val="212326"/>
        </w:rPr>
        <w:t xml:space="preserve"> persons </w:t>
      </w:r>
      <w:r>
        <w:rPr>
          <w:rFonts w:ascii="Arial" w:cs="Arial" w:eastAsia="Arial" w:hAnsi="Arial"/>
          <w:sz w:val="14"/>
          <w:szCs w:val="14"/>
          <w:color w:val="333638"/>
        </w:rPr>
        <w:t>acting</w:t>
      </w:r>
      <w:r>
        <w:rPr>
          <w:rFonts w:ascii="Arial" w:cs="Arial" w:eastAsia="Arial" w:hAnsi="Arial"/>
          <w:sz w:val="14"/>
          <w:szCs w:val="14"/>
          <w:color w:val="212326"/>
        </w:rPr>
        <w:t xml:space="preserve"> by</w:t>
      </w:r>
      <w:r>
        <w:rPr>
          <w:rFonts w:ascii="Arial" w:cs="Arial" w:eastAsia="Arial" w:hAnsi="Arial"/>
          <w:sz w:val="14"/>
          <w:szCs w:val="14"/>
          <w:color w:val="56595B"/>
        </w:rPr>
        <w:t>,</w:t>
      </w:r>
      <w:r>
        <w:rPr>
          <w:rFonts w:ascii="Arial" w:cs="Arial" w:eastAsia="Arial" w:hAnsi="Arial"/>
          <w:sz w:val="14"/>
          <w:szCs w:val="14"/>
          <w:color w:val="212326"/>
        </w:rPr>
        <w:t xml:space="preserve"> throu</w:t>
      </w:r>
      <w:r>
        <w:rPr>
          <w:rFonts w:ascii="Arial" w:cs="Arial" w:eastAsia="Arial" w:hAnsi="Arial"/>
          <w:sz w:val="14"/>
          <w:szCs w:val="14"/>
          <w:color w:val="46494B"/>
        </w:rPr>
        <w:t>g</w:t>
      </w:r>
      <w:r>
        <w:rPr>
          <w:rFonts w:ascii="Arial" w:cs="Arial" w:eastAsia="Arial" w:hAnsi="Arial"/>
          <w:sz w:val="14"/>
          <w:szCs w:val="14"/>
          <w:color w:val="212326"/>
        </w:rPr>
        <w:t>h</w:t>
      </w:r>
      <w:r>
        <w:rPr>
          <w:rFonts w:ascii="Arial" w:cs="Arial" w:eastAsia="Arial" w:hAnsi="Arial"/>
          <w:sz w:val="14"/>
          <w:szCs w:val="14"/>
          <w:color w:val="56595B"/>
        </w:rPr>
        <w:t>,</w:t>
      </w:r>
      <w:r>
        <w:rPr>
          <w:rFonts w:ascii="Arial" w:cs="Arial" w:eastAsia="Arial" w:hAnsi="Arial"/>
          <w:sz w:val="14"/>
          <w:szCs w:val="14"/>
          <w:color w:val="212326"/>
        </w:rPr>
        <w:t xml:space="preserve"> under </w:t>
      </w:r>
      <w:r>
        <w:rPr>
          <w:rFonts w:ascii="Arial" w:cs="Arial" w:eastAsia="Arial" w:hAnsi="Arial"/>
          <w:sz w:val="14"/>
          <w:szCs w:val="14"/>
          <w:color w:val="333638"/>
        </w:rPr>
        <w:t>or</w:t>
      </w:r>
      <w:r>
        <w:rPr>
          <w:rFonts w:ascii="Arial" w:cs="Arial" w:eastAsia="Arial" w:hAnsi="Arial"/>
          <w:sz w:val="14"/>
          <w:szCs w:val="14"/>
          <w:color w:val="212326"/>
        </w:rPr>
        <w:t xml:space="preserve"> in concert </w:t>
      </w:r>
      <w:r>
        <w:rPr>
          <w:rFonts w:ascii="Arial" w:cs="Arial" w:eastAsia="Arial" w:hAnsi="Arial"/>
          <w:sz w:val="14"/>
          <w:szCs w:val="14"/>
          <w:color w:val="333638"/>
        </w:rPr>
        <w:t>with</w:t>
      </w:r>
      <w:r>
        <w:rPr>
          <w:rFonts w:ascii="Arial" w:cs="Arial" w:eastAsia="Arial" w:hAnsi="Arial"/>
          <w:sz w:val="14"/>
          <w:szCs w:val="14"/>
          <w:color w:val="212326"/>
        </w:rPr>
        <w:t xml:space="preserve"> any </w:t>
      </w:r>
      <w:r>
        <w:rPr>
          <w:rFonts w:ascii="Arial" w:cs="Arial" w:eastAsia="Arial" w:hAnsi="Arial"/>
          <w:sz w:val="14"/>
          <w:szCs w:val="14"/>
          <w:color w:val="333638"/>
        </w:rPr>
        <w:t>of</w:t>
      </w:r>
      <w:r>
        <w:rPr>
          <w:rFonts w:ascii="Arial" w:cs="Arial" w:eastAsia="Arial" w:hAnsi="Arial"/>
          <w:sz w:val="14"/>
          <w:szCs w:val="14"/>
          <w:color w:val="212326"/>
        </w:rPr>
        <w:t xml:space="preserve"> them </w:t>
      </w:r>
      <w:r>
        <w:rPr>
          <w:rFonts w:ascii="Arial" w:cs="Arial" w:eastAsia="Arial" w:hAnsi="Arial"/>
          <w:sz w:val="14"/>
          <w:szCs w:val="14"/>
          <w:color w:val="333638"/>
        </w:rPr>
        <w:t>(collectively</w:t>
      </w:r>
      <w:r>
        <w:rPr>
          <w:rFonts w:ascii="Arial" w:cs="Arial" w:eastAsia="Arial" w:hAnsi="Arial"/>
          <w:sz w:val="14"/>
          <w:szCs w:val="14"/>
          <w:color w:val="212326"/>
        </w:rPr>
        <w:t xml:space="preserve"> </w:t>
      </w:r>
      <w:r>
        <w:rPr>
          <w:rFonts w:ascii="Arial" w:cs="Arial" w:eastAsia="Arial" w:hAnsi="Arial"/>
          <w:sz w:val="14"/>
          <w:szCs w:val="14"/>
          <w:color w:val="46494B"/>
        </w:rPr>
        <w:t>"</w:t>
      </w:r>
      <w:r>
        <w:rPr>
          <w:rFonts w:ascii="Arial" w:cs="Arial" w:eastAsia="Arial" w:hAnsi="Arial"/>
          <w:sz w:val="14"/>
          <w:szCs w:val="14"/>
          <w:color w:val="212326"/>
        </w:rPr>
        <w:t>Releases</w:t>
      </w:r>
      <w:r>
        <w:rPr>
          <w:rFonts w:ascii="Arial" w:cs="Arial" w:eastAsia="Arial" w:hAnsi="Arial"/>
          <w:sz w:val="14"/>
          <w:szCs w:val="14"/>
          <w:color w:val="56595B"/>
        </w:rPr>
        <w:t>"</w:t>
      </w:r>
      <w:r>
        <w:rPr>
          <w:rFonts w:ascii="Arial" w:cs="Arial" w:eastAsia="Arial" w:hAnsi="Arial"/>
          <w:sz w:val="14"/>
          <w:szCs w:val="14"/>
          <w:color w:val="333638"/>
        </w:rPr>
        <w:t>)</w:t>
      </w:r>
      <w:r>
        <w:rPr>
          <w:rFonts w:ascii="Arial" w:cs="Arial" w:eastAsia="Arial" w:hAnsi="Arial"/>
          <w:sz w:val="14"/>
          <w:szCs w:val="14"/>
          <w:color w:val="56595B"/>
        </w:rPr>
        <w:t>,</w:t>
      </w:r>
      <w:r>
        <w:rPr>
          <w:rFonts w:ascii="Arial" w:cs="Arial" w:eastAsia="Arial" w:hAnsi="Arial"/>
          <w:sz w:val="14"/>
          <w:szCs w:val="14"/>
          <w:color w:val="212326"/>
        </w:rPr>
        <w:t xml:space="preserve"> </w:t>
      </w:r>
      <w:r>
        <w:rPr>
          <w:rFonts w:ascii="Arial" w:cs="Arial" w:eastAsia="Arial" w:hAnsi="Arial"/>
          <w:sz w:val="14"/>
          <w:szCs w:val="14"/>
          <w:color w:val="333638"/>
        </w:rPr>
        <w:t>or</w:t>
      </w:r>
      <w:r>
        <w:rPr>
          <w:rFonts w:ascii="Arial" w:cs="Arial" w:eastAsia="Arial" w:hAnsi="Arial"/>
          <w:sz w:val="14"/>
          <w:szCs w:val="14"/>
          <w:color w:val="212326"/>
        </w:rPr>
        <w:t xml:space="preserve"> any of them</w:t>
      </w:r>
      <w:r>
        <w:rPr>
          <w:rFonts w:ascii="Arial" w:cs="Arial" w:eastAsia="Arial" w:hAnsi="Arial"/>
          <w:sz w:val="14"/>
          <w:szCs w:val="14"/>
          <w:color w:val="56595B"/>
        </w:rPr>
        <w:t>,</w:t>
      </w:r>
      <w:r>
        <w:rPr>
          <w:rFonts w:ascii="Arial" w:cs="Arial" w:eastAsia="Arial" w:hAnsi="Arial"/>
          <w:sz w:val="14"/>
          <w:szCs w:val="14"/>
          <w:color w:val="212326"/>
        </w:rPr>
        <w:t xml:space="preserve"> </w:t>
      </w:r>
      <w:r>
        <w:rPr>
          <w:rFonts w:ascii="Arial" w:cs="Arial" w:eastAsia="Arial" w:hAnsi="Arial"/>
          <w:sz w:val="14"/>
          <w:szCs w:val="14"/>
          <w:color w:val="333638"/>
        </w:rPr>
        <w:t>from</w:t>
      </w:r>
      <w:r>
        <w:rPr>
          <w:rFonts w:ascii="Arial" w:cs="Arial" w:eastAsia="Arial" w:hAnsi="Arial"/>
          <w:sz w:val="14"/>
          <w:szCs w:val="14"/>
          <w:color w:val="212326"/>
        </w:rPr>
        <w:t xml:space="preserve"> any </w:t>
      </w:r>
      <w:r>
        <w:rPr>
          <w:rFonts w:ascii="Arial" w:cs="Arial" w:eastAsia="Arial" w:hAnsi="Arial"/>
          <w:sz w:val="14"/>
          <w:szCs w:val="14"/>
          <w:color w:val="333638"/>
        </w:rPr>
        <w:t>and all</w:t>
      </w:r>
      <w:r>
        <w:rPr>
          <w:rFonts w:ascii="Arial" w:cs="Arial" w:eastAsia="Arial" w:hAnsi="Arial"/>
          <w:sz w:val="14"/>
          <w:szCs w:val="14"/>
          <w:color w:val="212326"/>
        </w:rPr>
        <w:t xml:space="preserve"> </w:t>
      </w:r>
      <w:r>
        <w:rPr>
          <w:rFonts w:ascii="Arial" w:cs="Arial" w:eastAsia="Arial" w:hAnsi="Arial"/>
          <w:sz w:val="14"/>
          <w:szCs w:val="14"/>
          <w:color w:val="333638"/>
        </w:rPr>
        <w:t>charges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complaints</w:t>
      </w:r>
      <w:r>
        <w:rPr>
          <w:rFonts w:ascii="Arial" w:cs="Arial" w:eastAsia="Arial" w:hAnsi="Arial"/>
          <w:sz w:val="14"/>
          <w:szCs w:val="14"/>
          <w:color w:val="46494B"/>
        </w:rPr>
        <w:t>,</w:t>
      </w:r>
      <w:r>
        <w:rPr>
          <w:rFonts w:ascii="Arial" w:cs="Arial" w:eastAsia="Arial" w:hAnsi="Arial"/>
          <w:sz w:val="14"/>
          <w:szCs w:val="14"/>
          <w:color w:val="333638"/>
        </w:rPr>
        <w:t xml:space="preserve"> </w:t>
      </w:r>
      <w:r>
        <w:rPr>
          <w:rFonts w:ascii="Arial" w:cs="Arial" w:eastAsia="Arial" w:hAnsi="Arial"/>
          <w:sz w:val="14"/>
          <w:szCs w:val="14"/>
          <w:color w:val="212326"/>
        </w:rPr>
        <w:t>claims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liabilitie</w:t>
      </w:r>
      <w:r>
        <w:rPr>
          <w:rFonts w:ascii="Arial" w:cs="Arial" w:eastAsia="Arial" w:hAnsi="Arial"/>
          <w:sz w:val="14"/>
          <w:szCs w:val="14"/>
          <w:color w:val="46494B"/>
        </w:rPr>
        <w:t>s,</w:t>
      </w:r>
      <w:r>
        <w:rPr>
          <w:rFonts w:ascii="Arial" w:cs="Arial" w:eastAsia="Arial" w:hAnsi="Arial"/>
          <w:sz w:val="14"/>
          <w:szCs w:val="14"/>
          <w:color w:val="333638"/>
        </w:rPr>
        <w:t xml:space="preserve"> obligations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promises</w:t>
      </w:r>
      <w:r>
        <w:rPr>
          <w:rFonts w:ascii="Arial" w:cs="Arial" w:eastAsia="Arial" w:hAnsi="Arial"/>
          <w:sz w:val="14"/>
          <w:szCs w:val="14"/>
          <w:color w:val="56595B"/>
        </w:rPr>
        <w:t>,</w:t>
      </w:r>
      <w:r>
        <w:rPr>
          <w:rFonts w:ascii="Arial" w:cs="Arial" w:eastAsia="Arial" w:hAnsi="Arial"/>
          <w:sz w:val="14"/>
          <w:szCs w:val="14"/>
          <w:color w:val="333638"/>
        </w:rPr>
        <w:t xml:space="preserve"> agreements</w:t>
      </w:r>
      <w:r>
        <w:rPr>
          <w:rFonts w:ascii="Arial" w:cs="Arial" w:eastAsia="Arial" w:hAnsi="Arial"/>
          <w:sz w:val="14"/>
          <w:szCs w:val="14"/>
          <w:color w:val="56595B"/>
        </w:rPr>
        <w:t>,</w:t>
      </w:r>
      <w:r>
        <w:rPr>
          <w:rFonts w:ascii="Arial" w:cs="Arial" w:eastAsia="Arial" w:hAnsi="Arial"/>
          <w:sz w:val="14"/>
          <w:szCs w:val="14"/>
          <w:color w:val="333638"/>
        </w:rPr>
        <w:t xml:space="preserve"> controversies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damages</w:t>
      </w:r>
      <w:r>
        <w:rPr>
          <w:rFonts w:ascii="Arial" w:cs="Arial" w:eastAsia="Arial" w:hAnsi="Arial"/>
          <w:sz w:val="14"/>
          <w:szCs w:val="14"/>
          <w:color w:val="56595B"/>
        </w:rPr>
        <w:t>,</w:t>
      </w:r>
      <w:r>
        <w:rPr>
          <w:rFonts w:ascii="Arial" w:cs="Arial" w:eastAsia="Arial" w:hAnsi="Arial"/>
          <w:sz w:val="14"/>
          <w:szCs w:val="14"/>
          <w:color w:val="333638"/>
        </w:rPr>
        <w:t xml:space="preserve"> actions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causes</w:t>
      </w:r>
      <w:r>
        <w:rPr>
          <w:rFonts w:ascii="Arial" w:cs="Arial" w:eastAsia="Arial" w:hAnsi="Arial"/>
          <w:sz w:val="14"/>
          <w:szCs w:val="14"/>
          <w:color w:val="333638"/>
        </w:rPr>
        <w:t xml:space="preserve"> of action</w:t>
      </w:r>
      <w:r>
        <w:rPr>
          <w:rFonts w:ascii="Arial" w:cs="Arial" w:eastAsia="Arial" w:hAnsi="Arial"/>
          <w:sz w:val="14"/>
          <w:szCs w:val="14"/>
          <w:color w:val="56595B"/>
        </w:rPr>
        <w:t>,</w:t>
      </w:r>
      <w:r>
        <w:rPr>
          <w:rFonts w:ascii="Arial" w:cs="Arial" w:eastAsia="Arial" w:hAnsi="Arial"/>
          <w:sz w:val="14"/>
          <w:szCs w:val="14"/>
          <w:color w:val="333638"/>
        </w:rPr>
        <w:t xml:space="preserve"> suits, rights, </w:t>
      </w:r>
      <w:r>
        <w:rPr>
          <w:rFonts w:ascii="Arial" w:cs="Arial" w:eastAsia="Arial" w:hAnsi="Arial"/>
          <w:sz w:val="14"/>
          <w:szCs w:val="14"/>
          <w:color w:val="212326"/>
        </w:rPr>
        <w:t>demands</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costs</w:t>
      </w:r>
      <w:r>
        <w:rPr>
          <w:rFonts w:ascii="Arial" w:cs="Arial" w:eastAsia="Arial" w:hAnsi="Arial"/>
          <w:sz w:val="14"/>
          <w:szCs w:val="14"/>
          <w:color w:val="6B7072"/>
        </w:rPr>
        <w:t>,</w:t>
      </w:r>
      <w:r>
        <w:rPr>
          <w:rFonts w:ascii="Arial" w:cs="Arial" w:eastAsia="Arial" w:hAnsi="Arial"/>
          <w:sz w:val="14"/>
          <w:szCs w:val="14"/>
          <w:color w:val="333638"/>
        </w:rPr>
        <w:t xml:space="preserve"> </w:t>
      </w:r>
      <w:r>
        <w:rPr>
          <w:rFonts w:ascii="Arial" w:cs="Arial" w:eastAsia="Arial" w:hAnsi="Arial"/>
          <w:sz w:val="14"/>
          <w:szCs w:val="14"/>
          <w:color w:val="212326"/>
        </w:rPr>
        <w:t>losses</w:t>
      </w:r>
      <w:r>
        <w:rPr>
          <w:rFonts w:ascii="Arial" w:cs="Arial" w:eastAsia="Arial" w:hAnsi="Arial"/>
          <w:sz w:val="14"/>
          <w:szCs w:val="14"/>
          <w:color w:val="46494B"/>
        </w:rPr>
        <w:t>,</w:t>
      </w:r>
      <w:r>
        <w:rPr>
          <w:rFonts w:ascii="Arial" w:cs="Arial" w:eastAsia="Arial" w:hAnsi="Arial"/>
          <w:sz w:val="14"/>
          <w:szCs w:val="14"/>
          <w:color w:val="333638"/>
        </w:rPr>
        <w:t xml:space="preserve"> </w:t>
      </w:r>
      <w:r>
        <w:rPr>
          <w:rFonts w:ascii="Arial" w:cs="Arial" w:eastAsia="Arial" w:hAnsi="Arial"/>
          <w:sz w:val="14"/>
          <w:szCs w:val="14"/>
          <w:color w:val="212326"/>
        </w:rPr>
        <w:t>debt</w:t>
      </w:r>
      <w:r>
        <w:rPr>
          <w:rFonts w:ascii="Arial" w:cs="Arial" w:eastAsia="Arial" w:hAnsi="Arial"/>
          <w:sz w:val="14"/>
          <w:szCs w:val="14"/>
          <w:color w:val="46494B"/>
        </w:rPr>
        <w:t>s</w:t>
      </w:r>
      <w:r>
        <w:rPr>
          <w:rFonts w:ascii="Arial" w:cs="Arial" w:eastAsia="Arial" w:hAnsi="Arial"/>
          <w:sz w:val="14"/>
          <w:szCs w:val="14"/>
          <w:color w:val="333638"/>
        </w:rPr>
        <w:t xml:space="preserve"> and expenses (including attorneys' fees and costs </w:t>
      </w:r>
      <w:r>
        <w:rPr>
          <w:rFonts w:ascii="Arial" w:cs="Arial" w:eastAsia="Arial" w:hAnsi="Arial"/>
          <w:sz w:val="14"/>
          <w:szCs w:val="14"/>
          <w:color w:val="212326"/>
        </w:rPr>
        <w:t>actually incurred)</w:t>
      </w:r>
      <w:r>
        <w:rPr>
          <w:rFonts w:ascii="Arial" w:cs="Arial" w:eastAsia="Arial" w:hAnsi="Arial"/>
          <w:sz w:val="14"/>
          <w:szCs w:val="14"/>
          <w:color w:val="333638"/>
        </w:rPr>
        <w:t xml:space="preserve"> of </w:t>
      </w:r>
      <w:r>
        <w:rPr>
          <w:rFonts w:ascii="Arial" w:cs="Arial" w:eastAsia="Arial" w:hAnsi="Arial"/>
          <w:sz w:val="14"/>
          <w:szCs w:val="14"/>
          <w:color w:val="212326"/>
        </w:rPr>
        <w:t>any nature</w:t>
      </w:r>
      <w:r>
        <w:rPr>
          <w:rFonts w:ascii="Arial" w:cs="Arial" w:eastAsia="Arial" w:hAnsi="Arial"/>
          <w:sz w:val="14"/>
          <w:szCs w:val="14"/>
          <w:color w:val="333638"/>
        </w:rPr>
        <w:t xml:space="preserve"> whatsoever</w:t>
      </w:r>
      <w:r>
        <w:rPr>
          <w:rFonts w:ascii="Arial" w:cs="Arial" w:eastAsia="Arial" w:hAnsi="Arial"/>
          <w:sz w:val="14"/>
          <w:szCs w:val="14"/>
          <w:color w:val="56595B"/>
        </w:rPr>
        <w:t>,</w:t>
      </w:r>
      <w:r>
        <w:rPr>
          <w:rFonts w:ascii="Arial" w:cs="Arial" w:eastAsia="Arial" w:hAnsi="Arial"/>
          <w:sz w:val="14"/>
          <w:szCs w:val="14"/>
          <w:color w:val="333638"/>
        </w:rPr>
        <w:t xml:space="preserve"> known or </w:t>
      </w:r>
      <w:r>
        <w:rPr>
          <w:rFonts w:ascii="Arial" w:cs="Arial" w:eastAsia="Arial" w:hAnsi="Arial"/>
          <w:sz w:val="14"/>
          <w:szCs w:val="14"/>
          <w:color w:val="212326"/>
        </w:rPr>
        <w:t>unknown</w:t>
      </w:r>
      <w:r>
        <w:rPr>
          <w:rFonts w:ascii="Arial" w:cs="Arial" w:eastAsia="Arial" w:hAnsi="Arial"/>
          <w:sz w:val="14"/>
          <w:szCs w:val="14"/>
          <w:color w:val="333638"/>
        </w:rPr>
        <w:t xml:space="preserve"> ("Claim" or </w:t>
      </w:r>
      <w:r>
        <w:rPr>
          <w:rFonts w:ascii="Arial" w:cs="Arial" w:eastAsia="Arial" w:hAnsi="Arial"/>
          <w:sz w:val="14"/>
          <w:szCs w:val="14"/>
          <w:color w:val="56595B"/>
        </w:rPr>
        <w:t>"</w:t>
      </w:r>
      <w:r>
        <w:rPr>
          <w:rFonts w:ascii="Arial" w:cs="Arial" w:eastAsia="Arial" w:hAnsi="Arial"/>
          <w:sz w:val="14"/>
          <w:szCs w:val="14"/>
          <w:color w:val="333638"/>
        </w:rPr>
        <w:t>Claims</w:t>
      </w:r>
      <w:r>
        <w:rPr>
          <w:rFonts w:ascii="Arial" w:cs="Arial" w:eastAsia="Arial" w:hAnsi="Arial"/>
          <w:sz w:val="14"/>
          <w:szCs w:val="14"/>
          <w:color w:val="56595B"/>
        </w:rPr>
        <w:t>"</w:t>
      </w:r>
      <w:r>
        <w:rPr>
          <w:rFonts w:ascii="Arial" w:cs="Arial" w:eastAsia="Arial" w:hAnsi="Arial"/>
          <w:sz w:val="14"/>
          <w:szCs w:val="14"/>
          <w:color w:val="333638"/>
        </w:rPr>
        <w:t xml:space="preserve">), which </w:t>
      </w:r>
      <w:r>
        <w:rPr>
          <w:rFonts w:ascii="Arial" w:cs="Arial" w:eastAsia="Arial" w:hAnsi="Arial"/>
          <w:sz w:val="14"/>
          <w:szCs w:val="14"/>
          <w:color w:val="46494B"/>
        </w:rPr>
        <w:t>E</w:t>
      </w:r>
      <w:r>
        <w:rPr>
          <w:rFonts w:ascii="Arial" w:cs="Arial" w:eastAsia="Arial" w:hAnsi="Arial"/>
          <w:sz w:val="14"/>
          <w:szCs w:val="14"/>
          <w:color w:val="212326"/>
        </w:rPr>
        <w:t>mployee now has</w:t>
      </w:r>
      <w:r>
        <w:rPr>
          <w:rFonts w:ascii="Arial" w:cs="Arial" w:eastAsia="Arial" w:hAnsi="Arial"/>
          <w:sz w:val="14"/>
          <w:szCs w:val="14"/>
          <w:color w:val="56595B"/>
        </w:rPr>
        <w:t>,</w:t>
      </w:r>
      <w:r>
        <w:rPr>
          <w:rFonts w:ascii="Arial" w:cs="Arial" w:eastAsia="Arial" w:hAnsi="Arial"/>
          <w:sz w:val="14"/>
          <w:szCs w:val="14"/>
          <w:color w:val="333638"/>
        </w:rPr>
        <w:t xml:space="preserve"> owns, or </w:t>
      </w:r>
      <w:r>
        <w:rPr>
          <w:rFonts w:ascii="Arial" w:cs="Arial" w:eastAsia="Arial" w:hAnsi="Arial"/>
          <w:sz w:val="14"/>
          <w:szCs w:val="14"/>
          <w:color w:val="212326"/>
        </w:rPr>
        <w:t xml:space="preserve">holds </w:t>
      </w:r>
      <w:r>
        <w:rPr>
          <w:rFonts w:ascii="Arial" w:cs="Arial" w:eastAsia="Arial" w:hAnsi="Arial"/>
          <w:sz w:val="14"/>
          <w:szCs w:val="14"/>
          <w:color w:val="333638"/>
        </w:rPr>
        <w:t>or which Employee at any</w:t>
      </w:r>
      <w:r>
        <w:rPr>
          <w:rFonts w:ascii="Arial" w:cs="Arial" w:eastAsia="Arial" w:hAnsi="Arial"/>
          <w:sz w:val="14"/>
          <w:szCs w:val="14"/>
          <w:color w:val="212326"/>
        </w:rPr>
        <w:t xml:space="preserve"> time </w:t>
      </w:r>
      <w:r>
        <w:rPr>
          <w:rFonts w:ascii="Arial" w:cs="Arial" w:eastAsia="Arial" w:hAnsi="Arial"/>
          <w:sz w:val="14"/>
          <w:szCs w:val="14"/>
          <w:color w:val="333638"/>
        </w:rPr>
        <w:t>previously</w:t>
      </w:r>
      <w:r>
        <w:rPr>
          <w:rFonts w:ascii="Arial" w:cs="Arial" w:eastAsia="Arial" w:hAnsi="Arial"/>
          <w:sz w:val="14"/>
          <w:szCs w:val="14"/>
          <w:color w:val="212326"/>
        </w:rPr>
        <w:t xml:space="preserve"> had</w:t>
      </w:r>
      <w:r>
        <w:rPr>
          <w:rFonts w:ascii="Arial" w:cs="Arial" w:eastAsia="Arial" w:hAnsi="Arial"/>
          <w:sz w:val="14"/>
          <w:szCs w:val="14"/>
          <w:color w:val="56595B"/>
        </w:rPr>
        <w:t>,</w:t>
      </w:r>
      <w:r>
        <w:rPr>
          <w:rFonts w:ascii="Arial" w:cs="Arial" w:eastAsia="Arial" w:hAnsi="Arial"/>
          <w:sz w:val="14"/>
          <w:szCs w:val="14"/>
          <w:color w:val="212326"/>
        </w:rPr>
        <w:t xml:space="preserve"> </w:t>
      </w:r>
      <w:r>
        <w:rPr>
          <w:rFonts w:ascii="Arial" w:cs="Arial" w:eastAsia="Arial" w:hAnsi="Arial"/>
          <w:sz w:val="14"/>
          <w:szCs w:val="14"/>
          <w:color w:val="333638"/>
        </w:rPr>
        <w:t>owned or</w:t>
      </w:r>
      <w:r>
        <w:rPr>
          <w:rFonts w:ascii="Arial" w:cs="Arial" w:eastAsia="Arial" w:hAnsi="Arial"/>
          <w:sz w:val="14"/>
          <w:szCs w:val="14"/>
          <w:color w:val="212326"/>
        </w:rPr>
        <w:t xml:space="preserve"> held </w:t>
      </w:r>
      <w:r>
        <w:rPr>
          <w:rFonts w:ascii="Arial" w:cs="Arial" w:eastAsia="Arial" w:hAnsi="Arial"/>
          <w:sz w:val="14"/>
          <w:szCs w:val="14"/>
          <w:color w:val="333638"/>
        </w:rPr>
        <w:t>against each of the</w:t>
      </w:r>
      <w:r>
        <w:rPr>
          <w:rFonts w:ascii="Arial" w:cs="Arial" w:eastAsia="Arial" w:hAnsi="Arial"/>
          <w:sz w:val="14"/>
          <w:szCs w:val="14"/>
          <w:color w:val="212326"/>
        </w:rPr>
        <w:t xml:space="preserve"> Releases</w:t>
      </w:r>
      <w:r>
        <w:rPr>
          <w:rFonts w:ascii="Arial" w:cs="Arial" w:eastAsia="Arial" w:hAnsi="Arial"/>
          <w:sz w:val="14"/>
          <w:szCs w:val="14"/>
          <w:color w:val="6B7072"/>
        </w:rPr>
        <w:t>,</w:t>
      </w:r>
      <w:r>
        <w:rPr>
          <w:rFonts w:ascii="Arial" w:cs="Arial" w:eastAsia="Arial" w:hAnsi="Arial"/>
          <w:sz w:val="14"/>
          <w:szCs w:val="14"/>
          <w:color w:val="212326"/>
        </w:rPr>
        <w:t xml:space="preserve"> </w:t>
      </w:r>
      <w:r>
        <w:rPr>
          <w:rFonts w:ascii="Arial" w:cs="Arial" w:eastAsia="Arial" w:hAnsi="Arial"/>
          <w:sz w:val="14"/>
          <w:szCs w:val="14"/>
          <w:color w:val="46494B"/>
        </w:rPr>
        <w:t>inc</w:t>
      </w:r>
      <w:r>
        <w:rPr>
          <w:rFonts w:ascii="Arial" w:cs="Arial" w:eastAsia="Arial" w:hAnsi="Arial"/>
          <w:sz w:val="14"/>
          <w:szCs w:val="14"/>
          <w:color w:val="212326"/>
        </w:rPr>
        <w:t>luding</w:t>
      </w:r>
      <w:r>
        <w:rPr>
          <w:rFonts w:ascii="Arial" w:cs="Arial" w:eastAsia="Arial" w:hAnsi="Arial"/>
          <w:sz w:val="14"/>
          <w:szCs w:val="14"/>
          <w:color w:val="46494B"/>
        </w:rPr>
        <w:t>,</w:t>
      </w:r>
      <w:r>
        <w:rPr>
          <w:rFonts w:ascii="Arial" w:cs="Arial" w:eastAsia="Arial" w:hAnsi="Arial"/>
          <w:sz w:val="14"/>
          <w:szCs w:val="14"/>
          <w:color w:val="212326"/>
        </w:rPr>
        <w:t xml:space="preserve"> but not limited to</w:t>
      </w:r>
      <w:r>
        <w:rPr>
          <w:rFonts w:ascii="Arial" w:cs="Arial" w:eastAsia="Arial" w:hAnsi="Arial"/>
          <w:sz w:val="14"/>
          <w:szCs w:val="14"/>
          <w:color w:val="46494B"/>
        </w:rPr>
        <w:t>,</w:t>
      </w:r>
      <w:r>
        <w:rPr>
          <w:rFonts w:ascii="Arial" w:cs="Arial" w:eastAsia="Arial" w:hAnsi="Arial"/>
          <w:sz w:val="14"/>
          <w:szCs w:val="14"/>
          <w:color w:val="212326"/>
        </w:rPr>
        <w:t xml:space="preserve"> </w:t>
      </w:r>
      <w:r>
        <w:rPr>
          <w:rFonts w:ascii="Arial" w:cs="Arial" w:eastAsia="Arial" w:hAnsi="Arial"/>
          <w:sz w:val="14"/>
          <w:szCs w:val="14"/>
          <w:color w:val="333638"/>
        </w:rPr>
        <w:t>(a)</w:t>
      </w:r>
      <w:r>
        <w:rPr>
          <w:rFonts w:ascii="Arial" w:cs="Arial" w:eastAsia="Arial" w:hAnsi="Arial"/>
          <w:sz w:val="14"/>
          <w:szCs w:val="14"/>
          <w:color w:val="212326"/>
        </w:rPr>
        <w:t xml:space="preserve"> </w:t>
      </w:r>
      <w:r>
        <w:rPr>
          <w:rFonts w:ascii="Arial" w:cs="Arial" w:eastAsia="Arial" w:hAnsi="Arial"/>
          <w:sz w:val="14"/>
          <w:szCs w:val="14"/>
          <w:b w:val="1"/>
          <w:bCs w:val="1"/>
          <w:color w:val="212326"/>
        </w:rPr>
        <w:t>all Claims of Age Discrimination under</w:t>
      </w:r>
      <w:r>
        <w:rPr>
          <w:rFonts w:ascii="Arial" w:cs="Arial" w:eastAsia="Arial" w:hAnsi="Arial"/>
          <w:sz w:val="14"/>
          <w:szCs w:val="14"/>
          <w:color w:val="212326"/>
        </w:rPr>
        <w:t xml:space="preserve"> </w:t>
      </w:r>
      <w:r>
        <w:rPr>
          <w:rFonts w:ascii="Arial" w:cs="Arial" w:eastAsia="Arial" w:hAnsi="Arial"/>
          <w:sz w:val="14"/>
          <w:szCs w:val="14"/>
          <w:b w:val="1"/>
          <w:bCs w:val="1"/>
          <w:color w:val="212326"/>
        </w:rPr>
        <w:t xml:space="preserve">the Age Discrimination in Employment Act of 1967 or any similar state </w:t>
      </w:r>
      <w:r>
        <w:rPr>
          <w:rFonts w:ascii="Arial" w:cs="Arial" w:eastAsia="Arial" w:hAnsi="Arial"/>
          <w:sz w:val="14"/>
          <w:szCs w:val="14"/>
          <w:b w:val="1"/>
          <w:bCs w:val="1"/>
          <w:color w:val="333638"/>
        </w:rPr>
        <w:t>statute</w:t>
      </w:r>
      <w:r>
        <w:rPr>
          <w:rFonts w:ascii="Arial" w:cs="Arial" w:eastAsia="Arial" w:hAnsi="Arial"/>
          <w:sz w:val="14"/>
          <w:szCs w:val="14"/>
          <w:b w:val="1"/>
          <w:bCs w:val="1"/>
          <w:color w:val="6B7072"/>
        </w:rPr>
        <w:t>;</w:t>
      </w:r>
      <w:r>
        <w:rPr>
          <w:rFonts w:ascii="Arial" w:cs="Arial" w:eastAsia="Arial" w:hAnsi="Arial"/>
          <w:sz w:val="14"/>
          <w:szCs w:val="14"/>
          <w:b w:val="1"/>
          <w:bCs w:val="1"/>
          <w:color w:val="212326"/>
        </w:rPr>
        <w:t xml:space="preserve"> </w:t>
      </w:r>
      <w:r>
        <w:rPr>
          <w:rFonts w:ascii="Arial" w:cs="Arial" w:eastAsia="Arial" w:hAnsi="Arial"/>
          <w:sz w:val="14"/>
          <w:szCs w:val="14"/>
          <w:color w:val="333638"/>
        </w:rPr>
        <w:t>(b)</w:t>
      </w:r>
      <w:r>
        <w:rPr>
          <w:rFonts w:ascii="Arial" w:cs="Arial" w:eastAsia="Arial" w:hAnsi="Arial"/>
          <w:sz w:val="14"/>
          <w:szCs w:val="14"/>
          <w:b w:val="1"/>
          <w:bCs w:val="1"/>
          <w:color w:val="212326"/>
        </w:rPr>
        <w:t xml:space="preserve"> </w:t>
      </w:r>
      <w:r>
        <w:rPr>
          <w:rFonts w:ascii="Arial" w:cs="Arial" w:eastAsia="Arial" w:hAnsi="Arial"/>
          <w:sz w:val="14"/>
          <w:szCs w:val="14"/>
          <w:color w:val="212326"/>
        </w:rPr>
        <w:t>all</w:t>
      </w:r>
      <w:r>
        <w:rPr>
          <w:rFonts w:ascii="Arial" w:cs="Arial" w:eastAsia="Arial" w:hAnsi="Arial"/>
          <w:sz w:val="14"/>
          <w:szCs w:val="14"/>
          <w:b w:val="1"/>
          <w:bCs w:val="1"/>
          <w:color w:val="212326"/>
        </w:rPr>
        <w:t xml:space="preserve"> </w:t>
      </w:r>
      <w:r>
        <w:rPr>
          <w:rFonts w:ascii="Arial" w:cs="Arial" w:eastAsia="Arial" w:hAnsi="Arial"/>
          <w:sz w:val="14"/>
          <w:szCs w:val="14"/>
          <w:color w:val="333638"/>
        </w:rPr>
        <w:t>Claims under the Employee</w:t>
      </w:r>
      <w:r>
        <w:rPr>
          <w:rFonts w:ascii="Arial" w:cs="Arial" w:eastAsia="Arial" w:hAnsi="Arial"/>
          <w:sz w:val="14"/>
          <w:szCs w:val="14"/>
          <w:b w:val="1"/>
          <w:bCs w:val="1"/>
          <w:color w:val="212326"/>
        </w:rPr>
        <w:t xml:space="preserve"> </w:t>
      </w:r>
      <w:r>
        <w:rPr>
          <w:rFonts w:ascii="Arial" w:cs="Arial" w:eastAsia="Arial" w:hAnsi="Arial"/>
          <w:sz w:val="14"/>
          <w:szCs w:val="14"/>
          <w:color w:val="212326"/>
        </w:rPr>
        <w:t>Retirement Income</w:t>
      </w:r>
      <w:r>
        <w:rPr>
          <w:rFonts w:ascii="Arial" w:cs="Arial" w:eastAsia="Arial" w:hAnsi="Arial"/>
          <w:sz w:val="14"/>
          <w:szCs w:val="14"/>
          <w:b w:val="1"/>
          <w:bCs w:val="1"/>
          <w:color w:val="212326"/>
        </w:rPr>
        <w:t xml:space="preserve"> </w:t>
      </w:r>
      <w:r>
        <w:rPr>
          <w:rFonts w:ascii="Arial" w:cs="Arial" w:eastAsia="Arial" w:hAnsi="Arial"/>
          <w:sz w:val="14"/>
          <w:szCs w:val="14"/>
          <w:color w:val="333638"/>
        </w:rPr>
        <w:t>Security</w:t>
      </w:r>
      <w:r>
        <w:rPr>
          <w:rFonts w:ascii="Arial" w:cs="Arial" w:eastAsia="Arial" w:hAnsi="Arial"/>
          <w:sz w:val="14"/>
          <w:szCs w:val="14"/>
          <w:b w:val="1"/>
          <w:bCs w:val="1"/>
          <w:color w:val="212326"/>
        </w:rPr>
        <w:t xml:space="preserve"> </w:t>
      </w:r>
      <w:r>
        <w:rPr>
          <w:rFonts w:ascii="Arial" w:cs="Arial" w:eastAsia="Arial" w:hAnsi="Arial"/>
          <w:sz w:val="14"/>
          <w:szCs w:val="14"/>
          <w:color w:val="212326"/>
        </w:rPr>
        <w:t>Act</w:t>
      </w:r>
      <w:r>
        <w:rPr>
          <w:rFonts w:ascii="Arial" w:cs="Arial" w:eastAsia="Arial" w:hAnsi="Arial"/>
          <w:sz w:val="14"/>
          <w:szCs w:val="14"/>
          <w:b w:val="1"/>
          <w:bCs w:val="1"/>
          <w:color w:val="212326"/>
        </w:rPr>
        <w:t xml:space="preserve"> </w:t>
      </w:r>
      <w:r>
        <w:rPr>
          <w:rFonts w:ascii="Arial" w:cs="Arial" w:eastAsia="Arial" w:hAnsi="Arial"/>
          <w:sz w:val="14"/>
          <w:szCs w:val="14"/>
          <w:color w:val="333638"/>
        </w:rPr>
        <w:t>of 1974; (c) all</w:t>
      </w:r>
      <w:r>
        <w:rPr>
          <w:rFonts w:ascii="Arial" w:cs="Arial" w:eastAsia="Arial" w:hAnsi="Arial"/>
          <w:sz w:val="14"/>
          <w:szCs w:val="14"/>
          <w:b w:val="1"/>
          <w:bCs w:val="1"/>
          <w:color w:val="212326"/>
        </w:rPr>
        <w:t xml:space="preserve"> </w:t>
      </w:r>
      <w:r>
        <w:rPr>
          <w:rFonts w:ascii="Arial" w:cs="Arial" w:eastAsia="Arial" w:hAnsi="Arial"/>
          <w:sz w:val="14"/>
          <w:szCs w:val="14"/>
          <w:color w:val="333638"/>
        </w:rPr>
        <w:t xml:space="preserve">employment or discrimination Claims </w:t>
      </w:r>
      <w:r>
        <w:rPr>
          <w:rFonts w:ascii="Arial" w:cs="Arial" w:eastAsia="Arial" w:hAnsi="Arial"/>
          <w:sz w:val="14"/>
          <w:szCs w:val="14"/>
          <w:color w:val="212326"/>
        </w:rPr>
        <w:t>under the</w:t>
      </w:r>
      <w:r>
        <w:rPr>
          <w:rFonts w:ascii="Arial" w:cs="Arial" w:eastAsia="Arial" w:hAnsi="Arial"/>
          <w:sz w:val="14"/>
          <w:szCs w:val="14"/>
          <w:color w:val="333638"/>
        </w:rPr>
        <w:t xml:space="preserve"> statutes of </w:t>
      </w:r>
      <w:r>
        <w:rPr>
          <w:rFonts w:ascii="Arial" w:cs="Arial" w:eastAsia="Arial" w:hAnsi="Arial"/>
          <w:sz w:val="14"/>
          <w:szCs w:val="14"/>
          <w:color w:val="212326"/>
        </w:rPr>
        <w:t>the</w:t>
      </w:r>
      <w:r>
        <w:rPr>
          <w:rFonts w:ascii="Arial" w:cs="Arial" w:eastAsia="Arial" w:hAnsi="Arial"/>
          <w:sz w:val="14"/>
          <w:szCs w:val="14"/>
          <w:color w:val="333638"/>
        </w:rPr>
        <w:t xml:space="preserve"> State of New </w:t>
      </w:r>
      <w:r>
        <w:rPr>
          <w:rFonts w:ascii="Arial" w:cs="Arial" w:eastAsia="Arial" w:hAnsi="Arial"/>
          <w:sz w:val="14"/>
          <w:szCs w:val="14"/>
          <w:color w:val="212326"/>
        </w:rPr>
        <w:t>Jersey</w:t>
      </w:r>
      <w:r>
        <w:rPr>
          <w:rFonts w:ascii="Arial" w:cs="Arial" w:eastAsia="Arial" w:hAnsi="Arial"/>
          <w:sz w:val="14"/>
          <w:szCs w:val="14"/>
          <w:color w:val="333638"/>
        </w:rPr>
        <w:t xml:space="preserve"> or any other state</w:t>
      </w:r>
      <w:r>
        <w:rPr>
          <w:rFonts w:ascii="Arial" w:cs="Arial" w:eastAsia="Arial" w:hAnsi="Arial"/>
          <w:sz w:val="14"/>
          <w:szCs w:val="14"/>
          <w:color w:val="56595B"/>
        </w:rPr>
        <w:t>;</w:t>
      </w:r>
      <w:r>
        <w:rPr>
          <w:rFonts w:ascii="Arial" w:cs="Arial" w:eastAsia="Arial" w:hAnsi="Arial"/>
          <w:sz w:val="14"/>
          <w:szCs w:val="14"/>
          <w:color w:val="333638"/>
        </w:rPr>
        <w:t xml:space="preserve"> (d) all Claims of </w:t>
      </w:r>
      <w:r>
        <w:rPr>
          <w:rFonts w:ascii="Arial" w:cs="Arial" w:eastAsia="Arial" w:hAnsi="Arial"/>
          <w:sz w:val="14"/>
          <w:szCs w:val="14"/>
          <w:color w:val="212326"/>
        </w:rPr>
        <w:t>unlawful discrimination</w:t>
      </w:r>
      <w:r>
        <w:rPr>
          <w:rFonts w:ascii="Arial" w:cs="Arial" w:eastAsia="Arial" w:hAnsi="Arial"/>
          <w:sz w:val="14"/>
          <w:szCs w:val="14"/>
          <w:color w:val="333638"/>
        </w:rPr>
        <w:t xml:space="preserve"> based on age, sex, </w:t>
      </w:r>
      <w:r>
        <w:rPr>
          <w:rFonts w:ascii="Arial" w:cs="Arial" w:eastAsia="Arial" w:hAnsi="Arial"/>
          <w:sz w:val="14"/>
          <w:szCs w:val="14"/>
          <w:color w:val="212326"/>
        </w:rPr>
        <w:t>race</w:t>
      </w:r>
      <w:r>
        <w:rPr>
          <w:rFonts w:ascii="Arial" w:cs="Arial" w:eastAsia="Arial" w:hAnsi="Arial"/>
          <w:sz w:val="14"/>
          <w:szCs w:val="14"/>
          <w:color w:val="56595B"/>
        </w:rPr>
        <w:t>,</w:t>
      </w:r>
      <w:r>
        <w:rPr>
          <w:rFonts w:ascii="Arial" w:cs="Arial" w:eastAsia="Arial" w:hAnsi="Arial"/>
          <w:sz w:val="14"/>
          <w:szCs w:val="14"/>
          <w:color w:val="333638"/>
        </w:rPr>
        <w:t xml:space="preserve"> religion, </w:t>
      </w:r>
      <w:r>
        <w:rPr>
          <w:rFonts w:ascii="Arial" w:cs="Arial" w:eastAsia="Arial" w:hAnsi="Arial"/>
          <w:sz w:val="14"/>
          <w:szCs w:val="14"/>
          <w:color w:val="212326"/>
        </w:rPr>
        <w:t>national</w:t>
      </w:r>
      <w:r>
        <w:rPr>
          <w:rFonts w:ascii="Arial" w:cs="Arial" w:eastAsia="Arial" w:hAnsi="Arial"/>
          <w:sz w:val="14"/>
          <w:szCs w:val="14"/>
          <w:color w:val="333638"/>
        </w:rPr>
        <w:t xml:space="preserve"> origin</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handicap</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disability</w:t>
      </w:r>
      <w:r>
        <w:rPr>
          <w:rFonts w:ascii="Arial" w:cs="Arial" w:eastAsia="Arial" w:hAnsi="Arial"/>
          <w:sz w:val="14"/>
          <w:szCs w:val="14"/>
          <w:color w:val="56595B"/>
        </w:rPr>
        <w:t>,</w:t>
      </w:r>
      <w:r>
        <w:rPr>
          <w:rFonts w:ascii="Arial" w:cs="Arial" w:eastAsia="Arial" w:hAnsi="Arial"/>
          <w:sz w:val="14"/>
          <w:szCs w:val="14"/>
          <w:color w:val="333638"/>
        </w:rPr>
        <w:t xml:space="preserve"> equal pay or any other basis</w:t>
      </w:r>
      <w:r>
        <w:rPr>
          <w:rFonts w:ascii="Arial" w:cs="Arial" w:eastAsia="Arial" w:hAnsi="Arial"/>
          <w:sz w:val="14"/>
          <w:szCs w:val="14"/>
          <w:color w:val="56595B"/>
        </w:rPr>
        <w:t>;</w:t>
      </w:r>
      <w:r>
        <w:rPr>
          <w:rFonts w:ascii="Arial" w:cs="Arial" w:eastAsia="Arial" w:hAnsi="Arial"/>
          <w:sz w:val="14"/>
          <w:szCs w:val="14"/>
          <w:color w:val="333638"/>
        </w:rPr>
        <w:t xml:space="preserve"> (e) all Claims of wrongful </w:t>
      </w:r>
      <w:r>
        <w:rPr>
          <w:rFonts w:ascii="Arial" w:cs="Arial" w:eastAsia="Arial" w:hAnsi="Arial"/>
          <w:sz w:val="14"/>
          <w:szCs w:val="14"/>
          <w:color w:val="212326"/>
        </w:rPr>
        <w:t>discharge</w:t>
      </w:r>
      <w:r>
        <w:rPr>
          <w:rFonts w:ascii="Arial" w:cs="Arial" w:eastAsia="Arial" w:hAnsi="Arial"/>
          <w:sz w:val="14"/>
          <w:szCs w:val="14"/>
          <w:color w:val="46494B"/>
        </w:rPr>
        <w:t>,</w:t>
      </w:r>
      <w:r>
        <w:rPr>
          <w:rFonts w:ascii="Arial" w:cs="Arial" w:eastAsia="Arial" w:hAnsi="Arial"/>
          <w:sz w:val="14"/>
          <w:szCs w:val="14"/>
          <w:color w:val="333638"/>
        </w:rPr>
        <w:t xml:space="preserve"> </w:t>
      </w:r>
      <w:r>
        <w:rPr>
          <w:rFonts w:ascii="Arial" w:cs="Arial" w:eastAsia="Arial" w:hAnsi="Arial"/>
          <w:sz w:val="14"/>
          <w:szCs w:val="14"/>
          <w:color w:val="212326"/>
        </w:rPr>
        <w:t>retaliation</w:t>
      </w:r>
      <w:r>
        <w:rPr>
          <w:rFonts w:ascii="Arial" w:cs="Arial" w:eastAsia="Arial" w:hAnsi="Arial"/>
          <w:sz w:val="14"/>
          <w:szCs w:val="14"/>
          <w:color w:val="46494B"/>
        </w:rPr>
        <w:t>,</w:t>
      </w:r>
      <w:r>
        <w:rPr>
          <w:rFonts w:ascii="Arial" w:cs="Arial" w:eastAsia="Arial" w:hAnsi="Arial"/>
          <w:sz w:val="14"/>
          <w:szCs w:val="14"/>
          <w:color w:val="333638"/>
        </w:rPr>
        <w:t xml:space="preserve"> </w:t>
      </w:r>
      <w:r>
        <w:rPr>
          <w:rFonts w:ascii="Arial" w:cs="Arial" w:eastAsia="Arial" w:hAnsi="Arial"/>
          <w:sz w:val="14"/>
          <w:szCs w:val="14"/>
          <w:color w:val="212326"/>
        </w:rPr>
        <w:t>breach</w:t>
      </w:r>
      <w:r>
        <w:rPr>
          <w:rFonts w:ascii="Arial" w:cs="Arial" w:eastAsia="Arial" w:hAnsi="Arial"/>
          <w:sz w:val="14"/>
          <w:szCs w:val="14"/>
          <w:color w:val="333638"/>
        </w:rPr>
        <w:t xml:space="preserve"> of any </w:t>
      </w:r>
      <w:r>
        <w:rPr>
          <w:rFonts w:ascii="Arial" w:cs="Arial" w:eastAsia="Arial" w:hAnsi="Arial"/>
          <w:sz w:val="14"/>
          <w:szCs w:val="14"/>
          <w:color w:val="212326"/>
        </w:rPr>
        <w:t>implied</w:t>
      </w:r>
      <w:r>
        <w:rPr>
          <w:rFonts w:ascii="Arial" w:cs="Arial" w:eastAsia="Arial" w:hAnsi="Arial"/>
          <w:sz w:val="14"/>
          <w:szCs w:val="14"/>
          <w:color w:val="333638"/>
        </w:rPr>
        <w:t xml:space="preserve"> or </w:t>
      </w:r>
      <w:r>
        <w:rPr>
          <w:rFonts w:ascii="Arial" w:cs="Arial" w:eastAsia="Arial" w:hAnsi="Arial"/>
          <w:sz w:val="14"/>
          <w:szCs w:val="14"/>
          <w:color w:val="212326"/>
        </w:rPr>
        <w:t>express</w:t>
      </w:r>
      <w:r>
        <w:rPr>
          <w:rFonts w:ascii="Arial" w:cs="Arial" w:eastAsia="Arial" w:hAnsi="Arial"/>
          <w:sz w:val="14"/>
          <w:szCs w:val="14"/>
          <w:color w:val="333638"/>
        </w:rPr>
        <w:t xml:space="preserve"> employment contract</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negligent</w:t>
      </w:r>
      <w:r>
        <w:rPr>
          <w:rFonts w:ascii="Arial" w:cs="Arial" w:eastAsia="Arial" w:hAnsi="Arial"/>
          <w:sz w:val="14"/>
          <w:szCs w:val="14"/>
          <w:color w:val="333638"/>
        </w:rPr>
        <w:t xml:space="preserve"> or </w:t>
      </w:r>
      <w:r>
        <w:rPr>
          <w:rFonts w:ascii="Arial" w:cs="Arial" w:eastAsia="Arial" w:hAnsi="Arial"/>
          <w:sz w:val="14"/>
          <w:szCs w:val="14"/>
          <w:color w:val="212326"/>
        </w:rPr>
        <w:t>intentional infliction</w:t>
      </w:r>
      <w:r>
        <w:rPr>
          <w:rFonts w:ascii="Arial" w:cs="Arial" w:eastAsia="Arial" w:hAnsi="Arial"/>
          <w:sz w:val="14"/>
          <w:szCs w:val="14"/>
          <w:color w:val="333638"/>
        </w:rPr>
        <w:t xml:space="preserve"> of emotional </w:t>
      </w:r>
      <w:r>
        <w:rPr>
          <w:rFonts w:ascii="Arial" w:cs="Arial" w:eastAsia="Arial" w:hAnsi="Arial"/>
          <w:sz w:val="14"/>
          <w:szCs w:val="14"/>
          <w:color w:val="212326"/>
        </w:rPr>
        <w:t>distress</w:t>
      </w:r>
      <w:r>
        <w:rPr>
          <w:rFonts w:ascii="Arial" w:cs="Arial" w:eastAsia="Arial" w:hAnsi="Arial"/>
          <w:sz w:val="14"/>
          <w:szCs w:val="14"/>
          <w:color w:val="46494B"/>
        </w:rPr>
        <w:t>,</w:t>
      </w:r>
      <w:r>
        <w:rPr>
          <w:rFonts w:ascii="Arial" w:cs="Arial" w:eastAsia="Arial" w:hAnsi="Arial"/>
          <w:sz w:val="14"/>
          <w:szCs w:val="14"/>
          <w:color w:val="333638"/>
        </w:rPr>
        <w:t xml:space="preserve"> </w:t>
      </w:r>
      <w:r>
        <w:rPr>
          <w:rFonts w:ascii="Arial" w:cs="Arial" w:eastAsia="Arial" w:hAnsi="Arial"/>
          <w:sz w:val="14"/>
          <w:szCs w:val="14"/>
          <w:color w:val="212326"/>
        </w:rPr>
        <w:t>libel</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defamation</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breach</w:t>
      </w:r>
      <w:r>
        <w:rPr>
          <w:rFonts w:ascii="Arial" w:cs="Arial" w:eastAsia="Arial" w:hAnsi="Arial"/>
          <w:sz w:val="14"/>
          <w:szCs w:val="14"/>
          <w:color w:val="333638"/>
        </w:rPr>
        <w:t xml:space="preserve"> of privacy</w:t>
      </w:r>
      <w:r>
        <w:rPr>
          <w:rFonts w:ascii="Arial" w:cs="Arial" w:eastAsia="Arial" w:hAnsi="Arial"/>
          <w:sz w:val="14"/>
          <w:szCs w:val="14"/>
          <w:color w:val="56595B"/>
        </w:rPr>
        <w:t>,</w:t>
      </w:r>
      <w:r>
        <w:rPr>
          <w:rFonts w:ascii="Arial" w:cs="Arial" w:eastAsia="Arial" w:hAnsi="Arial"/>
          <w:sz w:val="14"/>
          <w:szCs w:val="14"/>
          <w:color w:val="333638"/>
        </w:rPr>
        <w:t xml:space="preserve"> fraud, and breach of any implied covenant </w:t>
      </w:r>
      <w:r>
        <w:rPr>
          <w:rFonts w:ascii="Arial" w:cs="Arial" w:eastAsia="Arial" w:hAnsi="Arial"/>
          <w:sz w:val="14"/>
          <w:szCs w:val="14"/>
          <w:color w:val="212326"/>
        </w:rPr>
        <w:t>of</w:t>
      </w:r>
      <w:r>
        <w:rPr>
          <w:rFonts w:ascii="Arial" w:cs="Arial" w:eastAsia="Arial" w:hAnsi="Arial"/>
          <w:sz w:val="14"/>
          <w:szCs w:val="14"/>
          <w:color w:val="333638"/>
        </w:rPr>
        <w:t xml:space="preserve"> good faith and fair </w:t>
      </w:r>
      <w:r>
        <w:rPr>
          <w:rFonts w:ascii="Arial" w:cs="Arial" w:eastAsia="Arial" w:hAnsi="Arial"/>
          <w:sz w:val="14"/>
          <w:szCs w:val="14"/>
          <w:color w:val="212326"/>
        </w:rPr>
        <w:t>dealing</w:t>
      </w:r>
      <w:r>
        <w:rPr>
          <w:rFonts w:ascii="Arial" w:cs="Arial" w:eastAsia="Arial" w:hAnsi="Arial"/>
          <w:sz w:val="14"/>
          <w:szCs w:val="14"/>
          <w:color w:val="56595B"/>
        </w:rPr>
        <w:t>;</w:t>
      </w:r>
      <w:r>
        <w:rPr>
          <w:rFonts w:ascii="Arial" w:cs="Arial" w:eastAsia="Arial" w:hAnsi="Arial"/>
          <w:sz w:val="14"/>
          <w:szCs w:val="14"/>
          <w:color w:val="333638"/>
        </w:rPr>
        <w:t xml:space="preserve"> and (f) </w:t>
      </w:r>
      <w:r>
        <w:rPr>
          <w:rFonts w:ascii="Arial" w:cs="Arial" w:eastAsia="Arial" w:hAnsi="Arial"/>
          <w:sz w:val="14"/>
          <w:szCs w:val="14"/>
          <w:color w:val="212326"/>
        </w:rPr>
        <w:t>all</w:t>
      </w:r>
      <w:r>
        <w:rPr>
          <w:rFonts w:ascii="Arial" w:cs="Arial" w:eastAsia="Arial" w:hAnsi="Arial"/>
          <w:sz w:val="14"/>
          <w:szCs w:val="14"/>
          <w:color w:val="333638"/>
        </w:rPr>
        <w:t xml:space="preserve"> Claims related </w:t>
      </w:r>
      <w:r>
        <w:rPr>
          <w:rFonts w:ascii="Arial" w:cs="Arial" w:eastAsia="Arial" w:hAnsi="Arial"/>
          <w:sz w:val="14"/>
          <w:szCs w:val="14"/>
          <w:color w:val="212326"/>
        </w:rPr>
        <w:t>to</w:t>
      </w:r>
      <w:r>
        <w:rPr>
          <w:rFonts w:ascii="Arial" w:cs="Arial" w:eastAsia="Arial" w:hAnsi="Arial"/>
          <w:sz w:val="14"/>
          <w:szCs w:val="14"/>
          <w:color w:val="333638"/>
        </w:rPr>
        <w:t xml:space="preserve"> </w:t>
      </w:r>
      <w:r>
        <w:rPr>
          <w:rFonts w:ascii="Arial" w:cs="Arial" w:eastAsia="Arial" w:hAnsi="Arial"/>
          <w:sz w:val="14"/>
          <w:szCs w:val="14"/>
          <w:color w:val="46494B"/>
        </w:rPr>
        <w:t>E</w:t>
      </w:r>
      <w:r>
        <w:rPr>
          <w:rFonts w:ascii="Arial" w:cs="Arial" w:eastAsia="Arial" w:hAnsi="Arial"/>
          <w:sz w:val="14"/>
          <w:szCs w:val="14"/>
          <w:color w:val="212326"/>
        </w:rPr>
        <w:t>mplo</w:t>
      </w:r>
      <w:r>
        <w:rPr>
          <w:rFonts w:ascii="Arial" w:cs="Arial" w:eastAsia="Arial" w:hAnsi="Arial"/>
          <w:sz w:val="14"/>
          <w:szCs w:val="14"/>
          <w:color w:val="46494B"/>
        </w:rPr>
        <w:t>yee's</w:t>
      </w:r>
      <w:r>
        <w:rPr>
          <w:rFonts w:ascii="Arial" w:cs="Arial" w:eastAsia="Arial" w:hAnsi="Arial"/>
          <w:sz w:val="14"/>
          <w:szCs w:val="14"/>
          <w:color w:val="333638"/>
        </w:rPr>
        <w:t xml:space="preserve"> employment with </w:t>
      </w:r>
      <w:r>
        <w:rPr>
          <w:rFonts w:ascii="Arial" w:cs="Arial" w:eastAsia="Arial" w:hAnsi="Arial"/>
          <w:sz w:val="14"/>
          <w:szCs w:val="14"/>
          <w:color w:val="212326"/>
        </w:rPr>
        <w:t>the</w:t>
      </w:r>
      <w:r>
        <w:rPr>
          <w:rFonts w:ascii="Arial" w:cs="Arial" w:eastAsia="Arial" w:hAnsi="Arial"/>
          <w:sz w:val="14"/>
          <w:szCs w:val="14"/>
          <w:color w:val="333638"/>
        </w:rPr>
        <w:t xml:space="preserve"> Company</w:t>
      </w:r>
      <w:r>
        <w:rPr>
          <w:rFonts w:ascii="Arial" w:cs="Arial" w:eastAsia="Arial" w:hAnsi="Arial"/>
          <w:sz w:val="14"/>
          <w:szCs w:val="14"/>
          <w:color w:val="56595B"/>
        </w:rPr>
        <w:t>,</w:t>
      </w:r>
      <w:r>
        <w:rPr>
          <w:rFonts w:ascii="Arial" w:cs="Arial" w:eastAsia="Arial" w:hAnsi="Arial"/>
          <w:sz w:val="14"/>
          <w:szCs w:val="14"/>
          <w:color w:val="333638"/>
        </w:rPr>
        <w:t xml:space="preserve"> </w:t>
      </w:r>
      <w:r>
        <w:rPr>
          <w:rFonts w:ascii="Arial" w:cs="Arial" w:eastAsia="Arial" w:hAnsi="Arial"/>
          <w:sz w:val="14"/>
          <w:szCs w:val="14"/>
          <w:color w:val="212326"/>
        </w:rPr>
        <w:t>including but not limited</w:t>
      </w:r>
      <w:r>
        <w:rPr>
          <w:rFonts w:ascii="Arial" w:cs="Arial" w:eastAsia="Arial" w:hAnsi="Arial"/>
          <w:sz w:val="14"/>
          <w:szCs w:val="14"/>
          <w:color w:val="333638"/>
        </w:rPr>
        <w:t xml:space="preserve"> to all Claims </w:t>
      </w:r>
      <w:r>
        <w:rPr>
          <w:rFonts w:ascii="Arial" w:cs="Arial" w:eastAsia="Arial" w:hAnsi="Arial"/>
          <w:sz w:val="14"/>
          <w:szCs w:val="14"/>
          <w:color w:val="212326"/>
        </w:rPr>
        <w:t>related</w:t>
      </w:r>
      <w:r>
        <w:rPr>
          <w:rFonts w:ascii="Arial" w:cs="Arial" w:eastAsia="Arial" w:hAnsi="Arial"/>
          <w:sz w:val="14"/>
          <w:szCs w:val="14"/>
          <w:color w:val="333638"/>
        </w:rPr>
        <w:t xml:space="preserve"> to unpaid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-6985</wp:posOffset>
            </wp:positionV>
            <wp:extent cx="671385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260"/>
        <w:spacing w:after="0"/>
        <w:tabs>
          <w:tab w:leader="none" w:pos="8980" w:val="left"/>
        </w:tabs>
        <w:rPr>
          <w:sz w:val="20"/>
          <w:szCs w:val="20"/>
          <w:color w:val="auto"/>
        </w:rPr>
      </w:pPr>
      <w:r>
        <w:rPr>
          <w:rFonts w:ascii="Arial" w:cs="Arial" w:eastAsia="Arial" w:hAnsi="Arial"/>
          <w:sz w:val="11"/>
          <w:szCs w:val="11"/>
          <w:color w:val="auto"/>
        </w:rPr>
        <w:t>Separation Agreement And General Release/J. Michael Peffer</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200"/>
          </w:cols>
          <w:pgMar w:left="480" w:top="317"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3051F2"/>
        </w:rPr>
        <w:t>EXHIBIT 10.6(f)(i)</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right="60"/>
        <w:spacing w:after="0" w:line="213" w:lineRule="auto"/>
        <w:rPr>
          <w:sz w:val="20"/>
          <w:szCs w:val="20"/>
          <w:color w:val="auto"/>
        </w:rPr>
      </w:pPr>
      <w:r>
        <w:rPr>
          <w:rFonts w:ascii="Arial" w:cs="Arial" w:eastAsia="Arial" w:hAnsi="Arial"/>
          <w:sz w:val="14"/>
          <w:szCs w:val="14"/>
          <w:color w:val="24282A"/>
        </w:rPr>
        <w:t>wages, salary, overtime compensation, bonuses, commissions</w:t>
      </w:r>
      <w:r>
        <w:rPr>
          <w:rFonts w:ascii="Arial" w:cs="Arial" w:eastAsia="Arial" w:hAnsi="Arial"/>
          <w:sz w:val="14"/>
          <w:szCs w:val="14"/>
          <w:color w:val="5B5D60"/>
        </w:rPr>
        <w:t>,</w:t>
      </w:r>
      <w:r>
        <w:rPr>
          <w:rFonts w:ascii="Arial" w:cs="Arial" w:eastAsia="Arial" w:hAnsi="Arial"/>
          <w:sz w:val="14"/>
          <w:szCs w:val="14"/>
          <w:color w:val="24282A"/>
        </w:rPr>
        <w:t xml:space="preserve"> </w:t>
      </w:r>
      <w:r>
        <w:rPr>
          <w:rFonts w:ascii="Arial" w:cs="Arial" w:eastAsia="Arial" w:hAnsi="Arial"/>
          <w:sz w:val="14"/>
          <w:szCs w:val="14"/>
          <w:color w:val="3B3D3F"/>
        </w:rPr>
        <w:t>severance</w:t>
      </w:r>
      <w:r>
        <w:rPr>
          <w:rFonts w:ascii="Arial" w:cs="Arial" w:eastAsia="Arial" w:hAnsi="Arial"/>
          <w:sz w:val="14"/>
          <w:szCs w:val="14"/>
          <w:color w:val="24282A"/>
        </w:rPr>
        <w:t xml:space="preserve"> pay, supplemental unemployment benefit pay, </w:t>
      </w:r>
      <w:r>
        <w:rPr>
          <w:rFonts w:ascii="Arial" w:cs="Arial" w:eastAsia="Arial" w:hAnsi="Arial"/>
          <w:sz w:val="14"/>
          <w:szCs w:val="14"/>
          <w:color w:val="3B3D3F"/>
        </w:rPr>
        <w:t>vacation</w:t>
      </w:r>
      <w:r>
        <w:rPr>
          <w:rFonts w:ascii="Arial" w:cs="Arial" w:eastAsia="Arial" w:hAnsi="Arial"/>
          <w:sz w:val="14"/>
          <w:szCs w:val="14"/>
          <w:color w:val="24282A"/>
        </w:rPr>
        <w:t xml:space="preserve"> pay</w:t>
      </w:r>
      <w:r>
        <w:rPr>
          <w:rFonts w:ascii="Arial" w:cs="Arial" w:eastAsia="Arial" w:hAnsi="Arial"/>
          <w:sz w:val="14"/>
          <w:szCs w:val="14"/>
          <w:color w:val="5B5D60"/>
        </w:rPr>
        <w:t>,</w:t>
      </w:r>
      <w:r>
        <w:rPr>
          <w:rFonts w:ascii="Arial" w:cs="Arial" w:eastAsia="Arial" w:hAnsi="Arial"/>
          <w:sz w:val="14"/>
          <w:szCs w:val="14"/>
          <w:color w:val="24282A"/>
        </w:rPr>
        <w:t xml:space="preserve"> or other compensation or benefits arising out of </w:t>
      </w:r>
      <w:r>
        <w:rPr>
          <w:rFonts w:ascii="Arial" w:cs="Arial" w:eastAsia="Arial" w:hAnsi="Arial"/>
          <w:sz w:val="14"/>
          <w:szCs w:val="14"/>
          <w:color w:val="3B3D3F"/>
        </w:rPr>
        <w:t>Employee's</w:t>
      </w:r>
      <w:r>
        <w:rPr>
          <w:rFonts w:ascii="Arial" w:cs="Arial" w:eastAsia="Arial" w:hAnsi="Arial"/>
          <w:sz w:val="14"/>
          <w:szCs w:val="14"/>
          <w:color w:val="24282A"/>
        </w:rPr>
        <w:t xml:space="preserve"> employment with the </w:t>
      </w:r>
      <w:r>
        <w:rPr>
          <w:rFonts w:ascii="Arial" w:cs="Arial" w:eastAsia="Arial" w:hAnsi="Arial"/>
          <w:sz w:val="14"/>
          <w:szCs w:val="14"/>
          <w:color w:val="3B3D3F"/>
        </w:rPr>
        <w:t>Company. Employee</w:t>
      </w:r>
      <w:r>
        <w:rPr>
          <w:rFonts w:ascii="Arial" w:cs="Arial" w:eastAsia="Arial" w:hAnsi="Arial"/>
          <w:sz w:val="14"/>
          <w:szCs w:val="14"/>
          <w:color w:val="24282A"/>
        </w:rPr>
        <w:t xml:space="preserve"> covenants and agrees not to bring any judicial </w:t>
      </w:r>
      <w:r>
        <w:rPr>
          <w:rFonts w:ascii="Arial" w:cs="Arial" w:eastAsia="Arial" w:hAnsi="Arial"/>
          <w:sz w:val="14"/>
          <w:szCs w:val="14"/>
          <w:color w:val="3B3D3F"/>
        </w:rPr>
        <w:t>action or</w:t>
      </w:r>
      <w:r>
        <w:rPr>
          <w:rFonts w:ascii="Arial" w:cs="Arial" w:eastAsia="Arial" w:hAnsi="Arial"/>
          <w:sz w:val="14"/>
          <w:szCs w:val="14"/>
          <w:color w:val="24282A"/>
        </w:rPr>
        <w:t xml:space="preserve"> action under the </w:t>
      </w:r>
      <w:r>
        <w:rPr>
          <w:rFonts w:ascii="Arial" w:cs="Arial" w:eastAsia="Arial" w:hAnsi="Arial"/>
          <w:sz w:val="14"/>
          <w:szCs w:val="14"/>
          <w:color w:val="3B3D3F"/>
        </w:rPr>
        <w:t>Conduent</w:t>
      </w:r>
      <w:r>
        <w:rPr>
          <w:rFonts w:ascii="Arial" w:cs="Arial" w:eastAsia="Arial" w:hAnsi="Arial"/>
          <w:sz w:val="14"/>
          <w:szCs w:val="14"/>
          <w:color w:val="24282A"/>
        </w:rPr>
        <w:t xml:space="preserve"> Dispute Resolution Plan </w:t>
      </w:r>
      <w:r>
        <w:rPr>
          <w:rFonts w:ascii="Arial" w:cs="Arial" w:eastAsia="Arial" w:hAnsi="Arial"/>
          <w:sz w:val="14"/>
          <w:szCs w:val="14"/>
          <w:color w:val="3B3D3F"/>
        </w:rPr>
        <w:t>(the</w:t>
      </w:r>
      <w:r>
        <w:rPr>
          <w:rFonts w:ascii="Arial" w:cs="Arial" w:eastAsia="Arial" w:hAnsi="Arial"/>
          <w:sz w:val="14"/>
          <w:szCs w:val="14"/>
          <w:color w:val="24282A"/>
        </w:rPr>
        <w:t xml:space="preserve"> </w:t>
      </w:r>
      <w:r>
        <w:rPr>
          <w:rFonts w:ascii="Arial" w:cs="Arial" w:eastAsia="Arial" w:hAnsi="Arial"/>
          <w:sz w:val="14"/>
          <w:szCs w:val="14"/>
          <w:color w:val="5B5D60"/>
        </w:rPr>
        <w:t>"</w:t>
      </w:r>
      <w:r>
        <w:rPr>
          <w:rFonts w:ascii="Arial" w:cs="Arial" w:eastAsia="Arial" w:hAnsi="Arial"/>
          <w:sz w:val="14"/>
          <w:szCs w:val="14"/>
          <w:color w:val="24282A"/>
        </w:rPr>
        <w:t>Plan</w:t>
      </w:r>
      <w:r>
        <w:rPr>
          <w:rFonts w:ascii="Arial" w:cs="Arial" w:eastAsia="Arial" w:hAnsi="Arial"/>
          <w:sz w:val="14"/>
          <w:szCs w:val="14"/>
          <w:color w:val="5B5D60"/>
        </w:rPr>
        <w:t>"</w:t>
      </w:r>
      <w:r>
        <w:rPr>
          <w:rFonts w:ascii="Arial" w:cs="Arial" w:eastAsia="Arial" w:hAnsi="Arial"/>
          <w:sz w:val="14"/>
          <w:szCs w:val="14"/>
          <w:color w:val="3B3D3F"/>
        </w:rPr>
        <w:t>) against</w:t>
      </w:r>
      <w:r>
        <w:rPr>
          <w:rFonts w:ascii="Arial" w:cs="Arial" w:eastAsia="Arial" w:hAnsi="Arial"/>
          <w:sz w:val="14"/>
          <w:szCs w:val="14"/>
          <w:color w:val="24282A"/>
        </w:rPr>
        <w:t xml:space="preserve"> any of the Releases </w:t>
      </w:r>
      <w:r>
        <w:rPr>
          <w:rFonts w:ascii="Arial" w:cs="Arial" w:eastAsia="Arial" w:hAnsi="Arial"/>
          <w:sz w:val="14"/>
          <w:szCs w:val="14"/>
          <w:color w:val="3B3D3F"/>
        </w:rPr>
        <w:t>with</w:t>
      </w:r>
      <w:r>
        <w:rPr>
          <w:rFonts w:ascii="Arial" w:cs="Arial" w:eastAsia="Arial" w:hAnsi="Arial"/>
          <w:sz w:val="14"/>
          <w:szCs w:val="14"/>
          <w:color w:val="24282A"/>
        </w:rPr>
        <w:t xml:space="preserve"> respect </w:t>
      </w:r>
      <w:r>
        <w:rPr>
          <w:rFonts w:ascii="Arial" w:cs="Arial" w:eastAsia="Arial" w:hAnsi="Arial"/>
          <w:sz w:val="14"/>
          <w:szCs w:val="14"/>
          <w:color w:val="3B3D3F"/>
        </w:rPr>
        <w:t>to</w:t>
      </w:r>
      <w:r>
        <w:rPr>
          <w:rFonts w:ascii="Arial" w:cs="Arial" w:eastAsia="Arial" w:hAnsi="Arial"/>
          <w:sz w:val="14"/>
          <w:szCs w:val="14"/>
          <w:color w:val="24282A"/>
        </w:rPr>
        <w:t xml:space="preserve"> any </w:t>
      </w:r>
      <w:r>
        <w:rPr>
          <w:rFonts w:ascii="Arial" w:cs="Arial" w:eastAsia="Arial" w:hAnsi="Arial"/>
          <w:sz w:val="14"/>
          <w:szCs w:val="14"/>
          <w:color w:val="3B3D3F"/>
        </w:rPr>
        <w:t>such Claim</w:t>
      </w:r>
      <w:r>
        <w:rPr>
          <w:rFonts w:ascii="Arial" w:cs="Arial" w:eastAsia="Arial" w:hAnsi="Arial"/>
          <w:sz w:val="14"/>
          <w:szCs w:val="14"/>
          <w:color w:val="24282A"/>
        </w:rPr>
        <w:t xml:space="preserve"> or </w:t>
      </w:r>
      <w:r>
        <w:rPr>
          <w:rFonts w:ascii="Arial" w:cs="Arial" w:eastAsia="Arial" w:hAnsi="Arial"/>
          <w:sz w:val="14"/>
          <w:szCs w:val="14"/>
          <w:color w:val="3B3D3F"/>
        </w:rPr>
        <w:t>Claims</w:t>
      </w:r>
      <w:r>
        <w:rPr>
          <w:rFonts w:ascii="Arial" w:cs="Arial" w:eastAsia="Arial" w:hAnsi="Arial"/>
          <w:sz w:val="14"/>
          <w:szCs w:val="14"/>
          <w:color w:val="24282A"/>
        </w:rPr>
        <w:t xml:space="preserve"> and warrants that no </w:t>
      </w:r>
      <w:r>
        <w:rPr>
          <w:rFonts w:ascii="Arial" w:cs="Arial" w:eastAsia="Arial" w:hAnsi="Arial"/>
          <w:sz w:val="14"/>
          <w:szCs w:val="14"/>
          <w:color w:val="3B3D3F"/>
        </w:rPr>
        <w:t>such Claim</w:t>
      </w:r>
      <w:r>
        <w:rPr>
          <w:rFonts w:ascii="Arial" w:cs="Arial" w:eastAsia="Arial" w:hAnsi="Arial"/>
          <w:sz w:val="14"/>
          <w:szCs w:val="14"/>
          <w:color w:val="24282A"/>
        </w:rPr>
        <w:t xml:space="preserve"> or </w:t>
      </w:r>
      <w:r>
        <w:rPr>
          <w:rFonts w:ascii="Arial" w:cs="Arial" w:eastAsia="Arial" w:hAnsi="Arial"/>
          <w:sz w:val="14"/>
          <w:szCs w:val="14"/>
          <w:color w:val="3B3D3F"/>
        </w:rPr>
        <w:t>Claims</w:t>
      </w:r>
      <w:r>
        <w:rPr>
          <w:rFonts w:ascii="Arial" w:cs="Arial" w:eastAsia="Arial" w:hAnsi="Arial"/>
          <w:sz w:val="14"/>
          <w:szCs w:val="14"/>
          <w:color w:val="24282A"/>
        </w:rPr>
        <w:t xml:space="preserve"> have been filed. For the avoidance of doubt</w:t>
      </w:r>
      <w:r>
        <w:rPr>
          <w:rFonts w:ascii="Arial" w:cs="Arial" w:eastAsia="Arial" w:hAnsi="Arial"/>
          <w:sz w:val="14"/>
          <w:szCs w:val="14"/>
          <w:color w:val="5B5D60"/>
        </w:rPr>
        <w:t>,</w:t>
      </w:r>
      <w:r>
        <w:rPr>
          <w:rFonts w:ascii="Arial" w:cs="Arial" w:eastAsia="Arial" w:hAnsi="Arial"/>
          <w:sz w:val="14"/>
          <w:szCs w:val="14"/>
          <w:color w:val="24282A"/>
        </w:rPr>
        <w:t xml:space="preserve"> the preceding two </w:t>
      </w:r>
      <w:r>
        <w:rPr>
          <w:rFonts w:ascii="Arial" w:cs="Arial" w:eastAsia="Arial" w:hAnsi="Arial"/>
          <w:sz w:val="14"/>
          <w:szCs w:val="14"/>
          <w:color w:val="3B3D3F"/>
        </w:rPr>
        <w:t>sentences shall</w:t>
      </w:r>
      <w:r>
        <w:rPr>
          <w:rFonts w:ascii="Arial" w:cs="Arial" w:eastAsia="Arial" w:hAnsi="Arial"/>
          <w:sz w:val="14"/>
          <w:szCs w:val="14"/>
          <w:color w:val="24282A"/>
        </w:rPr>
        <w:t xml:space="preserve"> be inapplicable to any claim </w:t>
      </w:r>
      <w:r>
        <w:rPr>
          <w:rFonts w:ascii="Arial" w:cs="Arial" w:eastAsia="Arial" w:hAnsi="Arial"/>
          <w:sz w:val="14"/>
          <w:szCs w:val="14"/>
          <w:color w:val="3B3D3F"/>
        </w:rPr>
        <w:t>for</w:t>
      </w:r>
      <w:r>
        <w:rPr>
          <w:rFonts w:ascii="Arial" w:cs="Arial" w:eastAsia="Arial" w:hAnsi="Arial"/>
          <w:sz w:val="14"/>
          <w:szCs w:val="14"/>
          <w:color w:val="24282A"/>
        </w:rPr>
        <w:t xml:space="preserve"> indemnification </w:t>
      </w:r>
      <w:r>
        <w:rPr>
          <w:rFonts w:ascii="Arial" w:cs="Arial" w:eastAsia="Arial" w:hAnsi="Arial"/>
          <w:sz w:val="14"/>
          <w:szCs w:val="14"/>
          <w:color w:val="3B3D3F"/>
        </w:rPr>
        <w:t>(including advancement</w:t>
      </w:r>
      <w:r>
        <w:rPr>
          <w:rFonts w:ascii="Arial" w:cs="Arial" w:eastAsia="Arial" w:hAnsi="Arial"/>
          <w:sz w:val="14"/>
          <w:szCs w:val="14"/>
          <w:color w:val="24282A"/>
        </w:rPr>
        <w:t xml:space="preserve"> of </w:t>
      </w:r>
      <w:r>
        <w:rPr>
          <w:rFonts w:ascii="Arial" w:cs="Arial" w:eastAsia="Arial" w:hAnsi="Arial"/>
          <w:sz w:val="14"/>
          <w:szCs w:val="14"/>
          <w:color w:val="3B3D3F"/>
        </w:rPr>
        <w:t>expenses)</w:t>
      </w:r>
      <w:r>
        <w:rPr>
          <w:rFonts w:ascii="Arial" w:cs="Arial" w:eastAsia="Arial" w:hAnsi="Arial"/>
          <w:sz w:val="14"/>
          <w:szCs w:val="14"/>
          <w:color w:val="24282A"/>
        </w:rPr>
        <w:t xml:space="preserve"> related to his </w:t>
      </w:r>
      <w:r>
        <w:rPr>
          <w:rFonts w:ascii="Arial" w:cs="Arial" w:eastAsia="Arial" w:hAnsi="Arial"/>
          <w:sz w:val="14"/>
          <w:szCs w:val="14"/>
          <w:color w:val="3B3D3F"/>
        </w:rPr>
        <w:t>service as</w:t>
      </w:r>
      <w:r>
        <w:rPr>
          <w:rFonts w:ascii="Arial" w:cs="Arial" w:eastAsia="Arial" w:hAnsi="Arial"/>
          <w:sz w:val="14"/>
          <w:szCs w:val="14"/>
          <w:color w:val="24282A"/>
        </w:rPr>
        <w:t xml:space="preserve"> an officer or director </w:t>
      </w:r>
      <w:r>
        <w:rPr>
          <w:rFonts w:ascii="Arial" w:cs="Arial" w:eastAsia="Arial" w:hAnsi="Arial"/>
          <w:sz w:val="14"/>
          <w:szCs w:val="14"/>
          <w:color w:val="3B3D3F"/>
        </w:rPr>
        <w:t xml:space="preserve">of </w:t>
      </w:r>
      <w:r>
        <w:rPr>
          <w:rFonts w:ascii="Arial" w:cs="Arial" w:eastAsia="Arial" w:hAnsi="Arial"/>
          <w:sz w:val="14"/>
          <w:szCs w:val="14"/>
          <w:color w:val="24282A"/>
        </w:rPr>
        <w:t>the</w:t>
      </w:r>
      <w:r>
        <w:rPr>
          <w:rFonts w:ascii="Arial" w:cs="Arial" w:eastAsia="Arial" w:hAnsi="Arial"/>
          <w:sz w:val="14"/>
          <w:szCs w:val="14"/>
          <w:color w:val="3B3D3F"/>
        </w:rPr>
        <w:t xml:space="preserve"> Company</w:t>
      </w:r>
      <w:r>
        <w:rPr>
          <w:rFonts w:ascii="Arial" w:cs="Arial" w:eastAsia="Arial" w:hAnsi="Arial"/>
          <w:sz w:val="14"/>
          <w:szCs w:val="14"/>
          <w:color w:val="5B5D60"/>
        </w:rPr>
        <w:t>,</w:t>
      </w:r>
      <w:r>
        <w:rPr>
          <w:rFonts w:ascii="Arial" w:cs="Arial" w:eastAsia="Arial" w:hAnsi="Arial"/>
          <w:sz w:val="14"/>
          <w:szCs w:val="14"/>
          <w:color w:val="3B3D3F"/>
        </w:rPr>
        <w:t xml:space="preserve"> </w:t>
      </w:r>
      <w:r>
        <w:rPr>
          <w:rFonts w:ascii="Arial" w:cs="Arial" w:eastAsia="Arial" w:hAnsi="Arial"/>
          <w:sz w:val="14"/>
          <w:szCs w:val="14"/>
          <w:color w:val="24282A"/>
        </w:rPr>
        <w:t>arising at law or</w:t>
      </w:r>
      <w:r>
        <w:rPr>
          <w:rFonts w:ascii="Arial" w:cs="Arial" w:eastAsia="Arial" w:hAnsi="Arial"/>
          <w:sz w:val="14"/>
          <w:szCs w:val="14"/>
          <w:color w:val="3B3D3F"/>
        </w:rPr>
        <w:t xml:space="preserve"> equity </w:t>
      </w:r>
      <w:r>
        <w:rPr>
          <w:rFonts w:ascii="Arial" w:cs="Arial" w:eastAsia="Arial" w:hAnsi="Arial"/>
          <w:sz w:val="14"/>
          <w:szCs w:val="14"/>
          <w:color w:val="24282A"/>
        </w:rPr>
        <w:t>or the</w:t>
      </w:r>
      <w:r>
        <w:rPr>
          <w:rFonts w:ascii="Arial" w:cs="Arial" w:eastAsia="Arial" w:hAnsi="Arial"/>
          <w:sz w:val="14"/>
          <w:szCs w:val="14"/>
          <w:color w:val="3B3D3F"/>
        </w:rPr>
        <w:t xml:space="preserve"> governing </w:t>
      </w:r>
      <w:r>
        <w:rPr>
          <w:rFonts w:ascii="Arial" w:cs="Arial" w:eastAsia="Arial" w:hAnsi="Arial"/>
          <w:sz w:val="14"/>
          <w:szCs w:val="14"/>
          <w:color w:val="24282A"/>
        </w:rPr>
        <w:t>instruments</w:t>
      </w:r>
      <w:r>
        <w:rPr>
          <w:rFonts w:ascii="Arial" w:cs="Arial" w:eastAsia="Arial" w:hAnsi="Arial"/>
          <w:sz w:val="14"/>
          <w:szCs w:val="14"/>
          <w:color w:val="3B3D3F"/>
        </w:rPr>
        <w:t xml:space="preserve"> (e.g.</w:t>
      </w:r>
      <w:r>
        <w:rPr>
          <w:rFonts w:ascii="Arial" w:cs="Arial" w:eastAsia="Arial" w:hAnsi="Arial"/>
          <w:sz w:val="14"/>
          <w:szCs w:val="14"/>
          <w:color w:val="5B5D60"/>
        </w:rPr>
        <w:t>,</w:t>
      </w:r>
      <w:r>
        <w:rPr>
          <w:rFonts w:ascii="Arial" w:cs="Arial" w:eastAsia="Arial" w:hAnsi="Arial"/>
          <w:sz w:val="14"/>
          <w:szCs w:val="14"/>
          <w:color w:val="3B3D3F"/>
        </w:rPr>
        <w:t xml:space="preserve"> Articles </w:t>
      </w:r>
      <w:r>
        <w:rPr>
          <w:rFonts w:ascii="Arial" w:cs="Arial" w:eastAsia="Arial" w:hAnsi="Arial"/>
          <w:sz w:val="14"/>
          <w:szCs w:val="14"/>
          <w:color w:val="24282A"/>
        </w:rPr>
        <w:t>of Incorporation or Bylaws) of</w:t>
      </w:r>
      <w:r>
        <w:rPr>
          <w:rFonts w:ascii="Arial" w:cs="Arial" w:eastAsia="Arial" w:hAnsi="Arial"/>
          <w:sz w:val="14"/>
          <w:szCs w:val="14"/>
          <w:color w:val="3B3D3F"/>
        </w:rPr>
        <w:t xml:space="preserve"> the Company </w:t>
      </w:r>
      <w:r>
        <w:rPr>
          <w:rFonts w:ascii="Arial" w:cs="Arial" w:eastAsia="Arial" w:hAnsi="Arial"/>
          <w:sz w:val="14"/>
          <w:szCs w:val="14"/>
          <w:color w:val="24282A"/>
        </w:rPr>
        <w:t>or arising under any policy</w:t>
      </w:r>
      <w:r>
        <w:rPr>
          <w:rFonts w:ascii="Arial" w:cs="Arial" w:eastAsia="Arial" w:hAnsi="Arial"/>
          <w:sz w:val="14"/>
          <w:szCs w:val="14"/>
          <w:color w:val="3B3D3F"/>
        </w:rPr>
        <w:t xml:space="preserve"> of </w:t>
      </w:r>
      <w:r>
        <w:rPr>
          <w:rFonts w:ascii="Arial" w:cs="Arial" w:eastAsia="Arial" w:hAnsi="Arial"/>
          <w:sz w:val="14"/>
          <w:szCs w:val="14"/>
          <w:color w:val="24282A"/>
        </w:rPr>
        <w:t>insurance</w:t>
      </w:r>
      <w:r>
        <w:rPr>
          <w:rFonts w:ascii="Arial" w:cs="Arial" w:eastAsia="Arial" w:hAnsi="Arial"/>
          <w:sz w:val="14"/>
          <w:szCs w:val="14"/>
          <w:color w:val="3B3D3F"/>
        </w:rPr>
        <w:t xml:space="preserve"> </w:t>
      </w:r>
      <w:r>
        <w:rPr>
          <w:rFonts w:ascii="Arial" w:cs="Arial" w:eastAsia="Arial" w:hAnsi="Arial"/>
          <w:sz w:val="14"/>
          <w:szCs w:val="14"/>
          <w:color w:val="24282A"/>
        </w:rPr>
        <w:t xml:space="preserve">maintained by the Company </w:t>
      </w:r>
      <w:r>
        <w:rPr>
          <w:rFonts w:ascii="Arial" w:cs="Arial" w:eastAsia="Arial" w:hAnsi="Arial"/>
          <w:sz w:val="14"/>
          <w:szCs w:val="14"/>
          <w:color w:val="3B3D3F"/>
        </w:rPr>
        <w:t>for</w:t>
      </w:r>
      <w:r>
        <w:rPr>
          <w:rFonts w:ascii="Arial" w:cs="Arial" w:eastAsia="Arial" w:hAnsi="Arial"/>
          <w:sz w:val="14"/>
          <w:szCs w:val="14"/>
          <w:color w:val="24282A"/>
        </w:rPr>
        <w:t xml:space="preserve"> the benefit </w:t>
      </w:r>
      <w:r>
        <w:rPr>
          <w:rFonts w:ascii="Arial" w:cs="Arial" w:eastAsia="Arial" w:hAnsi="Arial"/>
          <w:sz w:val="14"/>
          <w:szCs w:val="14"/>
          <w:color w:val="3B3D3F"/>
        </w:rPr>
        <w:t>of</w:t>
      </w:r>
      <w:r>
        <w:rPr>
          <w:rFonts w:ascii="Arial" w:cs="Arial" w:eastAsia="Arial" w:hAnsi="Arial"/>
          <w:sz w:val="14"/>
          <w:szCs w:val="14"/>
          <w:color w:val="24282A"/>
        </w:rPr>
        <w:t xml:space="preserve"> its directors and officers under which </w:t>
      </w:r>
      <w:r>
        <w:rPr>
          <w:rFonts w:ascii="Arial" w:cs="Arial" w:eastAsia="Arial" w:hAnsi="Arial"/>
          <w:sz w:val="14"/>
          <w:szCs w:val="14"/>
          <w:color w:val="3B3D3F"/>
        </w:rPr>
        <w:t>Employee</w:t>
      </w:r>
      <w:r>
        <w:rPr>
          <w:rFonts w:ascii="Arial" w:cs="Arial" w:eastAsia="Arial" w:hAnsi="Arial"/>
          <w:sz w:val="14"/>
          <w:szCs w:val="14"/>
          <w:color w:val="24282A"/>
        </w:rPr>
        <w:t xml:space="preserve"> is </w:t>
      </w:r>
      <w:r>
        <w:rPr>
          <w:rFonts w:ascii="Arial" w:cs="Arial" w:eastAsia="Arial" w:hAnsi="Arial"/>
          <w:sz w:val="14"/>
          <w:szCs w:val="14"/>
          <w:color w:val="3B3D3F"/>
        </w:rPr>
        <w:t>or</w:t>
      </w:r>
      <w:r>
        <w:rPr>
          <w:rFonts w:ascii="Arial" w:cs="Arial" w:eastAsia="Arial" w:hAnsi="Arial"/>
          <w:sz w:val="14"/>
          <w:szCs w:val="14"/>
          <w:color w:val="24282A"/>
        </w:rPr>
        <w:t xml:space="preserve"> may be an insured. By </w:t>
      </w:r>
      <w:r>
        <w:rPr>
          <w:rFonts w:ascii="Arial" w:cs="Arial" w:eastAsia="Arial" w:hAnsi="Arial"/>
          <w:sz w:val="14"/>
          <w:szCs w:val="14"/>
          <w:color w:val="3B3D3F"/>
        </w:rPr>
        <w:t>signing</w:t>
      </w:r>
      <w:r>
        <w:rPr>
          <w:rFonts w:ascii="Arial" w:cs="Arial" w:eastAsia="Arial" w:hAnsi="Arial"/>
          <w:sz w:val="14"/>
          <w:szCs w:val="14"/>
          <w:color w:val="24282A"/>
        </w:rPr>
        <w:t xml:space="preserve"> this </w:t>
      </w:r>
      <w:r>
        <w:rPr>
          <w:rFonts w:ascii="Arial" w:cs="Arial" w:eastAsia="Arial" w:hAnsi="Arial"/>
          <w:sz w:val="14"/>
          <w:szCs w:val="14"/>
          <w:color w:val="3B3D3F"/>
        </w:rPr>
        <w:t>Agreement,</w:t>
      </w:r>
      <w:r>
        <w:rPr>
          <w:rFonts w:ascii="Arial" w:cs="Arial" w:eastAsia="Arial" w:hAnsi="Arial"/>
          <w:sz w:val="14"/>
          <w:szCs w:val="14"/>
          <w:color w:val="24282A"/>
        </w:rPr>
        <w:t xml:space="preserve"> however, </w:t>
      </w:r>
      <w:r>
        <w:rPr>
          <w:rFonts w:ascii="Arial" w:cs="Arial" w:eastAsia="Arial" w:hAnsi="Arial"/>
          <w:sz w:val="14"/>
          <w:szCs w:val="14"/>
          <w:b w:val="1"/>
          <w:bCs w:val="1"/>
          <w:color w:val="24282A"/>
        </w:rPr>
        <w:t>Employee is</w:t>
      </w:r>
      <w:r>
        <w:rPr>
          <w:rFonts w:ascii="Arial" w:cs="Arial" w:eastAsia="Arial" w:hAnsi="Arial"/>
          <w:sz w:val="14"/>
          <w:szCs w:val="14"/>
          <w:color w:val="24282A"/>
        </w:rPr>
        <w:t xml:space="preserve"> </w:t>
      </w:r>
      <w:r>
        <w:rPr>
          <w:rFonts w:ascii="Arial" w:cs="Arial" w:eastAsia="Arial" w:hAnsi="Arial"/>
          <w:sz w:val="14"/>
          <w:szCs w:val="14"/>
          <w:b w:val="1"/>
          <w:bCs w:val="1"/>
          <w:color w:val="24282A"/>
        </w:rPr>
        <w:t>not waiving any rights or claims arising after the date on which reporting possible violations of a federal or state law or regulation to any governmental agency or entity, or participating in any proceedings or investigations with the federal, state or local government agency or entity responsible for enforcing such laws. Employee is not required to notify the Company that he has made such reports or disclosures.</w:t>
      </w:r>
    </w:p>
    <w:p>
      <w:pPr>
        <w:spacing w:after="0" w:line="150" w:lineRule="exact"/>
        <w:rPr>
          <w:sz w:val="20"/>
          <w:szCs w:val="20"/>
          <w:color w:val="auto"/>
        </w:rPr>
      </w:pPr>
    </w:p>
    <w:p>
      <w:pPr>
        <w:ind w:left="260" w:right="220" w:hanging="255"/>
        <w:spacing w:after="0" w:line="251" w:lineRule="auto"/>
        <w:tabs>
          <w:tab w:leader="none" w:pos="25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24282A"/>
        </w:rPr>
        <w:t xml:space="preserve">No Admission. </w:t>
      </w:r>
      <w:r>
        <w:rPr>
          <w:rFonts w:ascii="Arial" w:cs="Arial" w:eastAsia="Arial" w:hAnsi="Arial"/>
          <w:sz w:val="14"/>
          <w:szCs w:val="14"/>
          <w:color w:val="3B3D3F"/>
        </w:rPr>
        <w:t>This</w:t>
      </w:r>
      <w:r>
        <w:rPr>
          <w:rFonts w:ascii="Arial" w:cs="Arial" w:eastAsia="Arial" w:hAnsi="Arial"/>
          <w:sz w:val="14"/>
          <w:szCs w:val="14"/>
          <w:b w:val="1"/>
          <w:bCs w:val="1"/>
          <w:color w:val="24282A"/>
        </w:rPr>
        <w:t xml:space="preserve"> </w:t>
      </w:r>
      <w:r>
        <w:rPr>
          <w:rFonts w:ascii="Arial" w:cs="Arial" w:eastAsia="Arial" w:hAnsi="Arial"/>
          <w:sz w:val="14"/>
          <w:szCs w:val="14"/>
          <w:color w:val="24282A"/>
        </w:rPr>
        <w:t>Agreement</w:t>
      </w:r>
      <w:r>
        <w:rPr>
          <w:rFonts w:ascii="Arial" w:cs="Arial" w:eastAsia="Arial" w:hAnsi="Arial"/>
          <w:sz w:val="14"/>
          <w:szCs w:val="14"/>
          <w:b w:val="1"/>
          <w:bCs w:val="1"/>
          <w:color w:val="24282A"/>
        </w:rPr>
        <w:t xml:space="preserve"> </w:t>
      </w:r>
      <w:r>
        <w:rPr>
          <w:rFonts w:ascii="Arial" w:cs="Arial" w:eastAsia="Arial" w:hAnsi="Arial"/>
          <w:sz w:val="14"/>
          <w:szCs w:val="14"/>
          <w:color w:val="3B3D3F"/>
        </w:rPr>
        <w:t>shall</w:t>
      </w:r>
      <w:r>
        <w:rPr>
          <w:rFonts w:ascii="Arial" w:cs="Arial" w:eastAsia="Arial" w:hAnsi="Arial"/>
          <w:sz w:val="14"/>
          <w:szCs w:val="14"/>
          <w:b w:val="1"/>
          <w:bCs w:val="1"/>
          <w:color w:val="24282A"/>
        </w:rPr>
        <w:t xml:space="preserve"> </w:t>
      </w:r>
      <w:r>
        <w:rPr>
          <w:rFonts w:ascii="Arial" w:cs="Arial" w:eastAsia="Arial" w:hAnsi="Arial"/>
          <w:sz w:val="14"/>
          <w:szCs w:val="14"/>
          <w:color w:val="24282A"/>
        </w:rPr>
        <w:t>not in any way be construed as an</w:t>
      </w:r>
      <w:r>
        <w:rPr>
          <w:rFonts w:ascii="Arial" w:cs="Arial" w:eastAsia="Arial" w:hAnsi="Arial"/>
          <w:sz w:val="14"/>
          <w:szCs w:val="14"/>
          <w:b w:val="1"/>
          <w:bCs w:val="1"/>
          <w:color w:val="24282A"/>
        </w:rPr>
        <w:t xml:space="preserve"> </w:t>
      </w:r>
      <w:r>
        <w:rPr>
          <w:rFonts w:ascii="Arial" w:cs="Arial" w:eastAsia="Arial" w:hAnsi="Arial"/>
          <w:sz w:val="14"/>
          <w:szCs w:val="14"/>
          <w:color w:val="3B3D3F"/>
        </w:rPr>
        <w:t>admission</w:t>
      </w:r>
      <w:r>
        <w:rPr>
          <w:rFonts w:ascii="Arial" w:cs="Arial" w:eastAsia="Arial" w:hAnsi="Arial"/>
          <w:sz w:val="14"/>
          <w:szCs w:val="14"/>
          <w:b w:val="1"/>
          <w:bCs w:val="1"/>
          <w:color w:val="24282A"/>
        </w:rPr>
        <w:t xml:space="preserve"> </w:t>
      </w:r>
      <w:r>
        <w:rPr>
          <w:rFonts w:ascii="Arial" w:cs="Arial" w:eastAsia="Arial" w:hAnsi="Arial"/>
          <w:sz w:val="14"/>
          <w:szCs w:val="14"/>
          <w:color w:val="24282A"/>
        </w:rPr>
        <w:t>by the</w:t>
      </w:r>
      <w:r>
        <w:rPr>
          <w:rFonts w:ascii="Arial" w:cs="Arial" w:eastAsia="Arial" w:hAnsi="Arial"/>
          <w:sz w:val="14"/>
          <w:szCs w:val="14"/>
          <w:b w:val="1"/>
          <w:bCs w:val="1"/>
          <w:color w:val="24282A"/>
        </w:rPr>
        <w:t xml:space="preserve"> </w:t>
      </w:r>
      <w:r>
        <w:rPr>
          <w:rFonts w:ascii="Arial" w:cs="Arial" w:eastAsia="Arial" w:hAnsi="Arial"/>
          <w:sz w:val="14"/>
          <w:szCs w:val="14"/>
          <w:color w:val="3B3D3F"/>
        </w:rPr>
        <w:t>Company of</w:t>
      </w:r>
      <w:r>
        <w:rPr>
          <w:rFonts w:ascii="Arial" w:cs="Arial" w:eastAsia="Arial" w:hAnsi="Arial"/>
          <w:sz w:val="14"/>
          <w:szCs w:val="14"/>
          <w:b w:val="1"/>
          <w:bCs w:val="1"/>
          <w:color w:val="24282A"/>
        </w:rPr>
        <w:t xml:space="preserve"> </w:t>
      </w:r>
      <w:r>
        <w:rPr>
          <w:rFonts w:ascii="Arial" w:cs="Arial" w:eastAsia="Arial" w:hAnsi="Arial"/>
          <w:sz w:val="14"/>
          <w:szCs w:val="14"/>
          <w:color w:val="24282A"/>
        </w:rPr>
        <w:t>any</w:t>
      </w:r>
      <w:r>
        <w:rPr>
          <w:rFonts w:ascii="Arial" w:cs="Arial" w:eastAsia="Arial" w:hAnsi="Arial"/>
          <w:sz w:val="14"/>
          <w:szCs w:val="14"/>
          <w:b w:val="1"/>
          <w:bCs w:val="1"/>
          <w:color w:val="24282A"/>
        </w:rPr>
        <w:t xml:space="preserve"> </w:t>
      </w:r>
      <w:r>
        <w:rPr>
          <w:rFonts w:ascii="Arial" w:cs="Arial" w:eastAsia="Arial" w:hAnsi="Arial"/>
          <w:sz w:val="14"/>
          <w:szCs w:val="14"/>
          <w:color w:val="3B3D3F"/>
        </w:rPr>
        <w:t>illegal act whatsoever</w:t>
      </w:r>
      <w:r>
        <w:rPr>
          <w:rFonts w:ascii="Arial" w:cs="Arial" w:eastAsia="Arial" w:hAnsi="Arial"/>
          <w:sz w:val="14"/>
          <w:szCs w:val="14"/>
          <w:b w:val="1"/>
          <w:bCs w:val="1"/>
          <w:color w:val="24282A"/>
        </w:rPr>
        <w:t xml:space="preserve"> </w:t>
      </w:r>
      <w:r>
        <w:rPr>
          <w:rFonts w:ascii="Arial" w:cs="Arial" w:eastAsia="Arial" w:hAnsi="Arial"/>
          <w:sz w:val="14"/>
          <w:szCs w:val="14"/>
          <w:color w:val="24282A"/>
        </w:rPr>
        <w:t>against</w:t>
      </w:r>
      <w:r>
        <w:rPr>
          <w:rFonts w:ascii="Arial" w:cs="Arial" w:eastAsia="Arial" w:hAnsi="Arial"/>
          <w:sz w:val="14"/>
          <w:szCs w:val="14"/>
          <w:b w:val="1"/>
          <w:bCs w:val="1"/>
          <w:color w:val="24282A"/>
        </w:rPr>
        <w:t xml:space="preserve"> </w:t>
      </w:r>
      <w:r>
        <w:rPr>
          <w:rFonts w:ascii="Arial" w:cs="Arial" w:eastAsia="Arial" w:hAnsi="Arial"/>
          <w:sz w:val="14"/>
          <w:szCs w:val="14"/>
          <w:color w:val="3B3D3F"/>
        </w:rPr>
        <w:t>Employee</w:t>
      </w:r>
      <w:r>
        <w:rPr>
          <w:rFonts w:ascii="Arial" w:cs="Arial" w:eastAsia="Arial" w:hAnsi="Arial"/>
          <w:sz w:val="14"/>
          <w:szCs w:val="14"/>
          <w:b w:val="1"/>
          <w:bCs w:val="1"/>
          <w:color w:val="24282A"/>
        </w:rPr>
        <w:t xml:space="preserve"> </w:t>
      </w:r>
      <w:r>
        <w:rPr>
          <w:rFonts w:ascii="Arial" w:cs="Arial" w:eastAsia="Arial" w:hAnsi="Arial"/>
          <w:sz w:val="14"/>
          <w:szCs w:val="14"/>
          <w:color w:val="24282A"/>
        </w:rPr>
        <w:t>or</w:t>
      </w:r>
      <w:r>
        <w:rPr>
          <w:rFonts w:ascii="Arial" w:cs="Arial" w:eastAsia="Arial" w:hAnsi="Arial"/>
          <w:sz w:val="14"/>
          <w:szCs w:val="14"/>
          <w:b w:val="1"/>
          <w:bCs w:val="1"/>
          <w:color w:val="24282A"/>
        </w:rPr>
        <w:t xml:space="preserve"> </w:t>
      </w:r>
      <w:r>
        <w:rPr>
          <w:rFonts w:ascii="Arial" w:cs="Arial" w:eastAsia="Arial" w:hAnsi="Arial"/>
          <w:sz w:val="14"/>
          <w:szCs w:val="14"/>
          <w:color w:val="3B3D3F"/>
        </w:rPr>
        <w:t>any</w:t>
      </w:r>
      <w:r>
        <w:rPr>
          <w:rFonts w:ascii="Arial" w:cs="Arial" w:eastAsia="Arial" w:hAnsi="Arial"/>
          <w:sz w:val="14"/>
          <w:szCs w:val="14"/>
          <w:b w:val="1"/>
          <w:bCs w:val="1"/>
          <w:color w:val="24282A"/>
        </w:rPr>
        <w:t xml:space="preserve"> </w:t>
      </w:r>
      <w:r>
        <w:rPr>
          <w:rFonts w:ascii="Arial" w:cs="Arial" w:eastAsia="Arial" w:hAnsi="Arial"/>
          <w:sz w:val="14"/>
          <w:szCs w:val="14"/>
          <w:color w:val="24282A"/>
        </w:rPr>
        <w:t>other person,</w:t>
      </w:r>
      <w:r>
        <w:rPr>
          <w:rFonts w:ascii="Arial" w:cs="Arial" w:eastAsia="Arial" w:hAnsi="Arial"/>
          <w:sz w:val="14"/>
          <w:szCs w:val="14"/>
          <w:b w:val="1"/>
          <w:bCs w:val="1"/>
          <w:color w:val="24282A"/>
        </w:rPr>
        <w:t xml:space="preserve"> </w:t>
      </w:r>
      <w:r>
        <w:rPr>
          <w:rFonts w:ascii="Arial" w:cs="Arial" w:eastAsia="Arial" w:hAnsi="Arial"/>
          <w:sz w:val="14"/>
          <w:szCs w:val="14"/>
          <w:color w:val="24282A"/>
        </w:rPr>
        <w:t xml:space="preserve">and the </w:t>
      </w:r>
      <w:r>
        <w:rPr>
          <w:rFonts w:ascii="Arial" w:cs="Arial" w:eastAsia="Arial" w:hAnsi="Arial"/>
          <w:sz w:val="14"/>
          <w:szCs w:val="14"/>
          <w:color w:val="3B3D3F"/>
        </w:rPr>
        <w:t>Company</w:t>
      </w:r>
      <w:r>
        <w:rPr>
          <w:rFonts w:ascii="Arial" w:cs="Arial" w:eastAsia="Arial" w:hAnsi="Arial"/>
          <w:sz w:val="14"/>
          <w:szCs w:val="14"/>
          <w:color w:val="24282A"/>
        </w:rPr>
        <w:t xml:space="preserve"> specifically disclaims any liability to </w:t>
      </w:r>
      <w:r>
        <w:rPr>
          <w:rFonts w:ascii="Arial" w:cs="Arial" w:eastAsia="Arial" w:hAnsi="Arial"/>
          <w:sz w:val="14"/>
          <w:szCs w:val="14"/>
          <w:color w:val="3B3D3F"/>
        </w:rPr>
        <w:t>Employee</w:t>
      </w:r>
      <w:r>
        <w:rPr>
          <w:rFonts w:ascii="Arial" w:cs="Arial" w:eastAsia="Arial" w:hAnsi="Arial"/>
          <w:sz w:val="14"/>
          <w:szCs w:val="14"/>
          <w:color w:val="24282A"/>
        </w:rPr>
        <w:t xml:space="preserve"> or any </w:t>
      </w:r>
      <w:r>
        <w:rPr>
          <w:rFonts w:ascii="Arial" w:cs="Arial" w:eastAsia="Arial" w:hAnsi="Arial"/>
          <w:sz w:val="14"/>
          <w:szCs w:val="14"/>
          <w:color w:val="3B3D3F"/>
        </w:rPr>
        <w:t>other</w:t>
      </w:r>
      <w:r>
        <w:rPr>
          <w:rFonts w:ascii="Arial" w:cs="Arial" w:eastAsia="Arial" w:hAnsi="Arial"/>
          <w:sz w:val="14"/>
          <w:szCs w:val="14"/>
          <w:color w:val="24282A"/>
        </w:rPr>
        <w:t xml:space="preserve"> person, </w:t>
      </w:r>
      <w:r>
        <w:rPr>
          <w:rFonts w:ascii="Arial" w:cs="Arial" w:eastAsia="Arial" w:hAnsi="Arial"/>
          <w:sz w:val="14"/>
          <w:szCs w:val="14"/>
          <w:color w:val="3B3D3F"/>
        </w:rPr>
        <w:t>on</w:t>
      </w:r>
      <w:r>
        <w:rPr>
          <w:rFonts w:ascii="Arial" w:cs="Arial" w:eastAsia="Arial" w:hAnsi="Arial"/>
          <w:sz w:val="14"/>
          <w:szCs w:val="14"/>
          <w:color w:val="24282A"/>
        </w:rPr>
        <w:t xml:space="preserve"> the part of itself</w:t>
      </w:r>
      <w:r>
        <w:rPr>
          <w:rFonts w:ascii="Arial" w:cs="Arial" w:eastAsia="Arial" w:hAnsi="Arial"/>
          <w:sz w:val="14"/>
          <w:szCs w:val="14"/>
          <w:color w:val="5B5D60"/>
        </w:rPr>
        <w:t>,</w:t>
      </w:r>
      <w:r>
        <w:rPr>
          <w:rFonts w:ascii="Arial" w:cs="Arial" w:eastAsia="Arial" w:hAnsi="Arial"/>
          <w:sz w:val="14"/>
          <w:szCs w:val="14"/>
          <w:color w:val="24282A"/>
        </w:rPr>
        <w:t xml:space="preserve"> its </w:t>
      </w:r>
      <w:r>
        <w:rPr>
          <w:rFonts w:ascii="Arial" w:cs="Arial" w:eastAsia="Arial" w:hAnsi="Arial"/>
          <w:sz w:val="14"/>
          <w:szCs w:val="14"/>
          <w:color w:val="3B3D3F"/>
        </w:rPr>
        <w:t>employees</w:t>
      </w:r>
      <w:r>
        <w:rPr>
          <w:rFonts w:ascii="Arial" w:cs="Arial" w:eastAsia="Arial" w:hAnsi="Arial"/>
          <w:sz w:val="14"/>
          <w:szCs w:val="14"/>
          <w:color w:val="5B5D60"/>
        </w:rPr>
        <w:t>,</w:t>
      </w:r>
      <w:r>
        <w:rPr>
          <w:rFonts w:ascii="Arial" w:cs="Arial" w:eastAsia="Arial" w:hAnsi="Arial"/>
          <w:sz w:val="14"/>
          <w:szCs w:val="14"/>
          <w:color w:val="24282A"/>
        </w:rPr>
        <w:t xml:space="preserve"> or its agents.</w:t>
      </w:r>
    </w:p>
    <w:p>
      <w:pPr>
        <w:spacing w:after="0" w:line="136" w:lineRule="exact"/>
        <w:rPr>
          <w:rFonts w:ascii="Arial" w:cs="Arial" w:eastAsia="Arial" w:hAnsi="Arial"/>
          <w:sz w:val="14"/>
          <w:szCs w:val="14"/>
          <w:color w:val="auto"/>
        </w:rPr>
      </w:pPr>
    </w:p>
    <w:p>
      <w:pPr>
        <w:ind w:left="260" w:right="240" w:hanging="255"/>
        <w:spacing w:after="0" w:line="267" w:lineRule="auto"/>
        <w:tabs>
          <w:tab w:leader="none" w:pos="25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24282A"/>
        </w:rPr>
        <w:t xml:space="preserve">No rehire. </w:t>
      </w:r>
      <w:r>
        <w:rPr>
          <w:rFonts w:ascii="Arial" w:cs="Arial" w:eastAsia="Arial" w:hAnsi="Arial"/>
          <w:sz w:val="14"/>
          <w:szCs w:val="14"/>
          <w:color w:val="3B3D3F"/>
        </w:rPr>
        <w:t>Employee</w:t>
      </w:r>
      <w:r>
        <w:rPr>
          <w:rFonts w:ascii="Arial" w:cs="Arial" w:eastAsia="Arial" w:hAnsi="Arial"/>
          <w:sz w:val="14"/>
          <w:szCs w:val="14"/>
          <w:b w:val="1"/>
          <w:bCs w:val="1"/>
          <w:color w:val="24282A"/>
        </w:rPr>
        <w:t xml:space="preserve"> </w:t>
      </w:r>
      <w:r>
        <w:rPr>
          <w:rFonts w:ascii="Arial" w:cs="Arial" w:eastAsia="Arial" w:hAnsi="Arial"/>
          <w:sz w:val="14"/>
          <w:szCs w:val="14"/>
          <w:color w:val="24282A"/>
        </w:rPr>
        <w:t>acknowledges</w:t>
      </w:r>
      <w:r>
        <w:rPr>
          <w:rFonts w:ascii="Arial" w:cs="Arial" w:eastAsia="Arial" w:hAnsi="Arial"/>
          <w:sz w:val="14"/>
          <w:szCs w:val="14"/>
          <w:b w:val="1"/>
          <w:bCs w:val="1"/>
          <w:color w:val="24282A"/>
        </w:rPr>
        <w:t xml:space="preserve"> </w:t>
      </w:r>
      <w:r>
        <w:rPr>
          <w:rFonts w:ascii="Arial" w:cs="Arial" w:eastAsia="Arial" w:hAnsi="Arial"/>
          <w:sz w:val="14"/>
          <w:szCs w:val="14"/>
          <w:color w:val="3B3D3F"/>
        </w:rPr>
        <w:t>and</w:t>
      </w:r>
      <w:r>
        <w:rPr>
          <w:rFonts w:ascii="Arial" w:cs="Arial" w:eastAsia="Arial" w:hAnsi="Arial"/>
          <w:sz w:val="14"/>
          <w:szCs w:val="14"/>
          <w:b w:val="1"/>
          <w:bCs w:val="1"/>
          <w:color w:val="24282A"/>
        </w:rPr>
        <w:t xml:space="preserve"> </w:t>
      </w:r>
      <w:r>
        <w:rPr>
          <w:rFonts w:ascii="Arial" w:cs="Arial" w:eastAsia="Arial" w:hAnsi="Arial"/>
          <w:sz w:val="14"/>
          <w:szCs w:val="14"/>
          <w:color w:val="24282A"/>
        </w:rPr>
        <w:t>understands that</w:t>
      </w:r>
      <w:r>
        <w:rPr>
          <w:rFonts w:ascii="Arial" w:cs="Arial" w:eastAsia="Arial" w:hAnsi="Arial"/>
          <w:sz w:val="14"/>
          <w:szCs w:val="14"/>
          <w:b w:val="1"/>
          <w:bCs w:val="1"/>
          <w:color w:val="24282A"/>
        </w:rPr>
        <w:t xml:space="preserve"> </w:t>
      </w:r>
      <w:r>
        <w:rPr>
          <w:rFonts w:ascii="Arial" w:cs="Arial" w:eastAsia="Arial" w:hAnsi="Arial"/>
          <w:sz w:val="14"/>
          <w:szCs w:val="14"/>
          <w:color w:val="3B3D3F"/>
        </w:rPr>
        <w:t>for a</w:t>
      </w:r>
      <w:r>
        <w:rPr>
          <w:rFonts w:ascii="Arial" w:cs="Arial" w:eastAsia="Arial" w:hAnsi="Arial"/>
          <w:sz w:val="14"/>
          <w:szCs w:val="14"/>
          <w:b w:val="1"/>
          <w:bCs w:val="1"/>
          <w:color w:val="24282A"/>
        </w:rPr>
        <w:t xml:space="preserve"> </w:t>
      </w:r>
      <w:r>
        <w:rPr>
          <w:rFonts w:ascii="Arial" w:cs="Arial" w:eastAsia="Arial" w:hAnsi="Arial"/>
          <w:sz w:val="14"/>
          <w:szCs w:val="14"/>
          <w:color w:val="24282A"/>
        </w:rPr>
        <w:t>period</w:t>
      </w:r>
      <w:r>
        <w:rPr>
          <w:rFonts w:ascii="Arial" w:cs="Arial" w:eastAsia="Arial" w:hAnsi="Arial"/>
          <w:sz w:val="14"/>
          <w:szCs w:val="14"/>
          <w:b w:val="1"/>
          <w:bCs w:val="1"/>
          <w:color w:val="24282A"/>
        </w:rPr>
        <w:t xml:space="preserve"> </w:t>
      </w:r>
      <w:r>
        <w:rPr>
          <w:rFonts w:ascii="Arial" w:cs="Arial" w:eastAsia="Arial" w:hAnsi="Arial"/>
          <w:sz w:val="14"/>
          <w:szCs w:val="14"/>
          <w:color w:val="3B3D3F"/>
        </w:rPr>
        <w:t>of six</w:t>
      </w:r>
      <w:r>
        <w:rPr>
          <w:rFonts w:ascii="Arial" w:cs="Arial" w:eastAsia="Arial" w:hAnsi="Arial"/>
          <w:sz w:val="14"/>
          <w:szCs w:val="14"/>
          <w:b w:val="1"/>
          <w:bCs w:val="1"/>
          <w:color w:val="24282A"/>
        </w:rPr>
        <w:t xml:space="preserve"> </w:t>
      </w:r>
      <w:r>
        <w:rPr>
          <w:rFonts w:ascii="Arial" w:cs="Arial" w:eastAsia="Arial" w:hAnsi="Arial"/>
          <w:sz w:val="14"/>
          <w:szCs w:val="14"/>
          <w:color w:val="24282A"/>
        </w:rPr>
        <w:t>months following his</w:t>
      </w:r>
      <w:r>
        <w:rPr>
          <w:rFonts w:ascii="Arial" w:cs="Arial" w:eastAsia="Arial" w:hAnsi="Arial"/>
          <w:sz w:val="14"/>
          <w:szCs w:val="14"/>
          <w:b w:val="1"/>
          <w:bCs w:val="1"/>
          <w:color w:val="24282A"/>
        </w:rPr>
        <w:t xml:space="preserve"> </w:t>
      </w:r>
      <w:r>
        <w:rPr>
          <w:rFonts w:ascii="Arial" w:cs="Arial" w:eastAsia="Arial" w:hAnsi="Arial"/>
          <w:sz w:val="14"/>
          <w:szCs w:val="14"/>
          <w:color w:val="3B3D3F"/>
        </w:rPr>
        <w:t>Termination</w:t>
      </w:r>
      <w:r>
        <w:rPr>
          <w:rFonts w:ascii="Arial" w:cs="Arial" w:eastAsia="Arial" w:hAnsi="Arial"/>
          <w:sz w:val="14"/>
          <w:szCs w:val="14"/>
          <w:b w:val="1"/>
          <w:bCs w:val="1"/>
          <w:color w:val="24282A"/>
        </w:rPr>
        <w:t xml:space="preserve"> </w:t>
      </w:r>
      <w:r>
        <w:rPr>
          <w:rFonts w:ascii="Arial" w:cs="Arial" w:eastAsia="Arial" w:hAnsi="Arial"/>
          <w:sz w:val="14"/>
          <w:szCs w:val="14"/>
          <w:color w:val="24282A"/>
        </w:rPr>
        <w:t>Date</w:t>
      </w:r>
      <w:r>
        <w:rPr>
          <w:rFonts w:ascii="Arial" w:cs="Arial" w:eastAsia="Arial" w:hAnsi="Arial"/>
          <w:sz w:val="14"/>
          <w:szCs w:val="14"/>
          <w:color w:val="5B5D60"/>
        </w:rPr>
        <w:t>,</w:t>
      </w:r>
      <w:r>
        <w:rPr>
          <w:rFonts w:ascii="Arial" w:cs="Arial" w:eastAsia="Arial" w:hAnsi="Arial"/>
          <w:sz w:val="14"/>
          <w:szCs w:val="14"/>
          <w:b w:val="1"/>
          <w:bCs w:val="1"/>
          <w:color w:val="24282A"/>
        </w:rPr>
        <w:t xml:space="preserve"> </w:t>
      </w:r>
      <w:r>
        <w:rPr>
          <w:rFonts w:ascii="Arial" w:cs="Arial" w:eastAsia="Arial" w:hAnsi="Arial"/>
          <w:sz w:val="14"/>
          <w:szCs w:val="14"/>
          <w:color w:val="24282A"/>
        </w:rPr>
        <w:t>he</w:t>
      </w:r>
      <w:r>
        <w:rPr>
          <w:rFonts w:ascii="Arial" w:cs="Arial" w:eastAsia="Arial" w:hAnsi="Arial"/>
          <w:sz w:val="14"/>
          <w:szCs w:val="14"/>
          <w:b w:val="1"/>
          <w:bCs w:val="1"/>
          <w:color w:val="24282A"/>
        </w:rPr>
        <w:t xml:space="preserve"> </w:t>
      </w:r>
      <w:r>
        <w:rPr>
          <w:rFonts w:ascii="Arial" w:cs="Arial" w:eastAsia="Arial" w:hAnsi="Arial"/>
          <w:sz w:val="14"/>
          <w:szCs w:val="14"/>
          <w:color w:val="3B3D3F"/>
        </w:rPr>
        <w:t>is</w:t>
      </w:r>
      <w:r>
        <w:rPr>
          <w:rFonts w:ascii="Arial" w:cs="Arial" w:eastAsia="Arial" w:hAnsi="Arial"/>
          <w:sz w:val="14"/>
          <w:szCs w:val="14"/>
          <w:b w:val="1"/>
          <w:bCs w:val="1"/>
          <w:color w:val="24282A"/>
        </w:rPr>
        <w:t xml:space="preserve"> </w:t>
      </w:r>
      <w:r>
        <w:rPr>
          <w:rFonts w:ascii="Arial" w:cs="Arial" w:eastAsia="Arial" w:hAnsi="Arial"/>
          <w:sz w:val="14"/>
          <w:szCs w:val="14"/>
          <w:color w:val="24282A"/>
        </w:rPr>
        <w:t>not</w:t>
      </w:r>
      <w:r>
        <w:rPr>
          <w:rFonts w:ascii="Arial" w:cs="Arial" w:eastAsia="Arial" w:hAnsi="Arial"/>
          <w:sz w:val="14"/>
          <w:szCs w:val="14"/>
          <w:b w:val="1"/>
          <w:bCs w:val="1"/>
          <w:color w:val="24282A"/>
        </w:rPr>
        <w:t xml:space="preserve"> </w:t>
      </w:r>
      <w:r>
        <w:rPr>
          <w:rFonts w:ascii="Arial" w:cs="Arial" w:eastAsia="Arial" w:hAnsi="Arial"/>
          <w:sz w:val="14"/>
          <w:szCs w:val="14"/>
          <w:color w:val="3B3D3F"/>
        </w:rPr>
        <w:t>eligible to</w:t>
      </w:r>
      <w:r>
        <w:rPr>
          <w:rFonts w:ascii="Arial" w:cs="Arial" w:eastAsia="Arial" w:hAnsi="Arial"/>
          <w:sz w:val="14"/>
          <w:szCs w:val="14"/>
          <w:b w:val="1"/>
          <w:bCs w:val="1"/>
          <w:color w:val="24282A"/>
        </w:rPr>
        <w:t xml:space="preserve"> </w:t>
      </w:r>
      <w:r>
        <w:rPr>
          <w:rFonts w:ascii="Arial" w:cs="Arial" w:eastAsia="Arial" w:hAnsi="Arial"/>
          <w:sz w:val="14"/>
          <w:szCs w:val="14"/>
          <w:color w:val="24282A"/>
        </w:rPr>
        <w:t>be rehired by the</w:t>
      </w:r>
      <w:r>
        <w:rPr>
          <w:rFonts w:ascii="Arial" w:cs="Arial" w:eastAsia="Arial" w:hAnsi="Arial"/>
          <w:sz w:val="14"/>
          <w:szCs w:val="14"/>
          <w:b w:val="1"/>
          <w:bCs w:val="1"/>
          <w:color w:val="24282A"/>
        </w:rPr>
        <w:t xml:space="preserve"> </w:t>
      </w:r>
      <w:r>
        <w:rPr>
          <w:rFonts w:ascii="Arial" w:cs="Arial" w:eastAsia="Arial" w:hAnsi="Arial"/>
          <w:sz w:val="14"/>
          <w:szCs w:val="14"/>
          <w:color w:val="3B3D3F"/>
        </w:rPr>
        <w:t>Company as</w:t>
      </w:r>
      <w:r>
        <w:rPr>
          <w:rFonts w:ascii="Arial" w:cs="Arial" w:eastAsia="Arial" w:hAnsi="Arial"/>
          <w:sz w:val="14"/>
          <w:szCs w:val="14"/>
          <w:b w:val="1"/>
          <w:bCs w:val="1"/>
          <w:color w:val="24282A"/>
        </w:rPr>
        <w:t xml:space="preserve"> </w:t>
      </w:r>
      <w:r>
        <w:rPr>
          <w:rFonts w:ascii="Arial" w:cs="Arial" w:eastAsia="Arial" w:hAnsi="Arial"/>
          <w:sz w:val="14"/>
          <w:szCs w:val="14"/>
          <w:color w:val="24282A"/>
        </w:rPr>
        <w:t>an</w:t>
      </w:r>
      <w:r>
        <w:rPr>
          <w:rFonts w:ascii="Arial" w:cs="Arial" w:eastAsia="Arial" w:hAnsi="Arial"/>
          <w:sz w:val="14"/>
          <w:szCs w:val="14"/>
          <w:b w:val="1"/>
          <w:bCs w:val="1"/>
          <w:color w:val="24282A"/>
        </w:rPr>
        <w:t xml:space="preserve"> </w:t>
      </w:r>
      <w:r>
        <w:rPr>
          <w:rFonts w:ascii="Arial" w:cs="Arial" w:eastAsia="Arial" w:hAnsi="Arial"/>
          <w:sz w:val="14"/>
          <w:szCs w:val="14"/>
          <w:color w:val="24282A"/>
        </w:rPr>
        <w:t xml:space="preserve">employee </w:t>
      </w:r>
      <w:r>
        <w:rPr>
          <w:rFonts w:ascii="Arial" w:cs="Arial" w:eastAsia="Arial" w:hAnsi="Arial"/>
          <w:sz w:val="14"/>
          <w:szCs w:val="14"/>
          <w:color w:val="3B3D3F"/>
        </w:rPr>
        <w:t>or</w:t>
      </w:r>
      <w:r>
        <w:rPr>
          <w:rFonts w:ascii="Arial" w:cs="Arial" w:eastAsia="Arial" w:hAnsi="Arial"/>
          <w:sz w:val="14"/>
          <w:szCs w:val="14"/>
          <w:color w:val="24282A"/>
        </w:rPr>
        <w:t xml:space="preserve"> retained as a contractor </w:t>
      </w:r>
      <w:r>
        <w:rPr>
          <w:rFonts w:ascii="Arial" w:cs="Arial" w:eastAsia="Arial" w:hAnsi="Arial"/>
          <w:sz w:val="14"/>
          <w:szCs w:val="14"/>
          <w:color w:val="3B3D3F"/>
        </w:rPr>
        <w:t>or</w:t>
      </w:r>
      <w:r>
        <w:rPr>
          <w:rFonts w:ascii="Arial" w:cs="Arial" w:eastAsia="Arial" w:hAnsi="Arial"/>
          <w:sz w:val="14"/>
          <w:szCs w:val="14"/>
          <w:color w:val="24282A"/>
        </w:rPr>
        <w:t xml:space="preserve"> consultant.</w:t>
      </w:r>
    </w:p>
    <w:p>
      <w:pPr>
        <w:spacing w:after="0" w:line="137" w:lineRule="exact"/>
        <w:rPr>
          <w:rFonts w:ascii="Arial" w:cs="Arial" w:eastAsia="Arial" w:hAnsi="Arial"/>
          <w:sz w:val="14"/>
          <w:szCs w:val="14"/>
          <w:color w:val="auto"/>
        </w:rPr>
      </w:pPr>
    </w:p>
    <w:p>
      <w:pPr>
        <w:ind w:left="260" w:right="20" w:hanging="255"/>
        <w:spacing w:after="0" w:line="217" w:lineRule="auto"/>
        <w:tabs>
          <w:tab w:leader="none" w:pos="25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24282A"/>
        </w:rPr>
        <w:t xml:space="preserve">Cooperation in Legal Matters. </w:t>
      </w:r>
      <w:r>
        <w:rPr>
          <w:rFonts w:ascii="Arial" w:cs="Arial" w:eastAsia="Arial" w:hAnsi="Arial"/>
          <w:sz w:val="14"/>
          <w:szCs w:val="14"/>
          <w:color w:val="3B3D3F"/>
        </w:rPr>
        <w:t>Employee agrees</w:t>
      </w:r>
      <w:r>
        <w:rPr>
          <w:rFonts w:ascii="Arial" w:cs="Arial" w:eastAsia="Arial" w:hAnsi="Arial"/>
          <w:sz w:val="14"/>
          <w:szCs w:val="14"/>
          <w:b w:val="1"/>
          <w:bCs w:val="1"/>
          <w:color w:val="24282A"/>
        </w:rPr>
        <w:t xml:space="preserve"> </w:t>
      </w:r>
      <w:r>
        <w:rPr>
          <w:rFonts w:ascii="Arial" w:cs="Arial" w:eastAsia="Arial" w:hAnsi="Arial"/>
          <w:sz w:val="14"/>
          <w:szCs w:val="14"/>
          <w:color w:val="24282A"/>
        </w:rPr>
        <w:t>that he</w:t>
      </w:r>
      <w:r>
        <w:rPr>
          <w:rFonts w:ascii="Arial" w:cs="Arial" w:eastAsia="Arial" w:hAnsi="Arial"/>
          <w:sz w:val="14"/>
          <w:szCs w:val="14"/>
          <w:b w:val="1"/>
          <w:bCs w:val="1"/>
          <w:color w:val="24282A"/>
        </w:rPr>
        <w:t xml:space="preserve"> </w:t>
      </w:r>
      <w:r>
        <w:rPr>
          <w:rFonts w:ascii="Arial" w:cs="Arial" w:eastAsia="Arial" w:hAnsi="Arial"/>
          <w:sz w:val="14"/>
          <w:szCs w:val="14"/>
          <w:color w:val="3B3D3F"/>
        </w:rPr>
        <w:t>will</w:t>
      </w:r>
      <w:r>
        <w:rPr>
          <w:rFonts w:ascii="Arial" w:cs="Arial" w:eastAsia="Arial" w:hAnsi="Arial"/>
          <w:sz w:val="14"/>
          <w:szCs w:val="14"/>
          <w:b w:val="1"/>
          <w:bCs w:val="1"/>
          <w:color w:val="24282A"/>
        </w:rPr>
        <w:t xml:space="preserve"> </w:t>
      </w:r>
      <w:r>
        <w:rPr>
          <w:rFonts w:ascii="Arial" w:cs="Arial" w:eastAsia="Arial" w:hAnsi="Arial"/>
          <w:sz w:val="14"/>
          <w:szCs w:val="14"/>
          <w:color w:val="24282A"/>
        </w:rPr>
        <w:t>assist and</w:t>
      </w:r>
      <w:r>
        <w:rPr>
          <w:rFonts w:ascii="Arial" w:cs="Arial" w:eastAsia="Arial" w:hAnsi="Arial"/>
          <w:sz w:val="14"/>
          <w:szCs w:val="14"/>
          <w:b w:val="1"/>
          <w:bCs w:val="1"/>
          <w:color w:val="24282A"/>
        </w:rPr>
        <w:t xml:space="preserve"> </w:t>
      </w:r>
      <w:r>
        <w:rPr>
          <w:rFonts w:ascii="Arial" w:cs="Arial" w:eastAsia="Arial" w:hAnsi="Arial"/>
          <w:sz w:val="14"/>
          <w:szCs w:val="14"/>
          <w:color w:val="3B3D3F"/>
        </w:rPr>
        <w:t>cooperate with</w:t>
      </w:r>
      <w:r>
        <w:rPr>
          <w:rFonts w:ascii="Arial" w:cs="Arial" w:eastAsia="Arial" w:hAnsi="Arial"/>
          <w:sz w:val="14"/>
          <w:szCs w:val="14"/>
          <w:b w:val="1"/>
          <w:bCs w:val="1"/>
          <w:color w:val="24282A"/>
        </w:rPr>
        <w:t xml:space="preserve"> </w:t>
      </w:r>
      <w:r>
        <w:rPr>
          <w:rFonts w:ascii="Arial" w:cs="Arial" w:eastAsia="Arial" w:hAnsi="Arial"/>
          <w:sz w:val="14"/>
          <w:szCs w:val="14"/>
          <w:color w:val="24282A"/>
        </w:rPr>
        <w:t>the</w:t>
      </w:r>
      <w:r>
        <w:rPr>
          <w:rFonts w:ascii="Arial" w:cs="Arial" w:eastAsia="Arial" w:hAnsi="Arial"/>
          <w:sz w:val="14"/>
          <w:szCs w:val="14"/>
          <w:b w:val="1"/>
          <w:bCs w:val="1"/>
          <w:color w:val="24282A"/>
        </w:rPr>
        <w:t xml:space="preserve"> </w:t>
      </w:r>
      <w:r>
        <w:rPr>
          <w:rFonts w:ascii="Arial" w:cs="Arial" w:eastAsia="Arial" w:hAnsi="Arial"/>
          <w:sz w:val="14"/>
          <w:szCs w:val="14"/>
          <w:color w:val="3B3D3F"/>
        </w:rPr>
        <w:t>Company</w:t>
      </w:r>
      <w:r>
        <w:rPr>
          <w:rFonts w:ascii="Arial" w:cs="Arial" w:eastAsia="Arial" w:hAnsi="Arial"/>
          <w:sz w:val="14"/>
          <w:szCs w:val="14"/>
          <w:b w:val="1"/>
          <w:bCs w:val="1"/>
          <w:color w:val="24282A"/>
        </w:rPr>
        <w:t xml:space="preserve"> </w:t>
      </w:r>
      <w:r>
        <w:rPr>
          <w:rFonts w:ascii="Arial" w:cs="Arial" w:eastAsia="Arial" w:hAnsi="Arial"/>
          <w:sz w:val="14"/>
          <w:szCs w:val="14"/>
          <w:color w:val="24282A"/>
        </w:rPr>
        <w:t>in connection with:</w:t>
      </w:r>
      <w:r>
        <w:rPr>
          <w:rFonts w:ascii="Arial" w:cs="Arial" w:eastAsia="Arial" w:hAnsi="Arial"/>
          <w:sz w:val="14"/>
          <w:szCs w:val="14"/>
          <w:b w:val="1"/>
          <w:bCs w:val="1"/>
          <w:color w:val="24282A"/>
        </w:rPr>
        <w:t xml:space="preserve"> </w:t>
      </w:r>
      <w:r>
        <w:rPr>
          <w:rFonts w:ascii="Arial" w:cs="Arial" w:eastAsia="Arial" w:hAnsi="Arial"/>
          <w:sz w:val="14"/>
          <w:szCs w:val="14"/>
          <w:color w:val="3B3D3F"/>
        </w:rPr>
        <w:t>a)</w:t>
      </w:r>
      <w:r>
        <w:rPr>
          <w:rFonts w:ascii="Arial" w:cs="Arial" w:eastAsia="Arial" w:hAnsi="Arial"/>
          <w:sz w:val="14"/>
          <w:szCs w:val="14"/>
          <w:b w:val="1"/>
          <w:bCs w:val="1"/>
          <w:color w:val="24282A"/>
        </w:rPr>
        <w:t xml:space="preserve"> </w:t>
      </w:r>
      <w:r>
        <w:rPr>
          <w:rFonts w:ascii="Arial" w:cs="Arial" w:eastAsia="Arial" w:hAnsi="Arial"/>
          <w:sz w:val="14"/>
          <w:szCs w:val="14"/>
          <w:color w:val="24282A"/>
        </w:rPr>
        <w:t>the defense or prosecution of any claim that</w:t>
      </w:r>
      <w:r>
        <w:rPr>
          <w:rFonts w:ascii="Arial" w:cs="Arial" w:eastAsia="Arial" w:hAnsi="Arial"/>
          <w:sz w:val="14"/>
          <w:szCs w:val="14"/>
          <w:b w:val="1"/>
          <w:bCs w:val="1"/>
          <w:color w:val="24282A"/>
        </w:rPr>
        <w:t xml:space="preserve"> </w:t>
      </w:r>
      <w:r>
        <w:rPr>
          <w:rFonts w:ascii="Arial" w:cs="Arial" w:eastAsia="Arial" w:hAnsi="Arial"/>
          <w:sz w:val="14"/>
          <w:szCs w:val="14"/>
          <w:color w:val="24282A"/>
        </w:rPr>
        <w:t xml:space="preserve">was </w:t>
      </w:r>
      <w:r>
        <w:rPr>
          <w:rFonts w:ascii="Arial" w:cs="Arial" w:eastAsia="Arial" w:hAnsi="Arial"/>
          <w:sz w:val="14"/>
          <w:szCs w:val="14"/>
          <w:color w:val="3B3D3F"/>
        </w:rPr>
        <w:t>asserted</w:t>
      </w:r>
      <w:r>
        <w:rPr>
          <w:rFonts w:ascii="Arial" w:cs="Arial" w:eastAsia="Arial" w:hAnsi="Arial"/>
          <w:sz w:val="14"/>
          <w:szCs w:val="14"/>
          <w:color w:val="24282A"/>
        </w:rPr>
        <w:t xml:space="preserve"> against, </w:t>
      </w:r>
      <w:r>
        <w:rPr>
          <w:rFonts w:ascii="Arial" w:cs="Arial" w:eastAsia="Arial" w:hAnsi="Arial"/>
          <w:sz w:val="14"/>
          <w:szCs w:val="14"/>
          <w:color w:val="3B3D3F"/>
        </w:rPr>
        <w:t>or</w:t>
      </w:r>
      <w:r>
        <w:rPr>
          <w:rFonts w:ascii="Arial" w:cs="Arial" w:eastAsia="Arial" w:hAnsi="Arial"/>
          <w:sz w:val="14"/>
          <w:szCs w:val="14"/>
          <w:color w:val="24282A"/>
        </w:rPr>
        <w:t xml:space="preserve"> by, the </w:t>
      </w:r>
      <w:r>
        <w:rPr>
          <w:rFonts w:ascii="Arial" w:cs="Arial" w:eastAsia="Arial" w:hAnsi="Arial"/>
          <w:sz w:val="14"/>
          <w:szCs w:val="14"/>
          <w:color w:val="3B3D3F"/>
        </w:rPr>
        <w:t>Company while Employee was employed with Company</w:t>
      </w:r>
      <w:r>
        <w:rPr>
          <w:rFonts w:ascii="Arial" w:cs="Arial" w:eastAsia="Arial" w:hAnsi="Arial"/>
          <w:sz w:val="14"/>
          <w:szCs w:val="14"/>
          <w:color w:val="5B5D60"/>
        </w:rPr>
        <w:t>;</w:t>
      </w:r>
      <w:r>
        <w:rPr>
          <w:rFonts w:ascii="Arial" w:cs="Arial" w:eastAsia="Arial" w:hAnsi="Arial"/>
          <w:sz w:val="14"/>
          <w:szCs w:val="14"/>
          <w:color w:val="24282A"/>
        </w:rPr>
        <w:t xml:space="preserve"> b) any ongoing or future investigation, </w:t>
      </w:r>
      <w:r>
        <w:rPr>
          <w:rFonts w:ascii="Arial" w:cs="Arial" w:eastAsia="Arial" w:hAnsi="Arial"/>
          <w:sz w:val="14"/>
          <w:szCs w:val="14"/>
          <w:color w:val="3B3D3F"/>
        </w:rPr>
        <w:t>or</w:t>
      </w:r>
      <w:r>
        <w:rPr>
          <w:rFonts w:ascii="Arial" w:cs="Arial" w:eastAsia="Arial" w:hAnsi="Arial"/>
          <w:sz w:val="14"/>
          <w:szCs w:val="14"/>
          <w:color w:val="24282A"/>
        </w:rPr>
        <w:t xml:space="preserve"> any dispute </w:t>
      </w:r>
      <w:r>
        <w:rPr>
          <w:rFonts w:ascii="Arial" w:cs="Arial" w:eastAsia="Arial" w:hAnsi="Arial"/>
          <w:sz w:val="14"/>
          <w:szCs w:val="14"/>
          <w:color w:val="3B3D3F"/>
        </w:rPr>
        <w:t>or</w:t>
      </w:r>
      <w:r>
        <w:rPr>
          <w:rFonts w:ascii="Arial" w:cs="Arial" w:eastAsia="Arial" w:hAnsi="Arial"/>
          <w:sz w:val="14"/>
          <w:szCs w:val="14"/>
          <w:color w:val="24282A"/>
        </w:rPr>
        <w:t xml:space="preserve"> claim </w:t>
      </w:r>
      <w:r>
        <w:rPr>
          <w:rFonts w:ascii="Arial" w:cs="Arial" w:eastAsia="Arial" w:hAnsi="Arial"/>
          <w:sz w:val="14"/>
          <w:szCs w:val="14"/>
          <w:color w:val="3B3D3F"/>
        </w:rPr>
        <w:t>of</w:t>
      </w:r>
      <w:r>
        <w:rPr>
          <w:rFonts w:ascii="Arial" w:cs="Arial" w:eastAsia="Arial" w:hAnsi="Arial"/>
          <w:sz w:val="14"/>
          <w:szCs w:val="14"/>
          <w:color w:val="24282A"/>
        </w:rPr>
        <w:t xml:space="preserve"> any kind involving the </w:t>
      </w:r>
      <w:r>
        <w:rPr>
          <w:rFonts w:ascii="Arial" w:cs="Arial" w:eastAsia="Arial" w:hAnsi="Arial"/>
          <w:sz w:val="14"/>
          <w:szCs w:val="14"/>
          <w:color w:val="3B3D3F"/>
        </w:rPr>
        <w:t>Company</w:t>
      </w:r>
      <w:r>
        <w:rPr>
          <w:rFonts w:ascii="Arial" w:cs="Arial" w:eastAsia="Arial" w:hAnsi="Arial"/>
          <w:sz w:val="14"/>
          <w:szCs w:val="14"/>
          <w:color w:val="5B5D60"/>
        </w:rPr>
        <w:t>,</w:t>
      </w:r>
      <w:r>
        <w:rPr>
          <w:rFonts w:ascii="Arial" w:cs="Arial" w:eastAsia="Arial" w:hAnsi="Arial"/>
          <w:sz w:val="14"/>
          <w:szCs w:val="14"/>
          <w:color w:val="24282A"/>
        </w:rPr>
        <w:t xml:space="preserve"> </w:t>
      </w:r>
      <w:r>
        <w:rPr>
          <w:rFonts w:ascii="Arial" w:cs="Arial" w:eastAsia="Arial" w:hAnsi="Arial"/>
          <w:sz w:val="14"/>
          <w:szCs w:val="14"/>
          <w:color w:val="3B3D3F"/>
        </w:rPr>
        <w:t>including</w:t>
      </w:r>
      <w:r>
        <w:rPr>
          <w:rFonts w:ascii="Arial" w:cs="Arial" w:eastAsia="Arial" w:hAnsi="Arial"/>
          <w:sz w:val="14"/>
          <w:szCs w:val="14"/>
          <w:color w:val="24282A"/>
        </w:rPr>
        <w:t xml:space="preserve"> any proceeding before </w:t>
      </w:r>
      <w:r>
        <w:rPr>
          <w:rFonts w:ascii="Arial" w:cs="Arial" w:eastAsia="Arial" w:hAnsi="Arial"/>
          <w:sz w:val="14"/>
          <w:szCs w:val="14"/>
          <w:color w:val="3B3D3F"/>
        </w:rPr>
        <w:t>any arbitral, administrative</w:t>
      </w:r>
      <w:r>
        <w:rPr>
          <w:rFonts w:ascii="Arial" w:cs="Arial" w:eastAsia="Arial" w:hAnsi="Arial"/>
          <w:sz w:val="14"/>
          <w:szCs w:val="14"/>
          <w:color w:val="5B5D60"/>
        </w:rPr>
        <w:t>,</w:t>
      </w:r>
      <w:r>
        <w:rPr>
          <w:rFonts w:ascii="Arial" w:cs="Arial" w:eastAsia="Arial" w:hAnsi="Arial"/>
          <w:sz w:val="14"/>
          <w:szCs w:val="14"/>
          <w:color w:val="24282A"/>
        </w:rPr>
        <w:t xml:space="preserve"> judicial, legislative</w:t>
      </w:r>
      <w:r>
        <w:rPr>
          <w:rFonts w:ascii="Arial" w:cs="Arial" w:eastAsia="Arial" w:hAnsi="Arial"/>
          <w:sz w:val="14"/>
          <w:szCs w:val="14"/>
          <w:color w:val="5B5D60"/>
        </w:rPr>
        <w:t>,</w:t>
      </w:r>
      <w:r>
        <w:rPr>
          <w:rFonts w:ascii="Arial" w:cs="Arial" w:eastAsia="Arial" w:hAnsi="Arial"/>
          <w:sz w:val="14"/>
          <w:szCs w:val="14"/>
          <w:color w:val="24282A"/>
        </w:rPr>
        <w:t xml:space="preserve"> </w:t>
      </w:r>
      <w:r>
        <w:rPr>
          <w:rFonts w:ascii="Arial" w:cs="Arial" w:eastAsia="Arial" w:hAnsi="Arial"/>
          <w:sz w:val="14"/>
          <w:szCs w:val="14"/>
          <w:color w:val="3B3D3F"/>
        </w:rPr>
        <w:t>or</w:t>
      </w:r>
      <w:r>
        <w:rPr>
          <w:rFonts w:ascii="Arial" w:cs="Arial" w:eastAsia="Arial" w:hAnsi="Arial"/>
          <w:sz w:val="14"/>
          <w:szCs w:val="14"/>
          <w:color w:val="24282A"/>
        </w:rPr>
        <w:t xml:space="preserve"> other body or agency, the </w:t>
      </w:r>
      <w:r>
        <w:rPr>
          <w:rFonts w:ascii="Arial" w:cs="Arial" w:eastAsia="Arial" w:hAnsi="Arial"/>
          <w:sz w:val="14"/>
          <w:szCs w:val="14"/>
          <w:color w:val="3B3D3F"/>
        </w:rPr>
        <w:t>facts of which</w:t>
      </w:r>
      <w:r>
        <w:rPr>
          <w:rFonts w:ascii="Arial" w:cs="Arial" w:eastAsia="Arial" w:hAnsi="Arial"/>
          <w:sz w:val="14"/>
          <w:szCs w:val="14"/>
          <w:color w:val="24282A"/>
        </w:rPr>
        <w:t xml:space="preserve"> arose during </w:t>
      </w:r>
      <w:r>
        <w:rPr>
          <w:rFonts w:ascii="Arial" w:cs="Arial" w:eastAsia="Arial" w:hAnsi="Arial"/>
          <w:sz w:val="14"/>
          <w:szCs w:val="14"/>
          <w:color w:val="3B3D3F"/>
        </w:rPr>
        <w:t>Employee</w:t>
      </w:r>
      <w:r>
        <w:rPr>
          <w:rFonts w:ascii="Arial" w:cs="Arial" w:eastAsia="Arial" w:hAnsi="Arial"/>
          <w:sz w:val="14"/>
          <w:szCs w:val="14"/>
          <w:color w:val="5B5D60"/>
        </w:rPr>
        <w:t>'</w:t>
      </w:r>
      <w:r>
        <w:rPr>
          <w:rFonts w:ascii="Arial" w:cs="Arial" w:eastAsia="Arial" w:hAnsi="Arial"/>
          <w:sz w:val="14"/>
          <w:szCs w:val="14"/>
          <w:color w:val="24282A"/>
        </w:rPr>
        <w:t xml:space="preserve"> s </w:t>
      </w:r>
      <w:r>
        <w:rPr>
          <w:rFonts w:ascii="Arial" w:cs="Arial" w:eastAsia="Arial" w:hAnsi="Arial"/>
          <w:sz w:val="14"/>
          <w:szCs w:val="14"/>
          <w:color w:val="3B3D3F"/>
        </w:rPr>
        <w:t xml:space="preserve">employment </w:t>
      </w:r>
      <w:r>
        <w:rPr>
          <w:rFonts w:ascii="Arial" w:cs="Arial" w:eastAsia="Arial" w:hAnsi="Arial"/>
          <w:sz w:val="14"/>
          <w:szCs w:val="14"/>
          <w:color w:val="24282A"/>
        </w:rPr>
        <w:t>with</w:t>
      </w:r>
      <w:r>
        <w:rPr>
          <w:rFonts w:ascii="Arial" w:cs="Arial" w:eastAsia="Arial" w:hAnsi="Arial"/>
          <w:sz w:val="14"/>
          <w:szCs w:val="14"/>
          <w:color w:val="3B3D3F"/>
        </w:rPr>
        <w:t xml:space="preserve"> Company</w:t>
      </w:r>
      <w:r>
        <w:rPr>
          <w:rFonts w:ascii="Arial" w:cs="Arial" w:eastAsia="Arial" w:hAnsi="Arial"/>
          <w:sz w:val="14"/>
          <w:szCs w:val="14"/>
          <w:color w:val="5B5D60"/>
        </w:rPr>
        <w:t>;</w:t>
      </w:r>
      <w:r>
        <w:rPr>
          <w:rFonts w:ascii="Arial" w:cs="Arial" w:eastAsia="Arial" w:hAnsi="Arial"/>
          <w:sz w:val="14"/>
          <w:szCs w:val="14"/>
          <w:color w:val="3B3D3F"/>
        </w:rPr>
        <w:t xml:space="preserve"> </w:t>
      </w:r>
      <w:r>
        <w:rPr>
          <w:rFonts w:ascii="Arial" w:cs="Arial" w:eastAsia="Arial" w:hAnsi="Arial"/>
          <w:sz w:val="14"/>
          <w:szCs w:val="14"/>
          <w:color w:val="24282A"/>
        </w:rPr>
        <w:t>and c) any requests made by the</w:t>
      </w:r>
      <w:r>
        <w:rPr>
          <w:rFonts w:ascii="Arial" w:cs="Arial" w:eastAsia="Arial" w:hAnsi="Arial"/>
          <w:sz w:val="14"/>
          <w:szCs w:val="14"/>
          <w:color w:val="3B3D3F"/>
        </w:rPr>
        <w:t xml:space="preserve"> Company related </w:t>
      </w:r>
      <w:r>
        <w:rPr>
          <w:rFonts w:ascii="Arial" w:cs="Arial" w:eastAsia="Arial" w:hAnsi="Arial"/>
          <w:sz w:val="14"/>
          <w:szCs w:val="14"/>
          <w:color w:val="24282A"/>
        </w:rPr>
        <w:t>to</w:t>
      </w:r>
      <w:r>
        <w:rPr>
          <w:rFonts w:ascii="Arial" w:cs="Arial" w:eastAsia="Arial" w:hAnsi="Arial"/>
          <w:sz w:val="14"/>
          <w:szCs w:val="14"/>
          <w:color w:val="3B3D3F"/>
        </w:rPr>
        <w:t xml:space="preserve"> Employee</w:t>
      </w:r>
      <w:r>
        <w:rPr>
          <w:rFonts w:ascii="Arial" w:cs="Arial" w:eastAsia="Arial" w:hAnsi="Arial"/>
          <w:sz w:val="14"/>
          <w:szCs w:val="14"/>
          <w:color w:val="5B5D60"/>
        </w:rPr>
        <w:t>'</w:t>
      </w:r>
      <w:r>
        <w:rPr>
          <w:rFonts w:ascii="Arial" w:cs="Arial" w:eastAsia="Arial" w:hAnsi="Arial"/>
          <w:sz w:val="14"/>
          <w:szCs w:val="14"/>
          <w:color w:val="3B3D3F"/>
        </w:rPr>
        <w:t xml:space="preserve"> s </w:t>
      </w:r>
      <w:r>
        <w:rPr>
          <w:rFonts w:ascii="Arial" w:cs="Arial" w:eastAsia="Arial" w:hAnsi="Arial"/>
          <w:sz w:val="14"/>
          <w:szCs w:val="14"/>
          <w:color w:val="24282A"/>
        </w:rPr>
        <w:t>duties and work product</w:t>
      </w:r>
      <w:r>
        <w:rPr>
          <w:rFonts w:ascii="Arial" w:cs="Arial" w:eastAsia="Arial" w:hAnsi="Arial"/>
          <w:sz w:val="14"/>
          <w:szCs w:val="14"/>
          <w:color w:val="3B3D3F"/>
        </w:rPr>
        <w:t xml:space="preserve"> while </w:t>
      </w:r>
      <w:r>
        <w:rPr>
          <w:rFonts w:ascii="Arial" w:cs="Arial" w:eastAsia="Arial" w:hAnsi="Arial"/>
          <w:sz w:val="14"/>
          <w:szCs w:val="14"/>
          <w:color w:val="24282A"/>
        </w:rPr>
        <w:t>employed by the</w:t>
      </w:r>
      <w:r>
        <w:rPr>
          <w:rFonts w:ascii="Arial" w:cs="Arial" w:eastAsia="Arial" w:hAnsi="Arial"/>
          <w:sz w:val="14"/>
          <w:szCs w:val="14"/>
          <w:color w:val="3B3D3F"/>
        </w:rPr>
        <w:t xml:space="preserve"> Company</w:t>
      </w:r>
      <w:r>
        <w:rPr>
          <w:rFonts w:ascii="Arial" w:cs="Arial" w:eastAsia="Arial" w:hAnsi="Arial"/>
          <w:sz w:val="14"/>
          <w:szCs w:val="14"/>
          <w:color w:val="5B5D60"/>
        </w:rPr>
        <w:t>,</w:t>
      </w:r>
      <w:r>
        <w:rPr>
          <w:rFonts w:ascii="Arial" w:cs="Arial" w:eastAsia="Arial" w:hAnsi="Arial"/>
          <w:sz w:val="14"/>
          <w:szCs w:val="14"/>
          <w:color w:val="3B3D3F"/>
        </w:rPr>
        <w:t xml:space="preserve"> </w:t>
      </w:r>
      <w:r>
        <w:rPr>
          <w:rFonts w:ascii="Arial" w:cs="Arial" w:eastAsia="Arial" w:hAnsi="Arial"/>
          <w:sz w:val="14"/>
          <w:szCs w:val="14"/>
          <w:color w:val="24282A"/>
        </w:rPr>
        <w:t>including</w:t>
      </w:r>
      <w:r>
        <w:rPr>
          <w:rFonts w:ascii="Arial" w:cs="Arial" w:eastAsia="Arial" w:hAnsi="Arial"/>
          <w:sz w:val="14"/>
          <w:szCs w:val="14"/>
          <w:color w:val="3B3D3F"/>
        </w:rPr>
        <w:t xml:space="preserve"> </w:t>
      </w:r>
      <w:r>
        <w:rPr>
          <w:rFonts w:ascii="Arial" w:cs="Arial" w:eastAsia="Arial" w:hAnsi="Arial"/>
          <w:sz w:val="14"/>
          <w:szCs w:val="14"/>
          <w:color w:val="24282A"/>
        </w:rPr>
        <w:t xml:space="preserve">preparing </w:t>
      </w:r>
      <w:r>
        <w:rPr>
          <w:rFonts w:ascii="Arial" w:cs="Arial" w:eastAsia="Arial" w:hAnsi="Arial"/>
          <w:sz w:val="14"/>
          <w:szCs w:val="14"/>
          <w:color w:val="3B3D3F"/>
        </w:rPr>
        <w:t>for</w:t>
      </w:r>
      <w:r>
        <w:rPr>
          <w:rFonts w:ascii="Arial" w:cs="Arial" w:eastAsia="Arial" w:hAnsi="Arial"/>
          <w:sz w:val="14"/>
          <w:szCs w:val="14"/>
          <w:color w:val="24282A"/>
        </w:rPr>
        <w:t xml:space="preserve"> and testifying honestly in any proceeding to the </w:t>
      </w:r>
      <w:r>
        <w:rPr>
          <w:rFonts w:ascii="Arial" w:cs="Arial" w:eastAsia="Arial" w:hAnsi="Arial"/>
          <w:sz w:val="14"/>
          <w:szCs w:val="14"/>
          <w:color w:val="3B3D3F"/>
        </w:rPr>
        <w:t>extent</w:t>
      </w:r>
      <w:r>
        <w:rPr>
          <w:rFonts w:ascii="Arial" w:cs="Arial" w:eastAsia="Arial" w:hAnsi="Arial"/>
          <w:sz w:val="14"/>
          <w:szCs w:val="14"/>
          <w:color w:val="24282A"/>
        </w:rPr>
        <w:t xml:space="preserve"> that </w:t>
      </w:r>
      <w:r>
        <w:rPr>
          <w:rFonts w:ascii="Arial" w:cs="Arial" w:eastAsia="Arial" w:hAnsi="Arial"/>
          <w:sz w:val="14"/>
          <w:szCs w:val="14"/>
          <w:color w:val="3B3D3F"/>
        </w:rPr>
        <w:t>such</w:t>
      </w:r>
      <w:r>
        <w:rPr>
          <w:rFonts w:ascii="Arial" w:cs="Arial" w:eastAsia="Arial" w:hAnsi="Arial"/>
          <w:sz w:val="14"/>
          <w:szCs w:val="14"/>
          <w:color w:val="24282A"/>
        </w:rPr>
        <w:t xml:space="preserve"> claims</w:t>
      </w:r>
      <w:r>
        <w:rPr>
          <w:rFonts w:ascii="Arial" w:cs="Arial" w:eastAsia="Arial" w:hAnsi="Arial"/>
          <w:sz w:val="14"/>
          <w:szCs w:val="14"/>
          <w:color w:val="5B5D60"/>
        </w:rPr>
        <w:t>,</w:t>
      </w:r>
      <w:r>
        <w:rPr>
          <w:rFonts w:ascii="Arial" w:cs="Arial" w:eastAsia="Arial" w:hAnsi="Arial"/>
          <w:sz w:val="14"/>
          <w:szCs w:val="14"/>
          <w:color w:val="24282A"/>
        </w:rPr>
        <w:t xml:space="preserve"> investigations or proceedings relate to </w:t>
      </w:r>
      <w:r>
        <w:rPr>
          <w:rFonts w:ascii="Arial" w:cs="Arial" w:eastAsia="Arial" w:hAnsi="Arial"/>
          <w:sz w:val="14"/>
          <w:szCs w:val="14"/>
          <w:color w:val="3B3D3F"/>
        </w:rPr>
        <w:t>services</w:t>
      </w:r>
      <w:r>
        <w:rPr>
          <w:rFonts w:ascii="Arial" w:cs="Arial" w:eastAsia="Arial" w:hAnsi="Arial"/>
          <w:sz w:val="14"/>
          <w:szCs w:val="14"/>
          <w:color w:val="24282A"/>
        </w:rPr>
        <w:t xml:space="preserve"> performed </w:t>
      </w:r>
      <w:r>
        <w:rPr>
          <w:rFonts w:ascii="Arial" w:cs="Arial" w:eastAsia="Arial" w:hAnsi="Arial"/>
          <w:sz w:val="14"/>
          <w:szCs w:val="14"/>
          <w:color w:val="3B3D3F"/>
        </w:rPr>
        <w:t>or</w:t>
      </w:r>
      <w:r>
        <w:rPr>
          <w:rFonts w:ascii="Arial" w:cs="Arial" w:eastAsia="Arial" w:hAnsi="Arial"/>
          <w:sz w:val="14"/>
          <w:szCs w:val="14"/>
          <w:color w:val="24282A"/>
        </w:rPr>
        <w:t xml:space="preserve"> required </w:t>
      </w:r>
      <w:r>
        <w:rPr>
          <w:rFonts w:ascii="Arial" w:cs="Arial" w:eastAsia="Arial" w:hAnsi="Arial"/>
          <w:sz w:val="14"/>
          <w:szCs w:val="14"/>
          <w:color w:val="3B3D3F"/>
        </w:rPr>
        <w:t>to</w:t>
      </w:r>
      <w:r>
        <w:rPr>
          <w:rFonts w:ascii="Arial" w:cs="Arial" w:eastAsia="Arial" w:hAnsi="Arial"/>
          <w:sz w:val="14"/>
          <w:szCs w:val="14"/>
          <w:color w:val="24282A"/>
        </w:rPr>
        <w:t xml:space="preserve"> be performed by </w:t>
      </w:r>
      <w:r>
        <w:rPr>
          <w:rFonts w:ascii="Arial" w:cs="Arial" w:eastAsia="Arial" w:hAnsi="Arial"/>
          <w:sz w:val="14"/>
          <w:szCs w:val="14"/>
          <w:color w:val="3B3D3F"/>
        </w:rPr>
        <w:t>Employee</w:t>
      </w:r>
      <w:r>
        <w:rPr>
          <w:rFonts w:ascii="Arial" w:cs="Arial" w:eastAsia="Arial" w:hAnsi="Arial"/>
          <w:sz w:val="14"/>
          <w:szCs w:val="14"/>
          <w:color w:val="5B5D60"/>
        </w:rPr>
        <w:t>,</w:t>
      </w:r>
      <w:r>
        <w:rPr>
          <w:rFonts w:ascii="Arial" w:cs="Arial" w:eastAsia="Arial" w:hAnsi="Arial"/>
          <w:sz w:val="14"/>
          <w:szCs w:val="14"/>
          <w:color w:val="24282A"/>
        </w:rPr>
        <w:t xml:space="preserve"> pertinent knowledge possessed by </w:t>
      </w:r>
      <w:r>
        <w:rPr>
          <w:rFonts w:ascii="Arial" w:cs="Arial" w:eastAsia="Arial" w:hAnsi="Arial"/>
          <w:sz w:val="14"/>
          <w:szCs w:val="14"/>
          <w:color w:val="3B3D3F"/>
        </w:rPr>
        <w:t>Employee</w:t>
      </w:r>
      <w:r>
        <w:rPr>
          <w:rFonts w:ascii="Arial" w:cs="Arial" w:eastAsia="Arial" w:hAnsi="Arial"/>
          <w:sz w:val="14"/>
          <w:szCs w:val="14"/>
          <w:color w:val="5B5D60"/>
        </w:rPr>
        <w:t>,</w:t>
      </w:r>
      <w:r>
        <w:rPr>
          <w:rFonts w:ascii="Arial" w:cs="Arial" w:eastAsia="Arial" w:hAnsi="Arial"/>
          <w:sz w:val="14"/>
          <w:szCs w:val="14"/>
          <w:color w:val="24282A"/>
        </w:rPr>
        <w:t xml:space="preserve"> </w:t>
      </w:r>
      <w:r>
        <w:rPr>
          <w:rFonts w:ascii="Arial" w:cs="Arial" w:eastAsia="Arial" w:hAnsi="Arial"/>
          <w:sz w:val="14"/>
          <w:szCs w:val="14"/>
          <w:color w:val="3B3D3F"/>
        </w:rPr>
        <w:t>or</w:t>
      </w:r>
      <w:r>
        <w:rPr>
          <w:rFonts w:ascii="Arial" w:cs="Arial" w:eastAsia="Arial" w:hAnsi="Arial"/>
          <w:sz w:val="14"/>
          <w:szCs w:val="14"/>
          <w:color w:val="24282A"/>
        </w:rPr>
        <w:t xml:space="preserve"> any </w:t>
      </w:r>
      <w:r>
        <w:rPr>
          <w:rFonts w:ascii="Arial" w:cs="Arial" w:eastAsia="Arial" w:hAnsi="Arial"/>
          <w:sz w:val="14"/>
          <w:szCs w:val="14"/>
          <w:color w:val="3B3D3F"/>
        </w:rPr>
        <w:t>act</w:t>
      </w:r>
      <w:r>
        <w:rPr>
          <w:rFonts w:ascii="Arial" w:cs="Arial" w:eastAsia="Arial" w:hAnsi="Arial"/>
          <w:sz w:val="14"/>
          <w:szCs w:val="14"/>
          <w:color w:val="24282A"/>
        </w:rPr>
        <w:t xml:space="preserve"> or omission by </w:t>
      </w:r>
      <w:r>
        <w:rPr>
          <w:rFonts w:ascii="Arial" w:cs="Arial" w:eastAsia="Arial" w:hAnsi="Arial"/>
          <w:sz w:val="14"/>
          <w:szCs w:val="14"/>
          <w:color w:val="3B3D3F"/>
        </w:rPr>
        <w:t>Employee.</w:t>
      </w:r>
      <w:r>
        <w:rPr>
          <w:rFonts w:ascii="Arial" w:cs="Arial" w:eastAsia="Arial" w:hAnsi="Arial"/>
          <w:sz w:val="14"/>
          <w:szCs w:val="14"/>
          <w:color w:val="24282A"/>
        </w:rPr>
        <w:t xml:space="preserve"> </w:t>
      </w:r>
      <w:r>
        <w:rPr>
          <w:rFonts w:ascii="Arial" w:cs="Arial" w:eastAsia="Arial" w:hAnsi="Arial"/>
          <w:sz w:val="14"/>
          <w:szCs w:val="14"/>
          <w:color w:val="5B5D60"/>
        </w:rPr>
        <w:t>E</w:t>
      </w:r>
      <w:r>
        <w:rPr>
          <w:rFonts w:ascii="Arial" w:cs="Arial" w:eastAsia="Arial" w:hAnsi="Arial"/>
          <w:sz w:val="14"/>
          <w:szCs w:val="14"/>
          <w:color w:val="24282A"/>
        </w:rPr>
        <w:t xml:space="preserve">mployee understands that </w:t>
      </w:r>
      <w:r>
        <w:rPr>
          <w:rFonts w:ascii="Arial" w:cs="Arial" w:eastAsia="Arial" w:hAnsi="Arial"/>
          <w:sz w:val="14"/>
          <w:szCs w:val="14"/>
          <w:color w:val="3B3D3F"/>
        </w:rPr>
        <w:t>cooperation as</w:t>
      </w:r>
      <w:r>
        <w:rPr>
          <w:rFonts w:ascii="Arial" w:cs="Arial" w:eastAsia="Arial" w:hAnsi="Arial"/>
          <w:sz w:val="14"/>
          <w:szCs w:val="14"/>
          <w:color w:val="24282A"/>
        </w:rPr>
        <w:t xml:space="preserve"> described in </w:t>
      </w:r>
      <w:r>
        <w:rPr>
          <w:rFonts w:ascii="Arial" w:cs="Arial" w:eastAsia="Arial" w:hAnsi="Arial"/>
          <w:sz w:val="14"/>
          <w:szCs w:val="14"/>
          <w:color w:val="3B3D3F"/>
        </w:rPr>
        <w:t>this</w:t>
      </w:r>
      <w:r>
        <w:rPr>
          <w:rFonts w:ascii="Arial" w:cs="Arial" w:eastAsia="Arial" w:hAnsi="Arial"/>
          <w:sz w:val="14"/>
          <w:szCs w:val="14"/>
          <w:color w:val="24282A"/>
        </w:rPr>
        <w:t xml:space="preserve"> paragraph means </w:t>
      </w:r>
      <w:r>
        <w:rPr>
          <w:rFonts w:ascii="Arial" w:cs="Arial" w:eastAsia="Arial" w:hAnsi="Arial"/>
          <w:sz w:val="14"/>
          <w:szCs w:val="14"/>
          <w:color w:val="3B3D3F"/>
        </w:rPr>
        <w:t>voluntary</w:t>
      </w:r>
      <w:r>
        <w:rPr>
          <w:rFonts w:ascii="Arial" w:cs="Arial" w:eastAsia="Arial" w:hAnsi="Arial"/>
          <w:sz w:val="14"/>
          <w:szCs w:val="14"/>
          <w:color w:val="24282A"/>
        </w:rPr>
        <w:t xml:space="preserve"> participation in all </w:t>
      </w:r>
      <w:r>
        <w:rPr>
          <w:rFonts w:ascii="Arial" w:cs="Arial" w:eastAsia="Arial" w:hAnsi="Arial"/>
          <w:sz w:val="14"/>
          <w:szCs w:val="14"/>
          <w:color w:val="3B3D3F"/>
        </w:rPr>
        <w:t>stages of adversarial</w:t>
      </w:r>
      <w:r>
        <w:rPr>
          <w:rFonts w:ascii="Arial" w:cs="Arial" w:eastAsia="Arial" w:hAnsi="Arial"/>
          <w:sz w:val="14"/>
          <w:szCs w:val="14"/>
          <w:color w:val="24282A"/>
        </w:rPr>
        <w:t xml:space="preserve"> proceedings, investigations </w:t>
      </w:r>
      <w:r>
        <w:rPr>
          <w:rFonts w:ascii="Arial" w:cs="Arial" w:eastAsia="Arial" w:hAnsi="Arial"/>
          <w:sz w:val="14"/>
          <w:szCs w:val="14"/>
          <w:color w:val="5B5D60"/>
        </w:rPr>
        <w:t>,</w:t>
      </w:r>
      <w:r>
        <w:rPr>
          <w:rFonts w:ascii="Arial" w:cs="Arial" w:eastAsia="Arial" w:hAnsi="Arial"/>
          <w:sz w:val="14"/>
          <w:szCs w:val="14"/>
          <w:color w:val="24282A"/>
        </w:rPr>
        <w:t xml:space="preserve"> </w:t>
      </w:r>
      <w:r>
        <w:rPr>
          <w:rFonts w:ascii="Arial" w:cs="Arial" w:eastAsia="Arial" w:hAnsi="Arial"/>
          <w:sz w:val="14"/>
          <w:szCs w:val="14"/>
          <w:color w:val="3B3D3F"/>
        </w:rPr>
        <w:t>and</w:t>
      </w:r>
      <w:r>
        <w:rPr>
          <w:rFonts w:ascii="Arial" w:cs="Arial" w:eastAsia="Arial" w:hAnsi="Arial"/>
          <w:sz w:val="14"/>
          <w:szCs w:val="14"/>
          <w:color w:val="24282A"/>
        </w:rPr>
        <w:t xml:space="preserve"> the like, and includes testifying </w:t>
      </w:r>
      <w:r>
        <w:rPr>
          <w:rFonts w:ascii="Arial" w:cs="Arial" w:eastAsia="Arial" w:hAnsi="Arial"/>
          <w:sz w:val="14"/>
          <w:szCs w:val="14"/>
          <w:color w:val="3B3D3F"/>
        </w:rPr>
        <w:t>where requested</w:t>
      </w:r>
      <w:r>
        <w:rPr>
          <w:rFonts w:ascii="Arial" w:cs="Arial" w:eastAsia="Arial" w:hAnsi="Arial"/>
          <w:sz w:val="14"/>
          <w:szCs w:val="14"/>
          <w:color w:val="24282A"/>
        </w:rPr>
        <w:t xml:space="preserve"> by </w:t>
      </w:r>
      <w:r>
        <w:rPr>
          <w:rFonts w:ascii="Arial" w:cs="Arial" w:eastAsia="Arial" w:hAnsi="Arial"/>
          <w:sz w:val="14"/>
          <w:szCs w:val="14"/>
          <w:color w:val="3B3D3F"/>
        </w:rPr>
        <w:t>Company. Employee further</w:t>
      </w:r>
      <w:r>
        <w:rPr>
          <w:rFonts w:ascii="Arial" w:cs="Arial" w:eastAsia="Arial" w:hAnsi="Arial"/>
          <w:sz w:val="14"/>
          <w:szCs w:val="14"/>
          <w:color w:val="24282A"/>
        </w:rPr>
        <w:t xml:space="preserve"> </w:t>
      </w:r>
      <w:r>
        <w:rPr>
          <w:rFonts w:ascii="Arial" w:cs="Arial" w:eastAsia="Arial" w:hAnsi="Arial"/>
          <w:sz w:val="14"/>
          <w:szCs w:val="14"/>
          <w:color w:val="3B3D3F"/>
        </w:rPr>
        <w:t xml:space="preserve">agrees to execute and </w:t>
      </w:r>
      <w:r>
        <w:rPr>
          <w:rFonts w:ascii="Arial" w:cs="Arial" w:eastAsia="Arial" w:hAnsi="Arial"/>
          <w:sz w:val="14"/>
          <w:szCs w:val="14"/>
          <w:color w:val="24282A"/>
        </w:rPr>
        <w:t>deliver</w:t>
      </w:r>
      <w:r>
        <w:rPr>
          <w:rFonts w:ascii="Arial" w:cs="Arial" w:eastAsia="Arial" w:hAnsi="Arial"/>
          <w:sz w:val="14"/>
          <w:szCs w:val="14"/>
          <w:color w:val="3B3D3F"/>
        </w:rPr>
        <w:t xml:space="preserve"> any </w:t>
      </w:r>
      <w:r>
        <w:rPr>
          <w:rFonts w:ascii="Arial" w:cs="Arial" w:eastAsia="Arial" w:hAnsi="Arial"/>
          <w:sz w:val="14"/>
          <w:szCs w:val="14"/>
          <w:color w:val="24282A"/>
        </w:rPr>
        <w:t>documents that may be reasonably necessary to carry</w:t>
      </w:r>
      <w:r>
        <w:rPr>
          <w:rFonts w:ascii="Arial" w:cs="Arial" w:eastAsia="Arial" w:hAnsi="Arial"/>
          <w:sz w:val="14"/>
          <w:szCs w:val="14"/>
          <w:color w:val="3B3D3F"/>
        </w:rPr>
        <w:t xml:space="preserve"> out the provisions of this </w:t>
      </w:r>
      <w:r>
        <w:rPr>
          <w:rFonts w:ascii="Arial" w:cs="Arial" w:eastAsia="Arial" w:hAnsi="Arial"/>
          <w:sz w:val="14"/>
          <w:szCs w:val="14"/>
          <w:color w:val="24282A"/>
        </w:rPr>
        <w:t>Paragraph.</w:t>
      </w:r>
    </w:p>
    <w:p>
      <w:pPr>
        <w:spacing w:after="0" w:line="149" w:lineRule="exact"/>
        <w:rPr>
          <w:rFonts w:ascii="Arial" w:cs="Arial" w:eastAsia="Arial" w:hAnsi="Arial"/>
          <w:sz w:val="14"/>
          <w:szCs w:val="14"/>
          <w:color w:val="auto"/>
        </w:rPr>
      </w:pPr>
    </w:p>
    <w:p>
      <w:pPr>
        <w:ind w:left="260" w:hanging="255"/>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24282A"/>
        </w:rPr>
        <w:t xml:space="preserve">Representations of Employee. </w:t>
      </w:r>
      <w:r>
        <w:rPr>
          <w:rFonts w:ascii="Arial" w:cs="Arial" w:eastAsia="Arial" w:hAnsi="Arial"/>
          <w:sz w:val="14"/>
          <w:szCs w:val="14"/>
          <w:color w:val="3B3D3F"/>
        </w:rPr>
        <w:t>Employee</w:t>
      </w:r>
      <w:r>
        <w:rPr>
          <w:rFonts w:ascii="Arial" w:cs="Arial" w:eastAsia="Arial" w:hAnsi="Arial"/>
          <w:sz w:val="14"/>
          <w:szCs w:val="14"/>
          <w:b w:val="1"/>
          <w:bCs w:val="1"/>
          <w:color w:val="24282A"/>
        </w:rPr>
        <w:t xml:space="preserve"> </w:t>
      </w:r>
      <w:r>
        <w:rPr>
          <w:rFonts w:ascii="Arial" w:cs="Arial" w:eastAsia="Arial" w:hAnsi="Arial"/>
          <w:sz w:val="14"/>
          <w:szCs w:val="14"/>
          <w:color w:val="24282A"/>
        </w:rPr>
        <w:t>represents</w:t>
      </w:r>
      <w:r>
        <w:rPr>
          <w:rFonts w:ascii="Arial" w:cs="Arial" w:eastAsia="Arial" w:hAnsi="Arial"/>
          <w:sz w:val="14"/>
          <w:szCs w:val="14"/>
          <w:b w:val="1"/>
          <w:bCs w:val="1"/>
          <w:color w:val="24282A"/>
        </w:rPr>
        <w:t xml:space="preserve"> </w:t>
      </w:r>
      <w:r>
        <w:rPr>
          <w:rFonts w:ascii="Arial" w:cs="Arial" w:eastAsia="Arial" w:hAnsi="Arial"/>
          <w:sz w:val="14"/>
          <w:szCs w:val="14"/>
          <w:color w:val="3B3D3F"/>
        </w:rPr>
        <w:t>and agrees (a)</w:t>
      </w:r>
      <w:r>
        <w:rPr>
          <w:rFonts w:ascii="Arial" w:cs="Arial" w:eastAsia="Arial" w:hAnsi="Arial"/>
          <w:sz w:val="14"/>
          <w:szCs w:val="14"/>
          <w:b w:val="1"/>
          <w:bCs w:val="1"/>
          <w:color w:val="24282A"/>
        </w:rPr>
        <w:t xml:space="preserve"> </w:t>
      </w:r>
      <w:r>
        <w:rPr>
          <w:rFonts w:ascii="Arial" w:cs="Arial" w:eastAsia="Arial" w:hAnsi="Arial"/>
          <w:sz w:val="14"/>
          <w:szCs w:val="14"/>
          <w:color w:val="24282A"/>
        </w:rPr>
        <w:t>that he</w:t>
      </w:r>
      <w:r>
        <w:rPr>
          <w:rFonts w:ascii="Arial" w:cs="Arial" w:eastAsia="Arial" w:hAnsi="Arial"/>
          <w:sz w:val="14"/>
          <w:szCs w:val="14"/>
          <w:b w:val="1"/>
          <w:bCs w:val="1"/>
          <w:color w:val="24282A"/>
        </w:rPr>
        <w:t xml:space="preserve"> </w:t>
      </w:r>
      <w:r>
        <w:rPr>
          <w:rFonts w:ascii="Arial" w:cs="Arial" w:eastAsia="Arial" w:hAnsi="Arial"/>
          <w:sz w:val="14"/>
          <w:szCs w:val="14"/>
          <w:color w:val="3B3D3F"/>
        </w:rPr>
        <w:t>was advised</w:t>
      </w:r>
      <w:r>
        <w:rPr>
          <w:rFonts w:ascii="Arial" w:cs="Arial" w:eastAsia="Arial" w:hAnsi="Arial"/>
          <w:sz w:val="14"/>
          <w:szCs w:val="14"/>
          <w:b w:val="1"/>
          <w:bCs w:val="1"/>
          <w:color w:val="24282A"/>
        </w:rPr>
        <w:t xml:space="preserve"> </w:t>
      </w:r>
      <w:r>
        <w:rPr>
          <w:rFonts w:ascii="Arial" w:cs="Arial" w:eastAsia="Arial" w:hAnsi="Arial"/>
          <w:sz w:val="14"/>
          <w:szCs w:val="14"/>
          <w:color w:val="24282A"/>
        </w:rPr>
        <w:t>by the</w:t>
      </w:r>
      <w:r>
        <w:rPr>
          <w:rFonts w:ascii="Arial" w:cs="Arial" w:eastAsia="Arial" w:hAnsi="Arial"/>
          <w:sz w:val="14"/>
          <w:szCs w:val="14"/>
          <w:b w:val="1"/>
          <w:bCs w:val="1"/>
          <w:color w:val="24282A"/>
        </w:rPr>
        <w:t xml:space="preserve"> </w:t>
      </w:r>
      <w:r>
        <w:rPr>
          <w:rFonts w:ascii="Arial" w:cs="Arial" w:eastAsia="Arial" w:hAnsi="Arial"/>
          <w:sz w:val="14"/>
          <w:szCs w:val="14"/>
          <w:color w:val="3B3D3F"/>
        </w:rPr>
        <w:t>Company</w:t>
      </w:r>
      <w:r>
        <w:rPr>
          <w:rFonts w:ascii="Arial" w:cs="Arial" w:eastAsia="Arial" w:hAnsi="Arial"/>
          <w:sz w:val="14"/>
          <w:szCs w:val="14"/>
          <w:b w:val="1"/>
          <w:bCs w:val="1"/>
          <w:color w:val="24282A"/>
        </w:rPr>
        <w:t xml:space="preserve"> </w:t>
      </w:r>
      <w:r>
        <w:rPr>
          <w:rFonts w:ascii="Arial" w:cs="Arial" w:eastAsia="Arial" w:hAnsi="Arial"/>
          <w:sz w:val="14"/>
          <w:szCs w:val="14"/>
          <w:color w:val="24282A"/>
        </w:rPr>
        <w:t>in writing by this</w:t>
      </w:r>
      <w:r>
        <w:rPr>
          <w:rFonts w:ascii="Arial" w:cs="Arial" w:eastAsia="Arial" w:hAnsi="Arial"/>
          <w:sz w:val="14"/>
          <w:szCs w:val="14"/>
          <w:b w:val="1"/>
          <w:bCs w:val="1"/>
          <w:color w:val="24282A"/>
        </w:rPr>
        <w:t xml:space="preserve"> </w:t>
      </w:r>
      <w:r>
        <w:rPr>
          <w:rFonts w:ascii="Arial" w:cs="Arial" w:eastAsia="Arial" w:hAnsi="Arial"/>
          <w:sz w:val="14"/>
          <w:szCs w:val="14"/>
          <w:color w:val="3B3D3F"/>
        </w:rPr>
        <w:t>Agreement</w:t>
      </w:r>
      <w:r>
        <w:rPr>
          <w:rFonts w:ascii="Arial" w:cs="Arial" w:eastAsia="Arial" w:hAnsi="Arial"/>
          <w:sz w:val="14"/>
          <w:szCs w:val="14"/>
          <w:b w:val="1"/>
          <w:bCs w:val="1"/>
          <w:color w:val="24282A"/>
        </w:rPr>
        <w:t xml:space="preserve"> </w:t>
      </w:r>
      <w:r>
        <w:rPr>
          <w:rFonts w:ascii="Arial" w:cs="Arial" w:eastAsia="Arial" w:hAnsi="Arial"/>
          <w:sz w:val="14"/>
          <w:szCs w:val="14"/>
          <w:color w:val="24282A"/>
        </w:rPr>
        <w:t>to</w:t>
      </w:r>
      <w:r>
        <w:rPr>
          <w:rFonts w:ascii="Arial" w:cs="Arial" w:eastAsia="Arial" w:hAnsi="Arial"/>
          <w:sz w:val="14"/>
          <w:szCs w:val="14"/>
          <w:b w:val="1"/>
          <w:bCs w:val="1"/>
          <w:color w:val="24282A"/>
        </w:rPr>
        <w:t xml:space="preserve"> </w:t>
      </w:r>
      <w:r>
        <w:rPr>
          <w:rFonts w:ascii="Arial" w:cs="Arial" w:eastAsia="Arial" w:hAnsi="Arial"/>
          <w:sz w:val="14"/>
          <w:szCs w:val="14"/>
          <w:color w:val="3B3D3F"/>
        </w:rPr>
        <w:t>consult with an attorney of</w:t>
      </w:r>
      <w:r>
        <w:rPr>
          <w:rFonts w:ascii="Arial" w:cs="Arial" w:eastAsia="Arial" w:hAnsi="Arial"/>
          <w:sz w:val="14"/>
          <w:szCs w:val="14"/>
          <w:b w:val="1"/>
          <w:bCs w:val="1"/>
          <w:color w:val="24282A"/>
        </w:rPr>
        <w:t xml:space="preserve"> </w:t>
      </w:r>
      <w:r>
        <w:rPr>
          <w:rFonts w:ascii="Arial" w:cs="Arial" w:eastAsia="Arial" w:hAnsi="Arial"/>
          <w:sz w:val="14"/>
          <w:szCs w:val="14"/>
          <w:color w:val="24282A"/>
        </w:rPr>
        <w:t>his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-6985</wp:posOffset>
            </wp:positionV>
            <wp:extent cx="671385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260"/>
        <w:spacing w:after="0"/>
        <w:tabs>
          <w:tab w:leader="none" w:pos="8980" w:val="left"/>
        </w:tabs>
        <w:rPr>
          <w:sz w:val="20"/>
          <w:szCs w:val="20"/>
          <w:color w:val="auto"/>
        </w:rPr>
      </w:pPr>
      <w:r>
        <w:rPr>
          <w:rFonts w:ascii="Arial" w:cs="Arial" w:eastAsia="Arial" w:hAnsi="Arial"/>
          <w:sz w:val="11"/>
          <w:szCs w:val="11"/>
          <w:color w:val="auto"/>
        </w:rPr>
        <w:t>Separation Agreement And General Release/J. Michael Peffer</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200"/>
          </w:cols>
          <w:pgMar w:left="480" w:top="317"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3051F2"/>
        </w:rPr>
        <w:t>EXHIBIT 10.6(f)(i)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0" w:right="40"/>
        <w:spacing w:after="0" w:line="234" w:lineRule="auto"/>
        <w:rPr>
          <w:sz w:val="20"/>
          <w:szCs w:val="20"/>
          <w:color w:val="auto"/>
        </w:rPr>
      </w:pPr>
      <w:r>
        <w:rPr>
          <w:rFonts w:ascii="Arial" w:cs="Arial" w:eastAsia="Arial" w:hAnsi="Arial"/>
          <w:sz w:val="14"/>
          <w:szCs w:val="14"/>
          <w:color w:val="313336"/>
        </w:rPr>
        <w:t xml:space="preserve">choice prior to signing this Agreement; (b) that the Company </w:t>
      </w:r>
      <w:r>
        <w:rPr>
          <w:rFonts w:ascii="Arial" w:cs="Arial" w:eastAsia="Arial" w:hAnsi="Arial"/>
          <w:sz w:val="14"/>
          <w:szCs w:val="14"/>
          <w:color w:val="1F2123"/>
        </w:rPr>
        <w:t>has afforded</w:t>
      </w:r>
      <w:r>
        <w:rPr>
          <w:rFonts w:ascii="Arial" w:cs="Arial" w:eastAsia="Arial" w:hAnsi="Arial"/>
          <w:sz w:val="14"/>
          <w:szCs w:val="14"/>
          <w:color w:val="313336"/>
        </w:rPr>
        <w:t xml:space="preserve"> Employee </w:t>
      </w:r>
      <w:r>
        <w:rPr>
          <w:rFonts w:ascii="Arial" w:cs="Arial" w:eastAsia="Arial" w:hAnsi="Arial"/>
          <w:sz w:val="14"/>
          <w:szCs w:val="14"/>
          <w:b w:val="1"/>
          <w:bCs w:val="1"/>
          <w:color w:val="1F2123"/>
        </w:rPr>
        <w:t>no less than twenty-one (21) days</w:t>
      </w:r>
      <w:r>
        <w:rPr>
          <w:rFonts w:ascii="Arial" w:cs="Arial" w:eastAsia="Arial" w:hAnsi="Arial"/>
          <w:sz w:val="14"/>
          <w:szCs w:val="14"/>
          <w:color w:val="313336"/>
        </w:rPr>
        <w:t xml:space="preserve"> to consider whether to execute </w:t>
      </w:r>
      <w:r>
        <w:rPr>
          <w:rFonts w:ascii="Arial" w:cs="Arial" w:eastAsia="Arial" w:hAnsi="Arial"/>
          <w:sz w:val="14"/>
          <w:szCs w:val="14"/>
          <w:color w:val="1F2123"/>
        </w:rPr>
        <w:t>this</w:t>
      </w:r>
      <w:r>
        <w:rPr>
          <w:rFonts w:ascii="Arial" w:cs="Arial" w:eastAsia="Arial" w:hAnsi="Arial"/>
          <w:sz w:val="14"/>
          <w:szCs w:val="14"/>
          <w:color w:val="313336"/>
        </w:rPr>
        <w:t xml:space="preserve"> Agreement, and </w:t>
      </w:r>
      <w:r>
        <w:rPr>
          <w:rFonts w:ascii="Arial" w:cs="Arial" w:eastAsia="Arial" w:hAnsi="Arial"/>
          <w:sz w:val="14"/>
          <w:szCs w:val="14"/>
          <w:color w:val="1F2123"/>
        </w:rPr>
        <w:t>during that</w:t>
      </w:r>
      <w:r>
        <w:rPr>
          <w:rFonts w:ascii="Arial" w:cs="Arial" w:eastAsia="Arial" w:hAnsi="Arial"/>
          <w:sz w:val="14"/>
          <w:szCs w:val="14"/>
          <w:color w:val="313336"/>
        </w:rPr>
        <w:t xml:space="preserve"> time Employee </w:t>
      </w:r>
      <w:r>
        <w:rPr>
          <w:rFonts w:ascii="Arial" w:cs="Arial" w:eastAsia="Arial" w:hAnsi="Arial"/>
          <w:sz w:val="14"/>
          <w:szCs w:val="14"/>
          <w:color w:val="1F2123"/>
        </w:rPr>
        <w:t>has had</w:t>
      </w:r>
      <w:r>
        <w:rPr>
          <w:rFonts w:ascii="Arial" w:cs="Arial" w:eastAsia="Arial" w:hAnsi="Arial"/>
          <w:sz w:val="14"/>
          <w:szCs w:val="14"/>
          <w:color w:val="313336"/>
        </w:rPr>
        <w:t xml:space="preserve"> this Agreement in </w:t>
      </w:r>
      <w:r>
        <w:rPr>
          <w:rFonts w:ascii="Arial" w:cs="Arial" w:eastAsia="Arial" w:hAnsi="Arial"/>
          <w:sz w:val="14"/>
          <w:szCs w:val="14"/>
          <w:color w:val="1F2123"/>
        </w:rPr>
        <w:t>his</w:t>
      </w:r>
      <w:r>
        <w:rPr>
          <w:rFonts w:ascii="Arial" w:cs="Arial" w:eastAsia="Arial" w:hAnsi="Arial"/>
          <w:sz w:val="14"/>
          <w:szCs w:val="14"/>
          <w:color w:val="313336"/>
        </w:rPr>
        <w:t xml:space="preserve"> possession</w:t>
      </w:r>
      <w:r>
        <w:rPr>
          <w:rFonts w:ascii="Arial" w:cs="Arial" w:eastAsia="Arial" w:hAnsi="Arial"/>
          <w:sz w:val="14"/>
          <w:szCs w:val="14"/>
          <w:color w:val="575B5D"/>
        </w:rPr>
        <w:t>;</w:t>
      </w:r>
      <w:r>
        <w:rPr>
          <w:rFonts w:ascii="Arial" w:cs="Arial" w:eastAsia="Arial" w:hAnsi="Arial"/>
          <w:sz w:val="14"/>
          <w:szCs w:val="14"/>
          <w:color w:val="313336"/>
        </w:rPr>
        <w:t xml:space="preserve"> (c) </w:t>
      </w:r>
      <w:r>
        <w:rPr>
          <w:rFonts w:ascii="Arial" w:cs="Arial" w:eastAsia="Arial" w:hAnsi="Arial"/>
          <w:sz w:val="14"/>
          <w:szCs w:val="14"/>
          <w:color w:val="1F2123"/>
        </w:rPr>
        <w:t>that</w:t>
      </w:r>
      <w:r>
        <w:rPr>
          <w:rFonts w:ascii="Arial" w:cs="Arial" w:eastAsia="Arial" w:hAnsi="Arial"/>
          <w:sz w:val="14"/>
          <w:szCs w:val="14"/>
          <w:color w:val="313336"/>
        </w:rPr>
        <w:t xml:space="preserve"> Employee has taken </w:t>
      </w:r>
      <w:r>
        <w:rPr>
          <w:rFonts w:ascii="Arial" w:cs="Arial" w:eastAsia="Arial" w:hAnsi="Arial"/>
          <w:sz w:val="14"/>
          <w:szCs w:val="14"/>
          <w:color w:val="1F2123"/>
        </w:rPr>
        <w:t>full</w:t>
      </w:r>
      <w:r>
        <w:rPr>
          <w:rFonts w:ascii="Arial" w:cs="Arial" w:eastAsia="Arial" w:hAnsi="Arial"/>
          <w:sz w:val="14"/>
          <w:szCs w:val="14"/>
          <w:color w:val="313336"/>
        </w:rPr>
        <w:t xml:space="preserve"> advantage of </w:t>
      </w:r>
      <w:r>
        <w:rPr>
          <w:rFonts w:ascii="Arial" w:cs="Arial" w:eastAsia="Arial" w:hAnsi="Arial"/>
          <w:sz w:val="14"/>
          <w:szCs w:val="14"/>
          <w:color w:val="1F2123"/>
        </w:rPr>
        <w:t>this</w:t>
      </w:r>
      <w:r>
        <w:rPr>
          <w:rFonts w:ascii="Arial" w:cs="Arial" w:eastAsia="Arial" w:hAnsi="Arial"/>
          <w:sz w:val="14"/>
          <w:szCs w:val="14"/>
          <w:color w:val="313336"/>
        </w:rPr>
        <w:t xml:space="preserve"> 21-day consideration </w:t>
      </w:r>
      <w:r>
        <w:rPr>
          <w:rFonts w:ascii="Arial" w:cs="Arial" w:eastAsia="Arial" w:hAnsi="Arial"/>
          <w:sz w:val="14"/>
          <w:szCs w:val="14"/>
          <w:color w:val="1F2123"/>
        </w:rPr>
        <w:t>period</w:t>
      </w:r>
      <w:r>
        <w:rPr>
          <w:rFonts w:ascii="Arial" w:cs="Arial" w:eastAsia="Arial" w:hAnsi="Arial"/>
          <w:sz w:val="14"/>
          <w:szCs w:val="14"/>
          <w:color w:val="313336"/>
        </w:rPr>
        <w:t xml:space="preserve"> or has </w:t>
      </w:r>
      <w:r>
        <w:rPr>
          <w:rFonts w:ascii="Arial" w:cs="Arial" w:eastAsia="Arial" w:hAnsi="Arial"/>
          <w:sz w:val="14"/>
          <w:szCs w:val="14"/>
          <w:color w:val="1F2123"/>
        </w:rPr>
        <w:t>purposel</w:t>
      </w:r>
      <w:r>
        <w:rPr>
          <w:rFonts w:ascii="Arial" w:cs="Arial" w:eastAsia="Arial" w:hAnsi="Arial"/>
          <w:sz w:val="14"/>
          <w:szCs w:val="14"/>
          <w:color w:val="464849"/>
        </w:rPr>
        <w:t>y</w:t>
      </w:r>
      <w:r>
        <w:rPr>
          <w:rFonts w:ascii="Arial" w:cs="Arial" w:eastAsia="Arial" w:hAnsi="Arial"/>
          <w:sz w:val="14"/>
          <w:szCs w:val="14"/>
          <w:color w:val="313336"/>
        </w:rPr>
        <w:t xml:space="preserve"> waived </w:t>
      </w:r>
      <w:r>
        <w:rPr>
          <w:rFonts w:ascii="Arial" w:cs="Arial" w:eastAsia="Arial" w:hAnsi="Arial"/>
          <w:sz w:val="14"/>
          <w:szCs w:val="14"/>
          <w:color w:val="1F2123"/>
        </w:rPr>
        <w:t>his</w:t>
      </w:r>
      <w:r>
        <w:rPr>
          <w:rFonts w:ascii="Arial" w:cs="Arial" w:eastAsia="Arial" w:hAnsi="Arial"/>
          <w:sz w:val="14"/>
          <w:szCs w:val="14"/>
          <w:color w:val="313336"/>
        </w:rPr>
        <w:t xml:space="preserve"> right to </w:t>
      </w:r>
      <w:r>
        <w:rPr>
          <w:rFonts w:ascii="Arial" w:cs="Arial" w:eastAsia="Arial" w:hAnsi="Arial"/>
          <w:sz w:val="14"/>
          <w:szCs w:val="14"/>
          <w:color w:val="1F2123"/>
        </w:rPr>
        <w:t>do</w:t>
      </w:r>
      <w:r>
        <w:rPr>
          <w:rFonts w:ascii="Arial" w:cs="Arial" w:eastAsia="Arial" w:hAnsi="Arial"/>
          <w:sz w:val="14"/>
          <w:szCs w:val="14"/>
          <w:color w:val="313336"/>
        </w:rPr>
        <w:t xml:space="preserve"> </w:t>
      </w:r>
      <w:r>
        <w:rPr>
          <w:rFonts w:ascii="Arial" w:cs="Arial" w:eastAsia="Arial" w:hAnsi="Arial"/>
          <w:sz w:val="14"/>
          <w:szCs w:val="14"/>
          <w:color w:val="464849"/>
        </w:rPr>
        <w:t>so;</w:t>
      </w:r>
      <w:r>
        <w:rPr>
          <w:rFonts w:ascii="Arial" w:cs="Arial" w:eastAsia="Arial" w:hAnsi="Arial"/>
          <w:sz w:val="14"/>
          <w:szCs w:val="14"/>
          <w:color w:val="313336"/>
        </w:rPr>
        <w:t xml:space="preserve"> (d) </w:t>
      </w:r>
      <w:r>
        <w:rPr>
          <w:rFonts w:ascii="Arial" w:cs="Arial" w:eastAsia="Arial" w:hAnsi="Arial"/>
          <w:sz w:val="14"/>
          <w:szCs w:val="14"/>
          <w:color w:val="1F2123"/>
        </w:rPr>
        <w:t>that</w:t>
      </w:r>
      <w:r>
        <w:rPr>
          <w:rFonts w:ascii="Arial" w:cs="Arial" w:eastAsia="Arial" w:hAnsi="Arial"/>
          <w:sz w:val="14"/>
          <w:szCs w:val="14"/>
          <w:color w:val="313336"/>
        </w:rPr>
        <w:t xml:space="preserve"> Employee has consulted or has </w:t>
      </w:r>
      <w:r>
        <w:rPr>
          <w:rFonts w:ascii="Arial" w:cs="Arial" w:eastAsia="Arial" w:hAnsi="Arial"/>
          <w:sz w:val="14"/>
          <w:szCs w:val="14"/>
          <w:color w:val="1F2123"/>
        </w:rPr>
        <w:t>had</w:t>
      </w:r>
      <w:r>
        <w:rPr>
          <w:rFonts w:ascii="Arial" w:cs="Arial" w:eastAsia="Arial" w:hAnsi="Arial"/>
          <w:sz w:val="14"/>
          <w:szCs w:val="14"/>
          <w:color w:val="313336"/>
        </w:rPr>
        <w:t xml:space="preserve"> </w:t>
      </w:r>
      <w:r>
        <w:rPr>
          <w:rFonts w:ascii="Arial" w:cs="Arial" w:eastAsia="Arial" w:hAnsi="Arial"/>
          <w:sz w:val="14"/>
          <w:szCs w:val="14"/>
          <w:color w:val="464849"/>
        </w:rPr>
        <w:t>sufficie</w:t>
      </w:r>
      <w:r>
        <w:rPr>
          <w:rFonts w:ascii="Arial" w:cs="Arial" w:eastAsia="Arial" w:hAnsi="Arial"/>
          <w:sz w:val="14"/>
          <w:szCs w:val="14"/>
          <w:color w:val="1F2123"/>
        </w:rPr>
        <w:t>nt</w:t>
      </w:r>
      <w:r>
        <w:rPr>
          <w:rFonts w:ascii="Arial" w:cs="Arial" w:eastAsia="Arial" w:hAnsi="Arial"/>
          <w:sz w:val="14"/>
          <w:szCs w:val="14"/>
          <w:color w:val="313336"/>
        </w:rPr>
        <w:t xml:space="preserve"> opportunity to </w:t>
      </w:r>
      <w:r>
        <w:rPr>
          <w:rFonts w:ascii="Arial" w:cs="Arial" w:eastAsia="Arial" w:hAnsi="Arial"/>
          <w:sz w:val="14"/>
          <w:szCs w:val="14"/>
          <w:color w:val="1F2123"/>
        </w:rPr>
        <w:t>discuss</w:t>
      </w:r>
      <w:r>
        <w:rPr>
          <w:rFonts w:ascii="Arial" w:cs="Arial" w:eastAsia="Arial" w:hAnsi="Arial"/>
          <w:sz w:val="14"/>
          <w:szCs w:val="14"/>
          <w:color w:val="313336"/>
        </w:rPr>
        <w:t xml:space="preserve"> with any person, </w:t>
      </w:r>
      <w:r>
        <w:rPr>
          <w:rFonts w:ascii="Arial" w:cs="Arial" w:eastAsia="Arial" w:hAnsi="Arial"/>
          <w:sz w:val="14"/>
          <w:szCs w:val="14"/>
          <w:color w:val="1F2123"/>
        </w:rPr>
        <w:t>including</w:t>
      </w:r>
      <w:r>
        <w:rPr>
          <w:rFonts w:ascii="Arial" w:cs="Arial" w:eastAsia="Arial" w:hAnsi="Arial"/>
          <w:sz w:val="14"/>
          <w:szCs w:val="14"/>
          <w:color w:val="313336"/>
        </w:rPr>
        <w:t xml:space="preserve"> an attorney of his </w:t>
      </w:r>
      <w:r>
        <w:rPr>
          <w:rFonts w:ascii="Arial" w:cs="Arial" w:eastAsia="Arial" w:hAnsi="Arial"/>
          <w:sz w:val="14"/>
          <w:szCs w:val="14"/>
          <w:color w:val="1F2123"/>
        </w:rPr>
        <w:t>choice</w:t>
      </w:r>
      <w:r>
        <w:rPr>
          <w:rFonts w:ascii="Arial" w:cs="Arial" w:eastAsia="Arial" w:hAnsi="Arial"/>
          <w:sz w:val="14"/>
          <w:szCs w:val="14"/>
          <w:color w:val="464849"/>
        </w:rPr>
        <w:t>,</w:t>
      </w:r>
      <w:r>
        <w:rPr>
          <w:rFonts w:ascii="Arial" w:cs="Arial" w:eastAsia="Arial" w:hAnsi="Arial"/>
          <w:sz w:val="14"/>
          <w:szCs w:val="14"/>
          <w:color w:val="313336"/>
        </w:rPr>
        <w:t xml:space="preserve"> all provisions of this Agreement</w:t>
      </w:r>
      <w:r>
        <w:rPr>
          <w:rFonts w:ascii="Arial" w:cs="Arial" w:eastAsia="Arial" w:hAnsi="Arial"/>
          <w:sz w:val="14"/>
          <w:szCs w:val="14"/>
          <w:color w:val="575B5D"/>
        </w:rPr>
        <w:t>,</w:t>
      </w:r>
      <w:r>
        <w:rPr>
          <w:rFonts w:ascii="Arial" w:cs="Arial" w:eastAsia="Arial" w:hAnsi="Arial"/>
          <w:sz w:val="14"/>
          <w:szCs w:val="14"/>
          <w:color w:val="313336"/>
        </w:rPr>
        <w:t xml:space="preserve"> </w:t>
      </w:r>
      <w:r>
        <w:rPr>
          <w:rFonts w:ascii="Arial" w:cs="Arial" w:eastAsia="Arial" w:hAnsi="Arial"/>
          <w:sz w:val="14"/>
          <w:szCs w:val="14"/>
          <w:color w:val="464849"/>
        </w:rPr>
        <w:t>that E</w:t>
      </w:r>
      <w:r>
        <w:rPr>
          <w:rFonts w:ascii="Arial" w:cs="Arial" w:eastAsia="Arial" w:hAnsi="Arial"/>
          <w:sz w:val="14"/>
          <w:szCs w:val="14"/>
          <w:color w:val="1F2123"/>
        </w:rPr>
        <w:t>mployee has</w:t>
      </w:r>
      <w:r>
        <w:rPr>
          <w:rFonts w:ascii="Arial" w:cs="Arial" w:eastAsia="Arial" w:hAnsi="Arial"/>
          <w:sz w:val="14"/>
          <w:szCs w:val="14"/>
          <w:color w:val="313336"/>
        </w:rPr>
        <w:t xml:space="preserve"> carefully </w:t>
      </w:r>
      <w:r>
        <w:rPr>
          <w:rFonts w:ascii="Arial" w:cs="Arial" w:eastAsia="Arial" w:hAnsi="Arial"/>
          <w:sz w:val="14"/>
          <w:szCs w:val="14"/>
          <w:color w:val="1F2123"/>
        </w:rPr>
        <w:t>read</w:t>
      </w:r>
      <w:r>
        <w:rPr>
          <w:rFonts w:ascii="Arial" w:cs="Arial" w:eastAsia="Arial" w:hAnsi="Arial"/>
          <w:sz w:val="14"/>
          <w:szCs w:val="14"/>
          <w:color w:val="313336"/>
        </w:rPr>
        <w:t xml:space="preserve"> and </w:t>
      </w:r>
      <w:r>
        <w:rPr>
          <w:rFonts w:ascii="Arial" w:cs="Arial" w:eastAsia="Arial" w:hAnsi="Arial"/>
          <w:sz w:val="14"/>
          <w:szCs w:val="14"/>
          <w:color w:val="1F2123"/>
        </w:rPr>
        <w:t>understands</w:t>
      </w:r>
      <w:r>
        <w:rPr>
          <w:rFonts w:ascii="Arial" w:cs="Arial" w:eastAsia="Arial" w:hAnsi="Arial"/>
          <w:sz w:val="14"/>
          <w:szCs w:val="14"/>
          <w:color w:val="313336"/>
        </w:rPr>
        <w:t xml:space="preserve"> it</w:t>
      </w:r>
      <w:r>
        <w:rPr>
          <w:rFonts w:ascii="Arial" w:cs="Arial" w:eastAsia="Arial" w:hAnsi="Arial"/>
          <w:sz w:val="14"/>
          <w:szCs w:val="14"/>
          <w:color w:val="575B5D"/>
        </w:rPr>
        <w:t>,</w:t>
      </w:r>
      <w:r>
        <w:rPr>
          <w:rFonts w:ascii="Arial" w:cs="Arial" w:eastAsia="Arial" w:hAnsi="Arial"/>
          <w:sz w:val="14"/>
          <w:szCs w:val="14"/>
          <w:color w:val="313336"/>
        </w:rPr>
        <w:t xml:space="preserve"> </w:t>
      </w:r>
      <w:r>
        <w:rPr>
          <w:rFonts w:ascii="Arial" w:cs="Arial" w:eastAsia="Arial" w:hAnsi="Arial"/>
          <w:sz w:val="14"/>
          <w:szCs w:val="14"/>
          <w:color w:val="1F2123"/>
        </w:rPr>
        <w:t>that</w:t>
      </w:r>
      <w:r>
        <w:rPr>
          <w:rFonts w:ascii="Arial" w:cs="Arial" w:eastAsia="Arial" w:hAnsi="Arial"/>
          <w:sz w:val="14"/>
          <w:szCs w:val="14"/>
          <w:color w:val="313336"/>
        </w:rPr>
        <w:t xml:space="preserve"> Employee is competent to execute </w:t>
      </w:r>
      <w:r>
        <w:rPr>
          <w:rFonts w:ascii="Arial" w:cs="Arial" w:eastAsia="Arial" w:hAnsi="Arial"/>
          <w:sz w:val="14"/>
          <w:szCs w:val="14"/>
          <w:color w:val="1F2123"/>
        </w:rPr>
        <w:t>this</w:t>
      </w:r>
      <w:r>
        <w:rPr>
          <w:rFonts w:ascii="Arial" w:cs="Arial" w:eastAsia="Arial" w:hAnsi="Arial"/>
          <w:sz w:val="14"/>
          <w:szCs w:val="14"/>
          <w:color w:val="313336"/>
        </w:rPr>
        <w:t xml:space="preserve"> Agreement, and that </w:t>
      </w:r>
      <w:r>
        <w:rPr>
          <w:rFonts w:ascii="Arial" w:cs="Arial" w:eastAsia="Arial" w:hAnsi="Arial"/>
          <w:sz w:val="14"/>
          <w:szCs w:val="14"/>
          <w:color w:val="464849"/>
        </w:rPr>
        <w:t>E</w:t>
      </w:r>
      <w:r>
        <w:rPr>
          <w:rFonts w:ascii="Arial" w:cs="Arial" w:eastAsia="Arial" w:hAnsi="Arial"/>
          <w:sz w:val="14"/>
          <w:szCs w:val="14"/>
          <w:color w:val="1F2123"/>
        </w:rPr>
        <w:t>mployee is</w:t>
      </w:r>
      <w:r>
        <w:rPr>
          <w:rFonts w:ascii="Arial" w:cs="Arial" w:eastAsia="Arial" w:hAnsi="Arial"/>
          <w:sz w:val="14"/>
          <w:szCs w:val="14"/>
          <w:color w:val="313336"/>
        </w:rPr>
        <w:t xml:space="preserve"> entering </w:t>
      </w:r>
      <w:r>
        <w:rPr>
          <w:rFonts w:ascii="Arial" w:cs="Arial" w:eastAsia="Arial" w:hAnsi="Arial"/>
          <w:sz w:val="14"/>
          <w:szCs w:val="14"/>
          <w:color w:val="1F2123"/>
        </w:rPr>
        <w:t>into</w:t>
      </w:r>
      <w:r>
        <w:rPr>
          <w:rFonts w:ascii="Arial" w:cs="Arial" w:eastAsia="Arial" w:hAnsi="Arial"/>
          <w:sz w:val="14"/>
          <w:szCs w:val="14"/>
          <w:color w:val="313336"/>
        </w:rPr>
        <w:t xml:space="preserve"> this Agreement knowingly and voluntarily without reliance </w:t>
      </w:r>
      <w:r>
        <w:rPr>
          <w:rFonts w:ascii="Arial" w:cs="Arial" w:eastAsia="Arial" w:hAnsi="Arial"/>
          <w:sz w:val="14"/>
          <w:szCs w:val="14"/>
          <w:color w:val="1F2123"/>
        </w:rPr>
        <w:t>upon</w:t>
      </w:r>
      <w:r>
        <w:rPr>
          <w:rFonts w:ascii="Arial" w:cs="Arial" w:eastAsia="Arial" w:hAnsi="Arial"/>
          <w:sz w:val="14"/>
          <w:szCs w:val="14"/>
          <w:color w:val="313336"/>
        </w:rPr>
        <w:t xml:space="preserve"> any statement or representation of any person or </w:t>
      </w:r>
      <w:r>
        <w:rPr>
          <w:rFonts w:ascii="Arial" w:cs="Arial" w:eastAsia="Arial" w:hAnsi="Arial"/>
          <w:sz w:val="14"/>
          <w:szCs w:val="14"/>
          <w:color w:val="1F2123"/>
        </w:rPr>
        <w:t>parties</w:t>
      </w:r>
      <w:r>
        <w:rPr>
          <w:rFonts w:ascii="Arial" w:cs="Arial" w:eastAsia="Arial" w:hAnsi="Arial"/>
          <w:sz w:val="14"/>
          <w:szCs w:val="14"/>
          <w:color w:val="313336"/>
        </w:rPr>
        <w:t xml:space="preserve"> released, or their representatives</w:t>
      </w:r>
      <w:r>
        <w:rPr>
          <w:rFonts w:ascii="Arial" w:cs="Arial" w:eastAsia="Arial" w:hAnsi="Arial"/>
          <w:sz w:val="14"/>
          <w:szCs w:val="14"/>
          <w:color w:val="575B5D"/>
        </w:rPr>
        <w:t>,</w:t>
      </w:r>
      <w:r>
        <w:rPr>
          <w:rFonts w:ascii="Arial" w:cs="Arial" w:eastAsia="Arial" w:hAnsi="Arial"/>
          <w:sz w:val="14"/>
          <w:szCs w:val="14"/>
          <w:color w:val="313336"/>
        </w:rPr>
        <w:t xml:space="preserve"> concerning the </w:t>
      </w:r>
      <w:r>
        <w:rPr>
          <w:rFonts w:ascii="Arial" w:cs="Arial" w:eastAsia="Arial" w:hAnsi="Arial"/>
          <w:sz w:val="14"/>
          <w:szCs w:val="14"/>
          <w:color w:val="1F2123"/>
        </w:rPr>
        <w:t xml:space="preserve">nature </w:t>
      </w:r>
      <w:r>
        <w:rPr>
          <w:rFonts w:ascii="Arial" w:cs="Arial" w:eastAsia="Arial" w:hAnsi="Arial"/>
          <w:sz w:val="14"/>
          <w:szCs w:val="14"/>
          <w:color w:val="313336"/>
        </w:rPr>
        <w:t>and extent of</w:t>
      </w:r>
      <w:r>
        <w:rPr>
          <w:rFonts w:ascii="Arial" w:cs="Arial" w:eastAsia="Arial" w:hAnsi="Arial"/>
          <w:sz w:val="14"/>
          <w:szCs w:val="14"/>
          <w:color w:val="1F2123"/>
        </w:rPr>
        <w:t xml:space="preserve"> the </w:t>
      </w:r>
      <w:r>
        <w:rPr>
          <w:rFonts w:ascii="Arial" w:cs="Arial" w:eastAsia="Arial" w:hAnsi="Arial"/>
          <w:sz w:val="14"/>
          <w:szCs w:val="14"/>
          <w:color w:val="313336"/>
        </w:rPr>
        <w:t>damages and</w:t>
      </w:r>
      <w:r>
        <w:rPr>
          <w:rFonts w:ascii="Arial" w:cs="Arial" w:eastAsia="Arial" w:hAnsi="Arial"/>
          <w:sz w:val="14"/>
          <w:szCs w:val="14"/>
          <w:color w:val="696B6D"/>
        </w:rPr>
        <w:t>/</w:t>
      </w:r>
      <w:r>
        <w:rPr>
          <w:rFonts w:ascii="Arial" w:cs="Arial" w:eastAsia="Arial" w:hAnsi="Arial"/>
          <w:sz w:val="14"/>
          <w:szCs w:val="14"/>
          <w:color w:val="313336"/>
        </w:rPr>
        <w:t>or</w:t>
      </w:r>
      <w:r>
        <w:rPr>
          <w:rFonts w:ascii="Arial" w:cs="Arial" w:eastAsia="Arial" w:hAnsi="Arial"/>
          <w:sz w:val="14"/>
          <w:szCs w:val="14"/>
          <w:color w:val="1F2123"/>
        </w:rPr>
        <w:t xml:space="preserve"> l</w:t>
      </w:r>
      <w:r>
        <w:rPr>
          <w:rFonts w:ascii="Arial" w:cs="Arial" w:eastAsia="Arial" w:hAnsi="Arial"/>
          <w:sz w:val="14"/>
          <w:szCs w:val="14"/>
          <w:color w:val="464849"/>
        </w:rPr>
        <w:t>ega</w:t>
      </w:r>
      <w:r>
        <w:rPr>
          <w:rFonts w:ascii="Arial" w:cs="Arial" w:eastAsia="Arial" w:hAnsi="Arial"/>
          <w:sz w:val="14"/>
          <w:szCs w:val="14"/>
          <w:color w:val="1F2123"/>
        </w:rPr>
        <w:t xml:space="preserve">l liability </w:t>
      </w:r>
      <w:r>
        <w:rPr>
          <w:rFonts w:ascii="Arial" w:cs="Arial" w:eastAsia="Arial" w:hAnsi="Arial"/>
          <w:sz w:val="14"/>
          <w:szCs w:val="14"/>
          <w:color w:val="313336"/>
        </w:rPr>
        <w:t>therefore; (e) that Employee</w:t>
      </w:r>
      <w:r>
        <w:rPr>
          <w:rFonts w:ascii="Arial" w:cs="Arial" w:eastAsia="Arial" w:hAnsi="Arial"/>
          <w:sz w:val="14"/>
          <w:szCs w:val="14"/>
          <w:color w:val="1F2123"/>
        </w:rPr>
        <w:t xml:space="preserve"> has </w:t>
      </w:r>
      <w:r>
        <w:rPr>
          <w:rFonts w:ascii="Arial" w:cs="Arial" w:eastAsia="Arial" w:hAnsi="Arial"/>
          <w:sz w:val="14"/>
          <w:szCs w:val="14"/>
          <w:color w:val="313336"/>
        </w:rPr>
        <w:t>not assigned or</w:t>
      </w:r>
      <w:r>
        <w:rPr>
          <w:rFonts w:ascii="Arial" w:cs="Arial" w:eastAsia="Arial" w:hAnsi="Arial"/>
          <w:sz w:val="14"/>
          <w:szCs w:val="14"/>
          <w:color w:val="1F2123"/>
        </w:rPr>
        <w:t xml:space="preserve"> transferred</w:t>
      </w:r>
      <w:r>
        <w:rPr>
          <w:rFonts w:ascii="Arial" w:cs="Arial" w:eastAsia="Arial" w:hAnsi="Arial"/>
          <w:sz w:val="14"/>
          <w:szCs w:val="14"/>
          <w:color w:val="464849"/>
        </w:rPr>
        <w:t>,</w:t>
      </w:r>
      <w:r>
        <w:rPr>
          <w:rFonts w:ascii="Arial" w:cs="Arial" w:eastAsia="Arial" w:hAnsi="Arial"/>
          <w:sz w:val="14"/>
          <w:szCs w:val="14"/>
          <w:color w:val="1F2123"/>
        </w:rPr>
        <w:t xml:space="preserve"> </w:t>
      </w:r>
      <w:r>
        <w:rPr>
          <w:rFonts w:ascii="Arial" w:cs="Arial" w:eastAsia="Arial" w:hAnsi="Arial"/>
          <w:sz w:val="14"/>
          <w:szCs w:val="14"/>
          <w:color w:val="313336"/>
        </w:rPr>
        <w:t>or proposed to assign or transfer, to any person or</w:t>
      </w:r>
      <w:r>
        <w:rPr>
          <w:rFonts w:ascii="Arial" w:cs="Arial" w:eastAsia="Arial" w:hAnsi="Arial"/>
          <w:sz w:val="14"/>
          <w:szCs w:val="14"/>
          <w:color w:val="1F2123"/>
        </w:rPr>
        <w:t xml:space="preserve"> </w:t>
      </w:r>
      <w:r>
        <w:rPr>
          <w:rFonts w:ascii="Arial" w:cs="Arial" w:eastAsia="Arial" w:hAnsi="Arial"/>
          <w:sz w:val="14"/>
          <w:szCs w:val="14"/>
          <w:color w:val="464849"/>
        </w:rPr>
        <w:t>en</w:t>
      </w:r>
      <w:r>
        <w:rPr>
          <w:rFonts w:ascii="Arial" w:cs="Arial" w:eastAsia="Arial" w:hAnsi="Arial"/>
          <w:sz w:val="14"/>
          <w:szCs w:val="14"/>
          <w:color w:val="1F2123"/>
        </w:rPr>
        <w:t>tity</w:t>
      </w:r>
      <w:r>
        <w:rPr>
          <w:rFonts w:ascii="Arial" w:cs="Arial" w:eastAsia="Arial" w:hAnsi="Arial"/>
          <w:sz w:val="14"/>
          <w:szCs w:val="14"/>
          <w:color w:val="464849"/>
        </w:rPr>
        <w:t xml:space="preserve">, </w:t>
      </w:r>
      <w:r>
        <w:rPr>
          <w:rFonts w:ascii="Arial" w:cs="Arial" w:eastAsia="Arial" w:hAnsi="Arial"/>
          <w:sz w:val="14"/>
          <w:szCs w:val="14"/>
          <w:color w:val="313336"/>
        </w:rPr>
        <w:t>any Claim or any</w:t>
      </w:r>
      <w:r>
        <w:rPr>
          <w:rFonts w:ascii="Arial" w:cs="Arial" w:eastAsia="Arial" w:hAnsi="Arial"/>
          <w:sz w:val="14"/>
          <w:szCs w:val="14"/>
          <w:color w:val="464849"/>
        </w:rPr>
        <w:t xml:space="preserve"> </w:t>
      </w:r>
      <w:r>
        <w:rPr>
          <w:rFonts w:ascii="Arial" w:cs="Arial" w:eastAsia="Arial" w:hAnsi="Arial"/>
          <w:sz w:val="14"/>
          <w:szCs w:val="14"/>
          <w:color w:val="1F2123"/>
        </w:rPr>
        <w:t>portion</w:t>
      </w:r>
      <w:r>
        <w:rPr>
          <w:rFonts w:ascii="Arial" w:cs="Arial" w:eastAsia="Arial" w:hAnsi="Arial"/>
          <w:sz w:val="14"/>
          <w:szCs w:val="14"/>
          <w:color w:val="464849"/>
        </w:rPr>
        <w:t xml:space="preserve"> </w:t>
      </w:r>
      <w:r>
        <w:rPr>
          <w:rFonts w:ascii="Arial" w:cs="Arial" w:eastAsia="Arial" w:hAnsi="Arial"/>
          <w:sz w:val="14"/>
          <w:szCs w:val="14"/>
          <w:color w:val="313336"/>
        </w:rPr>
        <w:t>thereof or</w:t>
      </w:r>
      <w:r>
        <w:rPr>
          <w:rFonts w:ascii="Arial" w:cs="Arial" w:eastAsia="Arial" w:hAnsi="Arial"/>
          <w:sz w:val="14"/>
          <w:szCs w:val="14"/>
          <w:color w:val="464849"/>
        </w:rPr>
        <w:t xml:space="preserve"> </w:t>
      </w:r>
      <w:r>
        <w:rPr>
          <w:rFonts w:ascii="Arial" w:cs="Arial" w:eastAsia="Arial" w:hAnsi="Arial"/>
          <w:sz w:val="14"/>
          <w:szCs w:val="14"/>
          <w:color w:val="1F2123"/>
        </w:rPr>
        <w:t>interest</w:t>
      </w:r>
      <w:r>
        <w:rPr>
          <w:rFonts w:ascii="Arial" w:cs="Arial" w:eastAsia="Arial" w:hAnsi="Arial"/>
          <w:sz w:val="14"/>
          <w:szCs w:val="14"/>
          <w:color w:val="464849"/>
        </w:rPr>
        <w:t xml:space="preserve"> </w:t>
      </w:r>
      <w:r>
        <w:rPr>
          <w:rFonts w:ascii="Arial" w:cs="Arial" w:eastAsia="Arial" w:hAnsi="Arial"/>
          <w:sz w:val="14"/>
          <w:szCs w:val="14"/>
          <w:color w:val="313336"/>
        </w:rPr>
        <w:t>therein</w:t>
      </w:r>
      <w:r>
        <w:rPr>
          <w:rFonts w:ascii="Arial" w:cs="Arial" w:eastAsia="Arial" w:hAnsi="Arial"/>
          <w:sz w:val="14"/>
          <w:szCs w:val="14"/>
          <w:color w:val="575B5D"/>
        </w:rPr>
        <w:t>;</w:t>
      </w:r>
      <w:r>
        <w:rPr>
          <w:rFonts w:ascii="Arial" w:cs="Arial" w:eastAsia="Arial" w:hAnsi="Arial"/>
          <w:sz w:val="14"/>
          <w:szCs w:val="14"/>
          <w:color w:val="464849"/>
        </w:rPr>
        <w:t xml:space="preserve"> </w:t>
      </w:r>
      <w:r>
        <w:rPr>
          <w:rFonts w:ascii="Arial" w:cs="Arial" w:eastAsia="Arial" w:hAnsi="Arial"/>
          <w:sz w:val="14"/>
          <w:szCs w:val="14"/>
          <w:color w:val="313336"/>
        </w:rPr>
        <w:t>(f) that the compensation</w:t>
      </w:r>
      <w:r>
        <w:rPr>
          <w:rFonts w:ascii="Arial" w:cs="Arial" w:eastAsia="Arial" w:hAnsi="Arial"/>
          <w:sz w:val="14"/>
          <w:szCs w:val="14"/>
          <w:color w:val="464849"/>
        </w:rPr>
        <w:t xml:space="preserve"> </w:t>
      </w:r>
      <w:r>
        <w:rPr>
          <w:rFonts w:ascii="Arial" w:cs="Arial" w:eastAsia="Arial" w:hAnsi="Arial"/>
          <w:sz w:val="14"/>
          <w:szCs w:val="14"/>
          <w:color w:val="1F2123"/>
        </w:rPr>
        <w:t>and/or</w:t>
      </w:r>
      <w:r>
        <w:rPr>
          <w:rFonts w:ascii="Arial" w:cs="Arial" w:eastAsia="Arial" w:hAnsi="Arial"/>
          <w:sz w:val="14"/>
          <w:szCs w:val="14"/>
          <w:color w:val="464849"/>
        </w:rPr>
        <w:t xml:space="preserve"> </w:t>
      </w:r>
      <w:r>
        <w:rPr>
          <w:rFonts w:ascii="Arial" w:cs="Arial" w:eastAsia="Arial" w:hAnsi="Arial"/>
          <w:sz w:val="14"/>
          <w:szCs w:val="14"/>
          <w:color w:val="313336"/>
        </w:rPr>
        <w:t>benefits provided to Employee pursuant</w:t>
      </w:r>
      <w:r>
        <w:rPr>
          <w:rFonts w:ascii="Arial" w:cs="Arial" w:eastAsia="Arial" w:hAnsi="Arial"/>
          <w:sz w:val="14"/>
          <w:szCs w:val="14"/>
          <w:color w:val="464849"/>
        </w:rPr>
        <w:t xml:space="preserve"> </w:t>
      </w:r>
      <w:r>
        <w:rPr>
          <w:rFonts w:ascii="Arial" w:cs="Arial" w:eastAsia="Arial" w:hAnsi="Arial"/>
          <w:sz w:val="14"/>
          <w:szCs w:val="14"/>
          <w:color w:val="1F2123"/>
        </w:rPr>
        <w:t>to</w:t>
      </w:r>
      <w:r>
        <w:rPr>
          <w:rFonts w:ascii="Arial" w:cs="Arial" w:eastAsia="Arial" w:hAnsi="Arial"/>
          <w:sz w:val="14"/>
          <w:szCs w:val="14"/>
          <w:color w:val="464849"/>
        </w:rPr>
        <w:t xml:space="preserve"> </w:t>
      </w:r>
      <w:r>
        <w:rPr>
          <w:rFonts w:ascii="Arial" w:cs="Arial" w:eastAsia="Arial" w:hAnsi="Arial"/>
          <w:sz w:val="14"/>
          <w:szCs w:val="14"/>
          <w:color w:val="313336"/>
        </w:rPr>
        <w:t>this Agreement exceeds any</w:t>
      </w:r>
      <w:r>
        <w:rPr>
          <w:rFonts w:ascii="Arial" w:cs="Arial" w:eastAsia="Arial" w:hAnsi="Arial"/>
          <w:sz w:val="14"/>
          <w:szCs w:val="14"/>
          <w:color w:val="464849"/>
        </w:rPr>
        <w:t xml:space="preserve"> </w:t>
      </w:r>
      <w:r>
        <w:rPr>
          <w:rFonts w:ascii="Arial" w:cs="Arial" w:eastAsia="Arial" w:hAnsi="Arial"/>
          <w:sz w:val="14"/>
          <w:szCs w:val="14"/>
          <w:color w:val="313336"/>
        </w:rPr>
        <w:t>compensation and</w:t>
      </w:r>
      <w:r>
        <w:rPr>
          <w:rFonts w:ascii="Arial" w:cs="Arial" w:eastAsia="Arial" w:hAnsi="Arial"/>
          <w:sz w:val="14"/>
          <w:szCs w:val="14"/>
          <w:color w:val="696B6D"/>
        </w:rPr>
        <w:t>/</w:t>
      </w:r>
      <w:r>
        <w:rPr>
          <w:rFonts w:ascii="Arial" w:cs="Arial" w:eastAsia="Arial" w:hAnsi="Arial"/>
          <w:sz w:val="14"/>
          <w:szCs w:val="14"/>
          <w:color w:val="313336"/>
        </w:rPr>
        <w:t xml:space="preserve">or benefits to which </w:t>
      </w:r>
      <w:r>
        <w:rPr>
          <w:rFonts w:ascii="Arial" w:cs="Arial" w:eastAsia="Arial" w:hAnsi="Arial"/>
          <w:sz w:val="14"/>
          <w:szCs w:val="14"/>
          <w:color w:val="464849"/>
        </w:rPr>
        <w:t>E</w:t>
      </w:r>
      <w:r>
        <w:rPr>
          <w:rFonts w:ascii="Arial" w:cs="Arial" w:eastAsia="Arial" w:hAnsi="Arial"/>
          <w:sz w:val="14"/>
          <w:szCs w:val="14"/>
          <w:color w:val="1F2123"/>
        </w:rPr>
        <w:t>mployee ma</w:t>
      </w:r>
      <w:r>
        <w:rPr>
          <w:rFonts w:ascii="Arial" w:cs="Arial" w:eastAsia="Arial" w:hAnsi="Arial"/>
          <w:sz w:val="14"/>
          <w:szCs w:val="14"/>
          <w:color w:val="464849"/>
        </w:rPr>
        <w:t>y</w:t>
      </w:r>
      <w:r>
        <w:rPr>
          <w:rFonts w:ascii="Arial" w:cs="Arial" w:eastAsia="Arial" w:hAnsi="Arial"/>
          <w:sz w:val="14"/>
          <w:szCs w:val="14"/>
          <w:color w:val="313336"/>
        </w:rPr>
        <w:t xml:space="preserve"> </w:t>
      </w:r>
      <w:r>
        <w:rPr>
          <w:rFonts w:ascii="Arial" w:cs="Arial" w:eastAsia="Arial" w:hAnsi="Arial"/>
          <w:sz w:val="14"/>
          <w:szCs w:val="14"/>
          <w:color w:val="1F2123"/>
        </w:rPr>
        <w:t>be</w:t>
      </w:r>
      <w:r>
        <w:rPr>
          <w:rFonts w:ascii="Arial" w:cs="Arial" w:eastAsia="Arial" w:hAnsi="Arial"/>
          <w:sz w:val="14"/>
          <w:szCs w:val="14"/>
          <w:color w:val="313336"/>
        </w:rPr>
        <w:t xml:space="preserve"> entitled; and (g) that in executing this Agreement</w:t>
      </w:r>
      <w:r>
        <w:rPr>
          <w:rFonts w:ascii="Arial" w:cs="Arial" w:eastAsia="Arial" w:hAnsi="Arial"/>
          <w:sz w:val="14"/>
          <w:szCs w:val="14"/>
          <w:color w:val="575B5D"/>
        </w:rPr>
        <w:t>,</w:t>
      </w:r>
      <w:r>
        <w:rPr>
          <w:rFonts w:ascii="Arial" w:cs="Arial" w:eastAsia="Arial" w:hAnsi="Arial"/>
          <w:sz w:val="14"/>
          <w:szCs w:val="14"/>
          <w:color w:val="313336"/>
        </w:rPr>
        <w:t xml:space="preserve"> </w:t>
      </w:r>
      <w:r>
        <w:rPr>
          <w:rFonts w:ascii="Arial" w:cs="Arial" w:eastAsia="Arial" w:hAnsi="Arial"/>
          <w:sz w:val="14"/>
          <w:szCs w:val="14"/>
          <w:color w:val="464849"/>
        </w:rPr>
        <w:t>E</w:t>
      </w:r>
      <w:r>
        <w:rPr>
          <w:rFonts w:ascii="Arial" w:cs="Arial" w:eastAsia="Arial" w:hAnsi="Arial"/>
          <w:sz w:val="14"/>
          <w:szCs w:val="14"/>
          <w:color w:val="1F2123"/>
        </w:rPr>
        <w:t>mployee</w:t>
      </w:r>
      <w:r>
        <w:rPr>
          <w:rFonts w:ascii="Arial" w:cs="Arial" w:eastAsia="Arial" w:hAnsi="Arial"/>
          <w:sz w:val="14"/>
          <w:szCs w:val="14"/>
          <w:color w:val="313336"/>
        </w:rPr>
        <w:t xml:space="preserve"> does </w:t>
      </w:r>
      <w:r>
        <w:rPr>
          <w:rFonts w:ascii="Arial" w:cs="Arial" w:eastAsia="Arial" w:hAnsi="Arial"/>
          <w:sz w:val="14"/>
          <w:szCs w:val="14"/>
          <w:color w:val="1F2123"/>
        </w:rPr>
        <w:t>not</w:t>
      </w:r>
      <w:r>
        <w:rPr>
          <w:rFonts w:ascii="Arial" w:cs="Arial" w:eastAsia="Arial" w:hAnsi="Arial"/>
          <w:sz w:val="14"/>
          <w:szCs w:val="14"/>
          <w:color w:val="313336"/>
        </w:rPr>
        <w:t xml:space="preserve"> rely </w:t>
      </w:r>
      <w:r>
        <w:rPr>
          <w:rFonts w:ascii="Arial" w:cs="Arial" w:eastAsia="Arial" w:hAnsi="Arial"/>
          <w:sz w:val="14"/>
          <w:szCs w:val="14"/>
          <w:color w:val="1F2123"/>
        </w:rPr>
        <w:t>and has not</w:t>
      </w:r>
      <w:r>
        <w:rPr>
          <w:rFonts w:ascii="Arial" w:cs="Arial" w:eastAsia="Arial" w:hAnsi="Arial"/>
          <w:sz w:val="14"/>
          <w:szCs w:val="14"/>
          <w:color w:val="313336"/>
        </w:rPr>
        <w:t xml:space="preserve"> relied </w:t>
      </w:r>
      <w:r>
        <w:rPr>
          <w:rFonts w:ascii="Arial" w:cs="Arial" w:eastAsia="Arial" w:hAnsi="Arial"/>
          <w:sz w:val="14"/>
          <w:szCs w:val="14"/>
          <w:color w:val="1F2123"/>
        </w:rPr>
        <w:t>upon</w:t>
      </w:r>
      <w:r>
        <w:rPr>
          <w:rFonts w:ascii="Arial" w:cs="Arial" w:eastAsia="Arial" w:hAnsi="Arial"/>
          <w:sz w:val="14"/>
          <w:szCs w:val="14"/>
          <w:color w:val="313336"/>
        </w:rPr>
        <w:t xml:space="preserve"> any representation or </w:t>
      </w:r>
      <w:r>
        <w:rPr>
          <w:rFonts w:ascii="Arial" w:cs="Arial" w:eastAsia="Arial" w:hAnsi="Arial"/>
          <w:sz w:val="14"/>
          <w:szCs w:val="14"/>
          <w:color w:val="464849"/>
        </w:rPr>
        <w:t>sta</w:t>
      </w:r>
      <w:r>
        <w:rPr>
          <w:rFonts w:ascii="Arial" w:cs="Arial" w:eastAsia="Arial" w:hAnsi="Arial"/>
          <w:sz w:val="14"/>
          <w:szCs w:val="14"/>
          <w:color w:val="1F2123"/>
        </w:rPr>
        <w:t>tement made</w:t>
      </w:r>
      <w:r>
        <w:rPr>
          <w:rFonts w:ascii="Arial" w:cs="Arial" w:eastAsia="Arial" w:hAnsi="Arial"/>
          <w:sz w:val="14"/>
          <w:szCs w:val="14"/>
          <w:color w:val="313336"/>
        </w:rPr>
        <w:t xml:space="preserve"> by any of </w:t>
      </w:r>
      <w:r>
        <w:rPr>
          <w:rFonts w:ascii="Arial" w:cs="Arial" w:eastAsia="Arial" w:hAnsi="Arial"/>
          <w:sz w:val="14"/>
          <w:szCs w:val="14"/>
          <w:color w:val="1F2123"/>
        </w:rPr>
        <w:t>the Releases</w:t>
      </w:r>
      <w:r>
        <w:rPr>
          <w:rFonts w:ascii="Arial" w:cs="Arial" w:eastAsia="Arial" w:hAnsi="Arial"/>
          <w:sz w:val="14"/>
          <w:szCs w:val="14"/>
          <w:color w:val="313336"/>
        </w:rPr>
        <w:t xml:space="preserve"> or </w:t>
      </w:r>
      <w:r>
        <w:rPr>
          <w:rFonts w:ascii="Arial" w:cs="Arial" w:eastAsia="Arial" w:hAnsi="Arial"/>
          <w:sz w:val="14"/>
          <w:szCs w:val="14"/>
          <w:color w:val="1F2123"/>
        </w:rPr>
        <w:t>by</w:t>
      </w:r>
      <w:r>
        <w:rPr>
          <w:rFonts w:ascii="Arial" w:cs="Arial" w:eastAsia="Arial" w:hAnsi="Arial"/>
          <w:sz w:val="14"/>
          <w:szCs w:val="14"/>
          <w:color w:val="313336"/>
        </w:rPr>
        <w:t xml:space="preserve"> any of </w:t>
      </w:r>
      <w:r>
        <w:rPr>
          <w:rFonts w:ascii="Arial" w:cs="Arial" w:eastAsia="Arial" w:hAnsi="Arial"/>
          <w:sz w:val="14"/>
          <w:szCs w:val="14"/>
          <w:color w:val="1F2123"/>
        </w:rPr>
        <w:t>the Releases</w:t>
      </w:r>
      <w:r>
        <w:rPr>
          <w:rFonts w:ascii="Arial" w:cs="Arial" w:eastAsia="Arial" w:hAnsi="Arial"/>
          <w:sz w:val="14"/>
          <w:szCs w:val="14"/>
          <w:color w:val="464849"/>
        </w:rPr>
        <w:t>'</w:t>
      </w:r>
      <w:r>
        <w:rPr>
          <w:rFonts w:ascii="Arial" w:cs="Arial" w:eastAsia="Arial" w:hAnsi="Arial"/>
          <w:sz w:val="14"/>
          <w:szCs w:val="14"/>
          <w:color w:val="313336"/>
        </w:rPr>
        <w:t xml:space="preserve"> agents, representatives or attorneys with regard to </w:t>
      </w:r>
      <w:r>
        <w:rPr>
          <w:rFonts w:ascii="Arial" w:cs="Arial" w:eastAsia="Arial" w:hAnsi="Arial"/>
          <w:sz w:val="14"/>
          <w:szCs w:val="14"/>
          <w:color w:val="1F2123"/>
        </w:rPr>
        <w:t>the</w:t>
      </w:r>
      <w:r>
        <w:rPr>
          <w:rFonts w:ascii="Arial" w:cs="Arial" w:eastAsia="Arial" w:hAnsi="Arial"/>
          <w:sz w:val="14"/>
          <w:szCs w:val="14"/>
          <w:color w:val="313336"/>
        </w:rPr>
        <w:t xml:space="preserve"> subject matter, </w:t>
      </w:r>
      <w:r>
        <w:rPr>
          <w:rFonts w:ascii="Arial" w:cs="Arial" w:eastAsia="Arial" w:hAnsi="Arial"/>
          <w:sz w:val="14"/>
          <w:szCs w:val="14"/>
          <w:color w:val="1F2123"/>
        </w:rPr>
        <w:t>basis</w:t>
      </w:r>
      <w:r>
        <w:rPr>
          <w:rFonts w:ascii="Arial" w:cs="Arial" w:eastAsia="Arial" w:hAnsi="Arial"/>
          <w:sz w:val="14"/>
          <w:szCs w:val="14"/>
          <w:color w:val="313336"/>
        </w:rPr>
        <w:t xml:space="preserve"> or effect of this Agreement or otherwise. </w:t>
      </w:r>
      <w:r>
        <w:rPr>
          <w:rFonts w:ascii="Arial" w:cs="Arial" w:eastAsia="Arial" w:hAnsi="Arial"/>
          <w:sz w:val="14"/>
          <w:szCs w:val="14"/>
          <w:color w:val="464849"/>
        </w:rPr>
        <w:t>E</w:t>
      </w:r>
      <w:r>
        <w:rPr>
          <w:rFonts w:ascii="Arial" w:cs="Arial" w:eastAsia="Arial" w:hAnsi="Arial"/>
          <w:sz w:val="14"/>
          <w:szCs w:val="14"/>
          <w:color w:val="1F2123"/>
        </w:rPr>
        <w:t>mployee</w:t>
      </w:r>
      <w:r>
        <w:rPr>
          <w:rFonts w:ascii="Arial" w:cs="Arial" w:eastAsia="Arial" w:hAnsi="Arial"/>
          <w:sz w:val="14"/>
          <w:szCs w:val="14"/>
          <w:color w:val="313336"/>
        </w:rPr>
        <w:t xml:space="preserve"> shall indemnify and </w:t>
      </w:r>
      <w:r>
        <w:rPr>
          <w:rFonts w:ascii="Arial" w:cs="Arial" w:eastAsia="Arial" w:hAnsi="Arial"/>
          <w:sz w:val="14"/>
          <w:szCs w:val="14"/>
          <w:color w:val="1F2123"/>
        </w:rPr>
        <w:t>hold</w:t>
      </w:r>
      <w:r>
        <w:rPr>
          <w:rFonts w:ascii="Arial" w:cs="Arial" w:eastAsia="Arial" w:hAnsi="Arial"/>
          <w:sz w:val="14"/>
          <w:szCs w:val="14"/>
          <w:color w:val="313336"/>
        </w:rPr>
        <w:t xml:space="preserve"> each and all of </w:t>
      </w:r>
      <w:r>
        <w:rPr>
          <w:rFonts w:ascii="Arial" w:cs="Arial" w:eastAsia="Arial" w:hAnsi="Arial"/>
          <w:sz w:val="14"/>
          <w:szCs w:val="14"/>
          <w:color w:val="1F2123"/>
        </w:rPr>
        <w:t>the</w:t>
      </w:r>
      <w:r>
        <w:rPr>
          <w:rFonts w:ascii="Arial" w:cs="Arial" w:eastAsia="Arial" w:hAnsi="Arial"/>
          <w:sz w:val="14"/>
          <w:szCs w:val="14"/>
          <w:color w:val="313336"/>
        </w:rPr>
        <w:t xml:space="preserve"> Releases </w:t>
      </w:r>
      <w:r>
        <w:rPr>
          <w:rFonts w:ascii="Arial" w:cs="Arial" w:eastAsia="Arial" w:hAnsi="Arial"/>
          <w:sz w:val="14"/>
          <w:szCs w:val="14"/>
          <w:color w:val="1F2123"/>
        </w:rPr>
        <w:t>harmless</w:t>
      </w:r>
      <w:r>
        <w:rPr>
          <w:rFonts w:ascii="Arial" w:cs="Arial" w:eastAsia="Arial" w:hAnsi="Arial"/>
          <w:sz w:val="14"/>
          <w:szCs w:val="14"/>
          <w:color w:val="313336"/>
        </w:rPr>
        <w:t xml:space="preserve"> from and against any and all </w:t>
      </w:r>
      <w:r>
        <w:rPr>
          <w:rFonts w:ascii="Arial" w:cs="Arial" w:eastAsia="Arial" w:hAnsi="Arial"/>
          <w:sz w:val="14"/>
          <w:szCs w:val="14"/>
          <w:color w:val="1F2123"/>
        </w:rPr>
        <w:t>lo</w:t>
      </w:r>
      <w:r>
        <w:rPr>
          <w:rFonts w:ascii="Arial" w:cs="Arial" w:eastAsia="Arial" w:hAnsi="Arial"/>
          <w:sz w:val="14"/>
          <w:szCs w:val="14"/>
          <w:color w:val="464849"/>
        </w:rPr>
        <w:t>ss,</w:t>
      </w:r>
      <w:r>
        <w:rPr>
          <w:rFonts w:ascii="Arial" w:cs="Arial" w:eastAsia="Arial" w:hAnsi="Arial"/>
          <w:sz w:val="14"/>
          <w:szCs w:val="14"/>
          <w:color w:val="313336"/>
        </w:rPr>
        <w:t xml:space="preserve"> cost, </w:t>
      </w:r>
      <w:r>
        <w:rPr>
          <w:rFonts w:ascii="Arial" w:cs="Arial" w:eastAsia="Arial" w:hAnsi="Arial"/>
          <w:sz w:val="14"/>
          <w:szCs w:val="14"/>
          <w:color w:val="1F2123"/>
        </w:rPr>
        <w:t>damage,</w:t>
      </w:r>
      <w:r>
        <w:rPr>
          <w:rFonts w:ascii="Arial" w:cs="Arial" w:eastAsia="Arial" w:hAnsi="Arial"/>
          <w:sz w:val="14"/>
          <w:szCs w:val="14"/>
          <w:color w:val="313336"/>
        </w:rPr>
        <w:t xml:space="preserve"> or expense, including, without </w:t>
      </w:r>
      <w:r>
        <w:rPr>
          <w:rFonts w:ascii="Arial" w:cs="Arial" w:eastAsia="Arial" w:hAnsi="Arial"/>
          <w:sz w:val="14"/>
          <w:szCs w:val="14"/>
          <w:color w:val="1F2123"/>
        </w:rPr>
        <w:t>limitation</w:t>
      </w:r>
      <w:r>
        <w:rPr>
          <w:rFonts w:ascii="Arial" w:cs="Arial" w:eastAsia="Arial" w:hAnsi="Arial"/>
          <w:sz w:val="14"/>
          <w:szCs w:val="14"/>
          <w:color w:val="464849"/>
        </w:rPr>
        <w:t>,</w:t>
      </w:r>
      <w:r>
        <w:rPr>
          <w:rFonts w:ascii="Arial" w:cs="Arial" w:eastAsia="Arial" w:hAnsi="Arial"/>
          <w:sz w:val="14"/>
          <w:szCs w:val="14"/>
          <w:color w:val="313336"/>
        </w:rPr>
        <w:t xml:space="preserve"> attorneys' fees, </w:t>
      </w:r>
      <w:r>
        <w:rPr>
          <w:rFonts w:ascii="Arial" w:cs="Arial" w:eastAsia="Arial" w:hAnsi="Arial"/>
          <w:sz w:val="14"/>
          <w:szCs w:val="14"/>
          <w:color w:val="1F2123"/>
        </w:rPr>
        <w:t>incurred by</w:t>
      </w:r>
      <w:r>
        <w:rPr>
          <w:rFonts w:ascii="Arial" w:cs="Arial" w:eastAsia="Arial" w:hAnsi="Arial"/>
          <w:sz w:val="14"/>
          <w:szCs w:val="14"/>
          <w:color w:val="313336"/>
        </w:rPr>
        <w:t xml:space="preserve"> Releases</w:t>
      </w:r>
      <w:r>
        <w:rPr>
          <w:rFonts w:ascii="Arial" w:cs="Arial" w:eastAsia="Arial" w:hAnsi="Arial"/>
          <w:sz w:val="14"/>
          <w:szCs w:val="14"/>
          <w:color w:val="696B6D"/>
        </w:rPr>
        <w:t>,</w:t>
      </w:r>
      <w:r>
        <w:rPr>
          <w:rFonts w:ascii="Arial" w:cs="Arial" w:eastAsia="Arial" w:hAnsi="Arial"/>
          <w:sz w:val="14"/>
          <w:szCs w:val="14"/>
          <w:color w:val="313336"/>
        </w:rPr>
        <w:t xml:space="preserve"> or any of them</w:t>
      </w:r>
      <w:r>
        <w:rPr>
          <w:rFonts w:ascii="Arial" w:cs="Arial" w:eastAsia="Arial" w:hAnsi="Arial"/>
          <w:sz w:val="14"/>
          <w:szCs w:val="14"/>
          <w:color w:val="696B6D"/>
        </w:rPr>
        <w:t>,</w:t>
      </w:r>
      <w:r>
        <w:rPr>
          <w:rFonts w:ascii="Arial" w:cs="Arial" w:eastAsia="Arial" w:hAnsi="Arial"/>
          <w:sz w:val="14"/>
          <w:szCs w:val="14"/>
          <w:color w:val="313336"/>
        </w:rPr>
        <w:t xml:space="preserve"> </w:t>
      </w:r>
      <w:r>
        <w:rPr>
          <w:rFonts w:ascii="Arial" w:cs="Arial" w:eastAsia="Arial" w:hAnsi="Arial"/>
          <w:sz w:val="14"/>
          <w:szCs w:val="14"/>
          <w:color w:val="1F2123"/>
        </w:rPr>
        <w:t>arising</w:t>
      </w:r>
      <w:r>
        <w:rPr>
          <w:rFonts w:ascii="Arial" w:cs="Arial" w:eastAsia="Arial" w:hAnsi="Arial"/>
          <w:sz w:val="14"/>
          <w:szCs w:val="14"/>
          <w:color w:val="313336"/>
        </w:rPr>
        <w:t xml:space="preserve"> out of any breach of this Agreement by Employee or the fact that any </w:t>
      </w:r>
      <w:r>
        <w:rPr>
          <w:rFonts w:ascii="Arial" w:cs="Arial" w:eastAsia="Arial" w:hAnsi="Arial"/>
          <w:sz w:val="14"/>
          <w:szCs w:val="14"/>
          <w:color w:val="1F2123"/>
        </w:rPr>
        <w:t xml:space="preserve">representation </w:t>
      </w:r>
      <w:r>
        <w:rPr>
          <w:rFonts w:ascii="Arial" w:cs="Arial" w:eastAsia="Arial" w:hAnsi="Arial"/>
          <w:sz w:val="14"/>
          <w:szCs w:val="14"/>
          <w:color w:val="313336"/>
        </w:rPr>
        <w:t>made by</w:t>
      </w:r>
      <w:r>
        <w:rPr>
          <w:rFonts w:ascii="Arial" w:cs="Arial" w:eastAsia="Arial" w:hAnsi="Arial"/>
          <w:sz w:val="14"/>
          <w:szCs w:val="14"/>
          <w:color w:val="1F2123"/>
        </w:rPr>
        <w:t xml:space="preserve"> </w:t>
      </w:r>
      <w:r>
        <w:rPr>
          <w:rFonts w:ascii="Arial" w:cs="Arial" w:eastAsia="Arial" w:hAnsi="Arial"/>
          <w:sz w:val="14"/>
          <w:szCs w:val="14"/>
          <w:color w:val="464849"/>
        </w:rPr>
        <w:t>Em</w:t>
      </w:r>
      <w:r>
        <w:rPr>
          <w:rFonts w:ascii="Arial" w:cs="Arial" w:eastAsia="Arial" w:hAnsi="Arial"/>
          <w:sz w:val="14"/>
          <w:szCs w:val="14"/>
          <w:color w:val="1F2123"/>
        </w:rPr>
        <w:t xml:space="preserve">ployee </w:t>
      </w:r>
      <w:r>
        <w:rPr>
          <w:rFonts w:ascii="Arial" w:cs="Arial" w:eastAsia="Arial" w:hAnsi="Arial"/>
          <w:sz w:val="14"/>
          <w:szCs w:val="14"/>
          <w:color w:val="313336"/>
        </w:rPr>
        <w:t>was false when made</w:t>
      </w:r>
      <w:r>
        <w:rPr>
          <w:rFonts w:ascii="Arial" w:cs="Arial" w:eastAsia="Arial" w:hAnsi="Arial"/>
          <w:sz w:val="14"/>
          <w:szCs w:val="14"/>
          <w:color w:val="696B6D"/>
        </w:rPr>
        <w:t>.</w:t>
      </w:r>
    </w:p>
    <w:p>
      <w:pPr>
        <w:spacing w:after="0" w:line="147" w:lineRule="exact"/>
        <w:rPr>
          <w:sz w:val="20"/>
          <w:szCs w:val="20"/>
          <w:color w:val="auto"/>
        </w:rPr>
      </w:pPr>
    </w:p>
    <w:p>
      <w:pPr>
        <w:ind w:left="260" w:right="40" w:hanging="255"/>
        <w:spacing w:after="0" w:line="219" w:lineRule="auto"/>
        <w:tabs>
          <w:tab w:leader="none" w:pos="255"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1F2123"/>
        </w:rPr>
        <w:t xml:space="preserve">Miscellaneous. </w:t>
      </w:r>
      <w:r>
        <w:rPr>
          <w:rFonts w:ascii="Arial" w:cs="Arial" w:eastAsia="Arial" w:hAnsi="Arial"/>
          <w:sz w:val="14"/>
          <w:szCs w:val="14"/>
          <w:color w:val="313336"/>
        </w:rPr>
        <w:t>It</w:t>
      </w:r>
      <w:r>
        <w:rPr>
          <w:rFonts w:ascii="Arial" w:cs="Arial" w:eastAsia="Arial" w:hAnsi="Arial"/>
          <w:sz w:val="14"/>
          <w:szCs w:val="14"/>
          <w:b w:val="1"/>
          <w:bCs w:val="1"/>
          <w:color w:val="1F2123"/>
        </w:rPr>
        <w:t xml:space="preserve"> </w:t>
      </w:r>
      <w:r>
        <w:rPr>
          <w:rFonts w:ascii="Arial" w:cs="Arial" w:eastAsia="Arial" w:hAnsi="Arial"/>
          <w:sz w:val="14"/>
          <w:szCs w:val="14"/>
          <w:color w:val="1F2123"/>
        </w:rPr>
        <w:t>is</w:t>
      </w:r>
      <w:r>
        <w:rPr>
          <w:rFonts w:ascii="Arial" w:cs="Arial" w:eastAsia="Arial" w:hAnsi="Arial"/>
          <w:sz w:val="14"/>
          <w:szCs w:val="14"/>
          <w:b w:val="1"/>
          <w:bCs w:val="1"/>
          <w:color w:val="1F2123"/>
        </w:rPr>
        <w:t xml:space="preserve"> </w:t>
      </w:r>
      <w:r>
        <w:rPr>
          <w:rFonts w:ascii="Arial" w:cs="Arial" w:eastAsia="Arial" w:hAnsi="Arial"/>
          <w:sz w:val="14"/>
          <w:szCs w:val="14"/>
          <w:color w:val="313336"/>
        </w:rPr>
        <w:t>the parties</w:t>
      </w:r>
      <w:r>
        <w:rPr>
          <w:rFonts w:ascii="Arial" w:cs="Arial" w:eastAsia="Arial" w:hAnsi="Arial"/>
          <w:sz w:val="14"/>
          <w:szCs w:val="14"/>
          <w:color w:val="696B6D"/>
        </w:rPr>
        <w:t>'</w:t>
      </w:r>
      <w:r>
        <w:rPr>
          <w:rFonts w:ascii="Arial" w:cs="Arial" w:eastAsia="Arial" w:hAnsi="Arial"/>
          <w:sz w:val="14"/>
          <w:szCs w:val="14"/>
          <w:b w:val="1"/>
          <w:bCs w:val="1"/>
          <w:color w:val="1F2123"/>
        </w:rPr>
        <w:t xml:space="preserve"> </w:t>
      </w:r>
      <w:r>
        <w:rPr>
          <w:rFonts w:ascii="Arial" w:cs="Arial" w:eastAsia="Arial" w:hAnsi="Arial"/>
          <w:sz w:val="14"/>
          <w:szCs w:val="14"/>
          <w:color w:val="1F2123"/>
        </w:rPr>
        <w:t>intention</w:t>
      </w:r>
      <w:r>
        <w:rPr>
          <w:rFonts w:ascii="Arial" w:cs="Arial" w:eastAsia="Arial" w:hAnsi="Arial"/>
          <w:sz w:val="14"/>
          <w:szCs w:val="14"/>
          <w:b w:val="1"/>
          <w:bCs w:val="1"/>
          <w:color w:val="1F2123"/>
        </w:rPr>
        <w:t xml:space="preserve"> </w:t>
      </w:r>
      <w:r>
        <w:rPr>
          <w:rFonts w:ascii="Arial" w:cs="Arial" w:eastAsia="Arial" w:hAnsi="Arial"/>
          <w:sz w:val="14"/>
          <w:szCs w:val="14"/>
          <w:color w:val="313336"/>
        </w:rPr>
        <w:t>that all provisions of this Agreement be enforced to the fullest extent</w:t>
      </w:r>
      <w:r>
        <w:rPr>
          <w:rFonts w:ascii="Arial" w:cs="Arial" w:eastAsia="Arial" w:hAnsi="Arial"/>
          <w:sz w:val="14"/>
          <w:szCs w:val="14"/>
          <w:b w:val="1"/>
          <w:bCs w:val="1"/>
          <w:color w:val="1F2123"/>
        </w:rPr>
        <w:t xml:space="preserve"> </w:t>
      </w:r>
      <w:r>
        <w:rPr>
          <w:rFonts w:ascii="Arial" w:cs="Arial" w:eastAsia="Arial" w:hAnsi="Arial"/>
          <w:sz w:val="14"/>
          <w:szCs w:val="14"/>
          <w:color w:val="1F2123"/>
        </w:rPr>
        <w:t>permitted by law.</w:t>
      </w:r>
      <w:r>
        <w:rPr>
          <w:rFonts w:ascii="Arial" w:cs="Arial" w:eastAsia="Arial" w:hAnsi="Arial"/>
          <w:sz w:val="14"/>
          <w:szCs w:val="14"/>
          <w:b w:val="1"/>
          <w:bCs w:val="1"/>
          <w:color w:val="1F2123"/>
        </w:rPr>
        <w:t xml:space="preserve"> </w:t>
      </w:r>
      <w:r>
        <w:rPr>
          <w:rFonts w:ascii="Arial" w:cs="Arial" w:eastAsia="Arial" w:hAnsi="Arial"/>
          <w:sz w:val="14"/>
          <w:szCs w:val="14"/>
          <w:color w:val="313336"/>
        </w:rPr>
        <w:t>If,</w:t>
      </w:r>
      <w:r>
        <w:rPr>
          <w:rFonts w:ascii="Arial" w:cs="Arial" w:eastAsia="Arial" w:hAnsi="Arial"/>
          <w:sz w:val="14"/>
          <w:szCs w:val="14"/>
          <w:b w:val="1"/>
          <w:bCs w:val="1"/>
          <w:color w:val="1F2123"/>
        </w:rPr>
        <w:t xml:space="preserve"> </w:t>
      </w:r>
      <w:r>
        <w:rPr>
          <w:rFonts w:ascii="Arial" w:cs="Arial" w:eastAsia="Arial" w:hAnsi="Arial"/>
          <w:sz w:val="14"/>
          <w:szCs w:val="14"/>
          <w:color w:val="1F2123"/>
        </w:rPr>
        <w:t>however</w:t>
      </w:r>
      <w:r>
        <w:rPr>
          <w:rFonts w:ascii="Arial" w:cs="Arial" w:eastAsia="Arial" w:hAnsi="Arial"/>
          <w:sz w:val="14"/>
          <w:szCs w:val="14"/>
          <w:color w:val="575B5D"/>
        </w:rPr>
        <w:t>,</w:t>
      </w:r>
      <w:r>
        <w:rPr>
          <w:rFonts w:ascii="Arial" w:cs="Arial" w:eastAsia="Arial" w:hAnsi="Arial"/>
          <w:sz w:val="14"/>
          <w:szCs w:val="14"/>
          <w:b w:val="1"/>
          <w:bCs w:val="1"/>
          <w:color w:val="1F2123"/>
        </w:rPr>
        <w:t xml:space="preserve"> </w:t>
      </w:r>
      <w:r>
        <w:rPr>
          <w:rFonts w:ascii="Arial" w:cs="Arial" w:eastAsia="Arial" w:hAnsi="Arial"/>
          <w:sz w:val="14"/>
          <w:szCs w:val="14"/>
          <w:color w:val="313336"/>
        </w:rPr>
        <w:t>any provision of this Agreement</w:t>
      </w:r>
      <w:r>
        <w:rPr>
          <w:rFonts w:ascii="Arial" w:cs="Arial" w:eastAsia="Arial" w:hAnsi="Arial"/>
          <w:sz w:val="14"/>
          <w:szCs w:val="14"/>
          <w:b w:val="1"/>
          <w:bCs w:val="1"/>
          <w:color w:val="1F2123"/>
        </w:rPr>
        <w:t xml:space="preserve"> </w:t>
      </w:r>
      <w:r>
        <w:rPr>
          <w:rFonts w:ascii="Arial" w:cs="Arial" w:eastAsia="Arial" w:hAnsi="Arial"/>
          <w:sz w:val="14"/>
          <w:szCs w:val="14"/>
          <w:color w:val="313336"/>
        </w:rPr>
        <w:t xml:space="preserve">is held </w:t>
      </w:r>
      <w:r>
        <w:rPr>
          <w:rFonts w:ascii="Arial" w:cs="Arial" w:eastAsia="Arial" w:hAnsi="Arial"/>
          <w:sz w:val="14"/>
          <w:szCs w:val="14"/>
          <w:color w:val="1F2123"/>
        </w:rPr>
        <w:t>to</w:t>
      </w:r>
      <w:r>
        <w:rPr>
          <w:rFonts w:ascii="Arial" w:cs="Arial" w:eastAsia="Arial" w:hAnsi="Arial"/>
          <w:sz w:val="14"/>
          <w:szCs w:val="14"/>
          <w:color w:val="313336"/>
        </w:rPr>
        <w:t xml:space="preserve"> be illegal or unenforceable, </w:t>
      </w:r>
      <w:r>
        <w:rPr>
          <w:rFonts w:ascii="Arial" w:cs="Arial" w:eastAsia="Arial" w:hAnsi="Arial"/>
          <w:sz w:val="14"/>
          <w:szCs w:val="14"/>
          <w:color w:val="464849"/>
        </w:rPr>
        <w:t>such</w:t>
      </w:r>
      <w:r>
        <w:rPr>
          <w:rFonts w:ascii="Arial" w:cs="Arial" w:eastAsia="Arial" w:hAnsi="Arial"/>
          <w:sz w:val="14"/>
          <w:szCs w:val="14"/>
          <w:color w:val="313336"/>
        </w:rPr>
        <w:t xml:space="preserve"> provision shall </w:t>
      </w:r>
      <w:r>
        <w:rPr>
          <w:rFonts w:ascii="Arial" w:cs="Arial" w:eastAsia="Arial" w:hAnsi="Arial"/>
          <w:sz w:val="14"/>
          <w:szCs w:val="14"/>
          <w:color w:val="1F2123"/>
        </w:rPr>
        <w:t>be</w:t>
      </w:r>
      <w:r>
        <w:rPr>
          <w:rFonts w:ascii="Arial" w:cs="Arial" w:eastAsia="Arial" w:hAnsi="Arial"/>
          <w:sz w:val="14"/>
          <w:szCs w:val="14"/>
          <w:color w:val="313336"/>
        </w:rPr>
        <w:t xml:space="preserve"> severable and </w:t>
      </w:r>
      <w:r>
        <w:rPr>
          <w:rFonts w:ascii="Arial" w:cs="Arial" w:eastAsia="Arial" w:hAnsi="Arial"/>
          <w:sz w:val="14"/>
          <w:szCs w:val="14"/>
          <w:color w:val="1F2123"/>
        </w:rPr>
        <w:t>the remaining</w:t>
      </w:r>
      <w:r>
        <w:rPr>
          <w:rFonts w:ascii="Arial" w:cs="Arial" w:eastAsia="Arial" w:hAnsi="Arial"/>
          <w:sz w:val="14"/>
          <w:szCs w:val="14"/>
          <w:color w:val="313336"/>
        </w:rPr>
        <w:t xml:space="preserve"> provisions of </w:t>
      </w:r>
      <w:r>
        <w:rPr>
          <w:rFonts w:ascii="Arial" w:cs="Arial" w:eastAsia="Arial" w:hAnsi="Arial"/>
          <w:sz w:val="14"/>
          <w:szCs w:val="14"/>
          <w:color w:val="1F2123"/>
        </w:rPr>
        <w:t>this</w:t>
      </w:r>
      <w:r>
        <w:rPr>
          <w:rFonts w:ascii="Arial" w:cs="Arial" w:eastAsia="Arial" w:hAnsi="Arial"/>
          <w:sz w:val="14"/>
          <w:szCs w:val="14"/>
          <w:color w:val="313336"/>
        </w:rPr>
        <w:t xml:space="preserve"> Agreement shall remain </w:t>
      </w:r>
      <w:r>
        <w:rPr>
          <w:rFonts w:ascii="Arial" w:cs="Arial" w:eastAsia="Arial" w:hAnsi="Arial"/>
          <w:sz w:val="14"/>
          <w:szCs w:val="14"/>
          <w:color w:val="1F2123"/>
        </w:rPr>
        <w:t>in</w:t>
      </w:r>
      <w:r>
        <w:rPr>
          <w:rFonts w:ascii="Arial" w:cs="Arial" w:eastAsia="Arial" w:hAnsi="Arial"/>
          <w:sz w:val="14"/>
          <w:szCs w:val="14"/>
          <w:color w:val="313336"/>
        </w:rPr>
        <w:t xml:space="preserve"> full force and effect. This Agreement shall </w:t>
      </w:r>
      <w:r>
        <w:rPr>
          <w:rFonts w:ascii="Arial" w:cs="Arial" w:eastAsia="Arial" w:hAnsi="Arial"/>
          <w:sz w:val="14"/>
          <w:szCs w:val="14"/>
          <w:color w:val="1F2123"/>
        </w:rPr>
        <w:t>be</w:t>
      </w:r>
      <w:r>
        <w:rPr>
          <w:rFonts w:ascii="Arial" w:cs="Arial" w:eastAsia="Arial" w:hAnsi="Arial"/>
          <w:sz w:val="14"/>
          <w:szCs w:val="14"/>
          <w:color w:val="313336"/>
        </w:rPr>
        <w:t xml:space="preserve"> governed </w:t>
      </w:r>
      <w:r>
        <w:rPr>
          <w:rFonts w:ascii="Arial" w:cs="Arial" w:eastAsia="Arial" w:hAnsi="Arial"/>
          <w:sz w:val="14"/>
          <w:szCs w:val="14"/>
          <w:color w:val="1F2123"/>
        </w:rPr>
        <w:t>by</w:t>
      </w:r>
      <w:r>
        <w:rPr>
          <w:rFonts w:ascii="Arial" w:cs="Arial" w:eastAsia="Arial" w:hAnsi="Arial"/>
          <w:sz w:val="14"/>
          <w:szCs w:val="14"/>
          <w:color w:val="313336"/>
        </w:rPr>
        <w:t xml:space="preserve"> and construed in accordance with the </w:t>
      </w:r>
      <w:r>
        <w:rPr>
          <w:rFonts w:ascii="Arial" w:cs="Arial" w:eastAsia="Arial" w:hAnsi="Arial"/>
          <w:sz w:val="14"/>
          <w:szCs w:val="14"/>
          <w:color w:val="1F2123"/>
        </w:rPr>
        <w:t>laws</w:t>
      </w:r>
      <w:r>
        <w:rPr>
          <w:rFonts w:ascii="Arial" w:cs="Arial" w:eastAsia="Arial" w:hAnsi="Arial"/>
          <w:sz w:val="14"/>
          <w:szCs w:val="14"/>
          <w:color w:val="313336"/>
        </w:rPr>
        <w:t xml:space="preserve"> of the State of </w:t>
      </w:r>
      <w:r>
        <w:rPr>
          <w:rFonts w:ascii="Arial" w:cs="Arial" w:eastAsia="Arial" w:hAnsi="Arial"/>
          <w:sz w:val="14"/>
          <w:szCs w:val="14"/>
          <w:color w:val="464849"/>
        </w:rPr>
        <w:t>New</w:t>
      </w:r>
      <w:r>
        <w:rPr>
          <w:rFonts w:ascii="Arial" w:cs="Arial" w:eastAsia="Arial" w:hAnsi="Arial"/>
          <w:sz w:val="14"/>
          <w:szCs w:val="14"/>
          <w:color w:val="313336"/>
        </w:rPr>
        <w:t xml:space="preserve"> </w:t>
      </w:r>
      <w:r>
        <w:rPr>
          <w:rFonts w:ascii="Arial" w:cs="Arial" w:eastAsia="Arial" w:hAnsi="Arial"/>
          <w:sz w:val="14"/>
          <w:szCs w:val="14"/>
          <w:color w:val="1F2123"/>
        </w:rPr>
        <w:t>Jer</w:t>
      </w:r>
      <w:r>
        <w:rPr>
          <w:rFonts w:ascii="Arial" w:cs="Arial" w:eastAsia="Arial" w:hAnsi="Arial"/>
          <w:sz w:val="14"/>
          <w:szCs w:val="14"/>
          <w:color w:val="464849"/>
        </w:rPr>
        <w:t>sey</w:t>
      </w:r>
      <w:r>
        <w:rPr>
          <w:rFonts w:ascii="Arial" w:cs="Arial" w:eastAsia="Arial" w:hAnsi="Arial"/>
          <w:sz w:val="14"/>
          <w:szCs w:val="14"/>
          <w:color w:val="1F2123"/>
        </w:rPr>
        <w:t>.</w:t>
      </w:r>
      <w:r>
        <w:rPr>
          <w:rFonts w:ascii="Arial" w:cs="Arial" w:eastAsia="Arial" w:hAnsi="Arial"/>
          <w:sz w:val="14"/>
          <w:szCs w:val="14"/>
          <w:color w:val="313336"/>
        </w:rPr>
        <w:t xml:space="preserve"> This Agreement contains the entire </w:t>
      </w:r>
      <w:r>
        <w:rPr>
          <w:rFonts w:ascii="Arial" w:cs="Arial" w:eastAsia="Arial" w:hAnsi="Arial"/>
          <w:sz w:val="14"/>
          <w:szCs w:val="14"/>
          <w:color w:val="1F2123"/>
        </w:rPr>
        <w:t>understandin</w:t>
      </w:r>
      <w:r>
        <w:rPr>
          <w:rFonts w:ascii="Arial" w:cs="Arial" w:eastAsia="Arial" w:hAnsi="Arial"/>
          <w:sz w:val="14"/>
          <w:szCs w:val="14"/>
          <w:color w:val="464849"/>
        </w:rPr>
        <w:t>g</w:t>
      </w:r>
      <w:r>
        <w:rPr>
          <w:rFonts w:ascii="Arial" w:cs="Arial" w:eastAsia="Arial" w:hAnsi="Arial"/>
          <w:sz w:val="14"/>
          <w:szCs w:val="14"/>
          <w:color w:val="313336"/>
        </w:rPr>
        <w:t xml:space="preserve"> and agreement between the Company and Employee with respect to the subject matter of this Agreement and supersedes all </w:t>
      </w:r>
      <w:r>
        <w:rPr>
          <w:rFonts w:ascii="Arial" w:cs="Arial" w:eastAsia="Arial" w:hAnsi="Arial"/>
          <w:sz w:val="14"/>
          <w:szCs w:val="14"/>
          <w:color w:val="1F2123"/>
        </w:rPr>
        <w:t>prior</w:t>
      </w:r>
      <w:r>
        <w:rPr>
          <w:rFonts w:ascii="Arial" w:cs="Arial" w:eastAsia="Arial" w:hAnsi="Arial"/>
          <w:sz w:val="14"/>
          <w:szCs w:val="14"/>
          <w:color w:val="313336"/>
        </w:rPr>
        <w:t xml:space="preserve"> oral or written agreements between </w:t>
      </w:r>
      <w:r>
        <w:rPr>
          <w:rFonts w:ascii="Arial" w:cs="Arial" w:eastAsia="Arial" w:hAnsi="Arial"/>
          <w:sz w:val="14"/>
          <w:szCs w:val="14"/>
          <w:color w:val="1F2123"/>
        </w:rPr>
        <w:t>the</w:t>
      </w:r>
      <w:r>
        <w:rPr>
          <w:rFonts w:ascii="Arial" w:cs="Arial" w:eastAsia="Arial" w:hAnsi="Arial"/>
          <w:sz w:val="14"/>
          <w:szCs w:val="14"/>
          <w:color w:val="313336"/>
        </w:rPr>
        <w:t xml:space="preserve"> parties with respect to that </w:t>
      </w:r>
      <w:r>
        <w:rPr>
          <w:rFonts w:ascii="Arial" w:cs="Arial" w:eastAsia="Arial" w:hAnsi="Arial"/>
          <w:sz w:val="14"/>
          <w:szCs w:val="14"/>
          <w:color w:val="464849"/>
        </w:rPr>
        <w:t>s</w:t>
      </w:r>
      <w:r>
        <w:rPr>
          <w:rFonts w:ascii="Arial" w:cs="Arial" w:eastAsia="Arial" w:hAnsi="Arial"/>
          <w:sz w:val="14"/>
          <w:szCs w:val="14"/>
          <w:color w:val="1F2123"/>
        </w:rPr>
        <w:t>ubject matter.</w:t>
      </w:r>
      <w:r>
        <w:rPr>
          <w:rFonts w:ascii="Arial" w:cs="Arial" w:eastAsia="Arial" w:hAnsi="Arial"/>
          <w:sz w:val="14"/>
          <w:szCs w:val="14"/>
          <w:color w:val="464849"/>
        </w:rPr>
        <w:t xml:space="preserve"> </w:t>
      </w:r>
      <w:r>
        <w:rPr>
          <w:rFonts w:ascii="Arial" w:cs="Arial" w:eastAsia="Arial" w:hAnsi="Arial"/>
          <w:sz w:val="14"/>
          <w:szCs w:val="14"/>
          <w:color w:val="313336"/>
        </w:rPr>
        <w:t>However, this Agreement supplements, rather</w:t>
      </w:r>
      <w:r>
        <w:rPr>
          <w:rFonts w:ascii="Arial" w:cs="Arial" w:eastAsia="Arial" w:hAnsi="Arial"/>
          <w:sz w:val="14"/>
          <w:szCs w:val="14"/>
          <w:color w:val="464849"/>
        </w:rPr>
        <w:t xml:space="preserve"> </w:t>
      </w:r>
      <w:r>
        <w:rPr>
          <w:rFonts w:ascii="Arial" w:cs="Arial" w:eastAsia="Arial" w:hAnsi="Arial"/>
          <w:sz w:val="14"/>
          <w:szCs w:val="14"/>
          <w:color w:val="1F2123"/>
        </w:rPr>
        <w:t>than</w:t>
      </w:r>
      <w:r>
        <w:rPr>
          <w:rFonts w:ascii="Arial" w:cs="Arial" w:eastAsia="Arial" w:hAnsi="Arial"/>
          <w:sz w:val="14"/>
          <w:szCs w:val="14"/>
          <w:color w:val="464849"/>
        </w:rPr>
        <w:t xml:space="preserve"> </w:t>
      </w:r>
      <w:r>
        <w:rPr>
          <w:rFonts w:ascii="Arial" w:cs="Arial" w:eastAsia="Arial" w:hAnsi="Arial"/>
          <w:sz w:val="14"/>
          <w:szCs w:val="14"/>
          <w:color w:val="313336"/>
        </w:rPr>
        <w:t>supersedes, any of Employee's</w:t>
      </w:r>
      <w:r>
        <w:rPr>
          <w:rFonts w:ascii="Arial" w:cs="Arial" w:eastAsia="Arial" w:hAnsi="Arial"/>
          <w:sz w:val="14"/>
          <w:szCs w:val="14"/>
          <w:color w:val="464849"/>
        </w:rPr>
        <w:t xml:space="preserve"> </w:t>
      </w:r>
      <w:r>
        <w:rPr>
          <w:rFonts w:ascii="Arial" w:cs="Arial" w:eastAsia="Arial" w:hAnsi="Arial"/>
          <w:sz w:val="14"/>
          <w:szCs w:val="14"/>
          <w:color w:val="1F2123"/>
        </w:rPr>
        <w:t>duties</w:t>
      </w:r>
      <w:r>
        <w:rPr>
          <w:rFonts w:ascii="Arial" w:cs="Arial" w:eastAsia="Arial" w:hAnsi="Arial"/>
          <w:sz w:val="14"/>
          <w:szCs w:val="14"/>
          <w:color w:val="464849"/>
        </w:rPr>
        <w:t xml:space="preserve"> </w:t>
      </w:r>
      <w:r>
        <w:rPr>
          <w:rFonts w:ascii="Arial" w:cs="Arial" w:eastAsia="Arial" w:hAnsi="Arial"/>
          <w:sz w:val="14"/>
          <w:szCs w:val="14"/>
          <w:color w:val="313336"/>
        </w:rPr>
        <w:t>regarding non</w:t>
      </w:r>
      <w:r>
        <w:rPr>
          <w:rFonts w:ascii="Arial" w:cs="Arial" w:eastAsia="Arial" w:hAnsi="Arial"/>
          <w:sz w:val="14"/>
          <w:szCs w:val="14"/>
          <w:color w:val="05050C"/>
        </w:rPr>
        <w:t>-</w:t>
      </w:r>
      <w:r>
        <w:rPr>
          <w:rFonts w:ascii="Arial" w:cs="Arial" w:eastAsia="Arial" w:hAnsi="Arial"/>
          <w:sz w:val="14"/>
          <w:szCs w:val="14"/>
          <w:color w:val="313336"/>
        </w:rPr>
        <w:t>competition</w:t>
      </w:r>
      <w:r>
        <w:rPr>
          <w:rFonts w:ascii="Arial" w:cs="Arial" w:eastAsia="Arial" w:hAnsi="Arial"/>
          <w:sz w:val="14"/>
          <w:szCs w:val="14"/>
          <w:color w:val="575B5D"/>
        </w:rPr>
        <w:t>,</w:t>
      </w:r>
      <w:r>
        <w:rPr>
          <w:rFonts w:ascii="Arial" w:cs="Arial" w:eastAsia="Arial" w:hAnsi="Arial"/>
          <w:sz w:val="14"/>
          <w:szCs w:val="14"/>
          <w:color w:val="464849"/>
        </w:rPr>
        <w:t xml:space="preserve"> </w:t>
      </w:r>
      <w:r>
        <w:rPr>
          <w:rFonts w:ascii="Arial" w:cs="Arial" w:eastAsia="Arial" w:hAnsi="Arial"/>
          <w:sz w:val="14"/>
          <w:szCs w:val="14"/>
          <w:color w:val="1F2123"/>
        </w:rPr>
        <w:t>non-solicitation</w:t>
      </w:r>
      <w:r>
        <w:rPr>
          <w:rFonts w:ascii="Arial" w:cs="Arial" w:eastAsia="Arial" w:hAnsi="Arial"/>
          <w:sz w:val="14"/>
          <w:szCs w:val="14"/>
          <w:color w:val="696B6D"/>
        </w:rPr>
        <w:t>,</w:t>
      </w:r>
      <w:r>
        <w:rPr>
          <w:rFonts w:ascii="Arial" w:cs="Arial" w:eastAsia="Arial" w:hAnsi="Arial"/>
          <w:sz w:val="14"/>
          <w:szCs w:val="14"/>
          <w:color w:val="464849"/>
        </w:rPr>
        <w:t xml:space="preserve"> </w:t>
      </w:r>
      <w:r>
        <w:rPr>
          <w:rFonts w:ascii="Arial" w:cs="Arial" w:eastAsia="Arial" w:hAnsi="Arial"/>
          <w:sz w:val="14"/>
          <w:szCs w:val="14"/>
          <w:color w:val="313336"/>
        </w:rPr>
        <w:t>confidentiality and</w:t>
      </w:r>
      <w:r>
        <w:rPr>
          <w:rFonts w:ascii="Arial" w:cs="Arial" w:eastAsia="Arial" w:hAnsi="Arial"/>
          <w:sz w:val="14"/>
          <w:szCs w:val="14"/>
          <w:color w:val="464849"/>
        </w:rPr>
        <w:t xml:space="preserve"> </w:t>
      </w:r>
      <w:r>
        <w:rPr>
          <w:rFonts w:ascii="Arial" w:cs="Arial" w:eastAsia="Arial" w:hAnsi="Arial"/>
          <w:sz w:val="14"/>
          <w:szCs w:val="14"/>
          <w:color w:val="313336"/>
        </w:rPr>
        <w:t xml:space="preserve">trade secrets under law or contract. Any action regarding </w:t>
      </w:r>
      <w:r>
        <w:rPr>
          <w:rFonts w:ascii="Arial" w:cs="Arial" w:eastAsia="Arial" w:hAnsi="Arial"/>
          <w:sz w:val="14"/>
          <w:szCs w:val="14"/>
          <w:color w:val="1F2123"/>
        </w:rPr>
        <w:t>the</w:t>
      </w:r>
      <w:r>
        <w:rPr>
          <w:rFonts w:ascii="Arial" w:cs="Arial" w:eastAsia="Arial" w:hAnsi="Arial"/>
          <w:sz w:val="14"/>
          <w:szCs w:val="14"/>
          <w:color w:val="313336"/>
        </w:rPr>
        <w:t xml:space="preserve"> </w:t>
      </w:r>
      <w:r>
        <w:rPr>
          <w:rFonts w:ascii="Arial" w:cs="Arial" w:eastAsia="Arial" w:hAnsi="Arial"/>
          <w:sz w:val="14"/>
          <w:szCs w:val="14"/>
          <w:color w:val="464849"/>
        </w:rPr>
        <w:t>e</w:t>
      </w:r>
      <w:r>
        <w:rPr>
          <w:rFonts w:ascii="Arial" w:cs="Arial" w:eastAsia="Arial" w:hAnsi="Arial"/>
          <w:sz w:val="14"/>
          <w:szCs w:val="14"/>
          <w:color w:val="1F2123"/>
        </w:rPr>
        <w:t>nforceabilit</w:t>
      </w:r>
      <w:r>
        <w:rPr>
          <w:rFonts w:ascii="Arial" w:cs="Arial" w:eastAsia="Arial" w:hAnsi="Arial"/>
          <w:sz w:val="14"/>
          <w:szCs w:val="14"/>
          <w:color w:val="464849"/>
        </w:rPr>
        <w:t>y</w:t>
      </w:r>
      <w:r>
        <w:rPr>
          <w:rFonts w:ascii="Arial" w:cs="Arial" w:eastAsia="Arial" w:hAnsi="Arial"/>
          <w:sz w:val="14"/>
          <w:szCs w:val="14"/>
          <w:color w:val="313336"/>
        </w:rPr>
        <w:t xml:space="preserve"> of this Agreement or any other cause of action relating to or arising </w:t>
      </w:r>
      <w:r>
        <w:rPr>
          <w:rFonts w:ascii="Arial" w:cs="Arial" w:eastAsia="Arial" w:hAnsi="Arial"/>
          <w:sz w:val="14"/>
          <w:szCs w:val="14"/>
          <w:color w:val="1F2123"/>
        </w:rPr>
        <w:t>under thi</w:t>
      </w:r>
      <w:r>
        <w:rPr>
          <w:rFonts w:ascii="Arial" w:cs="Arial" w:eastAsia="Arial" w:hAnsi="Arial"/>
          <w:sz w:val="14"/>
          <w:szCs w:val="14"/>
          <w:color w:val="464849"/>
        </w:rPr>
        <w:t>s</w:t>
      </w:r>
      <w:r>
        <w:rPr>
          <w:rFonts w:ascii="Arial" w:cs="Arial" w:eastAsia="Arial" w:hAnsi="Arial"/>
          <w:sz w:val="14"/>
          <w:szCs w:val="14"/>
          <w:color w:val="313336"/>
        </w:rPr>
        <w:t xml:space="preserve"> Agreement </w:t>
      </w:r>
      <w:r>
        <w:rPr>
          <w:rFonts w:ascii="Arial" w:cs="Arial" w:eastAsia="Arial" w:hAnsi="Arial"/>
          <w:sz w:val="14"/>
          <w:szCs w:val="14"/>
          <w:color w:val="464849"/>
        </w:rPr>
        <w:t>s</w:t>
      </w:r>
      <w:r>
        <w:rPr>
          <w:rFonts w:ascii="Arial" w:cs="Arial" w:eastAsia="Arial" w:hAnsi="Arial"/>
          <w:sz w:val="14"/>
          <w:szCs w:val="14"/>
          <w:color w:val="1F2123"/>
        </w:rPr>
        <w:t>hall</w:t>
      </w:r>
      <w:r>
        <w:rPr>
          <w:rFonts w:ascii="Arial" w:cs="Arial" w:eastAsia="Arial" w:hAnsi="Arial"/>
          <w:sz w:val="14"/>
          <w:szCs w:val="14"/>
          <w:color w:val="313336"/>
        </w:rPr>
        <w:t xml:space="preserve"> be </w:t>
      </w:r>
      <w:r>
        <w:rPr>
          <w:rFonts w:ascii="Arial" w:cs="Arial" w:eastAsia="Arial" w:hAnsi="Arial"/>
          <w:sz w:val="14"/>
          <w:szCs w:val="14"/>
          <w:color w:val="464849"/>
        </w:rPr>
        <w:t>su</w:t>
      </w:r>
      <w:r>
        <w:rPr>
          <w:rFonts w:ascii="Arial" w:cs="Arial" w:eastAsia="Arial" w:hAnsi="Arial"/>
          <w:sz w:val="14"/>
          <w:szCs w:val="14"/>
          <w:color w:val="1F2123"/>
        </w:rPr>
        <w:t>bject</w:t>
      </w:r>
      <w:r>
        <w:rPr>
          <w:rFonts w:ascii="Arial" w:cs="Arial" w:eastAsia="Arial" w:hAnsi="Arial"/>
          <w:sz w:val="14"/>
          <w:szCs w:val="14"/>
          <w:color w:val="313336"/>
        </w:rPr>
        <w:t xml:space="preserve"> to the Plan.</w:t>
      </w:r>
    </w:p>
    <w:p>
      <w:pPr>
        <w:spacing w:after="0" w:line="155" w:lineRule="exact"/>
        <w:rPr>
          <w:rFonts w:ascii="Arial" w:cs="Arial" w:eastAsia="Arial" w:hAnsi="Arial"/>
          <w:sz w:val="14"/>
          <w:szCs w:val="14"/>
          <w:color w:val="auto"/>
        </w:rPr>
      </w:pPr>
    </w:p>
    <w:p>
      <w:pPr>
        <w:ind w:left="260" w:right="140" w:hanging="255"/>
        <w:spacing w:after="0" w:line="232" w:lineRule="auto"/>
        <w:tabs>
          <w:tab w:leader="none" w:pos="255"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313336"/>
        </w:rPr>
        <w:t xml:space="preserve">Withdrawal </w:t>
      </w:r>
      <w:r>
        <w:rPr>
          <w:rFonts w:ascii="Arial" w:cs="Arial" w:eastAsia="Arial" w:hAnsi="Arial"/>
          <w:sz w:val="14"/>
          <w:szCs w:val="14"/>
          <w:b w:val="1"/>
          <w:bCs w:val="1"/>
          <w:color w:val="1F2123"/>
        </w:rPr>
        <w:t>of Offer.</w:t>
      </w:r>
      <w:r>
        <w:rPr>
          <w:rFonts w:ascii="Arial" w:cs="Arial" w:eastAsia="Arial" w:hAnsi="Arial"/>
          <w:sz w:val="14"/>
          <w:szCs w:val="14"/>
          <w:b w:val="1"/>
          <w:bCs w:val="1"/>
          <w:color w:val="313336"/>
        </w:rPr>
        <w:t xml:space="preserve"> </w:t>
      </w:r>
      <w:r>
        <w:rPr>
          <w:rFonts w:ascii="Arial" w:cs="Arial" w:eastAsia="Arial" w:hAnsi="Arial"/>
          <w:sz w:val="14"/>
          <w:szCs w:val="14"/>
          <w:color w:val="313336"/>
        </w:rPr>
        <w:t>Employee understands that if he</w:t>
      </w:r>
      <w:r>
        <w:rPr>
          <w:rFonts w:ascii="Arial" w:cs="Arial" w:eastAsia="Arial" w:hAnsi="Arial"/>
          <w:sz w:val="14"/>
          <w:szCs w:val="14"/>
          <w:b w:val="1"/>
          <w:bCs w:val="1"/>
          <w:color w:val="313336"/>
        </w:rPr>
        <w:t xml:space="preserve"> </w:t>
      </w:r>
      <w:r>
        <w:rPr>
          <w:rFonts w:ascii="Arial" w:cs="Arial" w:eastAsia="Arial" w:hAnsi="Arial"/>
          <w:sz w:val="14"/>
          <w:szCs w:val="14"/>
          <w:color w:val="1F2123"/>
        </w:rPr>
        <w:t>has not</w:t>
      </w:r>
      <w:r>
        <w:rPr>
          <w:rFonts w:ascii="Arial" w:cs="Arial" w:eastAsia="Arial" w:hAnsi="Arial"/>
          <w:sz w:val="14"/>
          <w:szCs w:val="14"/>
          <w:b w:val="1"/>
          <w:bCs w:val="1"/>
          <w:color w:val="313336"/>
        </w:rPr>
        <w:t xml:space="preserve"> </w:t>
      </w:r>
      <w:r>
        <w:rPr>
          <w:rFonts w:ascii="Arial" w:cs="Arial" w:eastAsia="Arial" w:hAnsi="Arial"/>
          <w:sz w:val="14"/>
          <w:szCs w:val="14"/>
          <w:color w:val="464849"/>
        </w:rPr>
        <w:t>s</w:t>
      </w:r>
      <w:r>
        <w:rPr>
          <w:rFonts w:ascii="Arial" w:cs="Arial" w:eastAsia="Arial" w:hAnsi="Arial"/>
          <w:sz w:val="14"/>
          <w:szCs w:val="14"/>
          <w:color w:val="1F2123"/>
        </w:rPr>
        <w:t>igned</w:t>
      </w:r>
      <w:r>
        <w:rPr>
          <w:rFonts w:ascii="Arial" w:cs="Arial" w:eastAsia="Arial" w:hAnsi="Arial"/>
          <w:sz w:val="14"/>
          <w:szCs w:val="14"/>
          <w:b w:val="1"/>
          <w:bCs w:val="1"/>
          <w:color w:val="313336"/>
        </w:rPr>
        <w:t xml:space="preserve"> </w:t>
      </w:r>
      <w:r>
        <w:rPr>
          <w:rFonts w:ascii="Arial" w:cs="Arial" w:eastAsia="Arial" w:hAnsi="Arial"/>
          <w:sz w:val="14"/>
          <w:szCs w:val="14"/>
          <w:color w:val="313336"/>
        </w:rPr>
        <w:t>this Agreement on or before the forty-fifth (45</w:t>
      </w:r>
      <w:r>
        <w:rPr>
          <w:rFonts w:ascii="Arial" w:cs="Arial" w:eastAsia="Arial" w:hAnsi="Arial"/>
          <w:sz w:val="18"/>
          <w:szCs w:val="18"/>
          <w:color w:val="313336"/>
          <w:vertAlign w:val="superscript"/>
        </w:rPr>
        <w:t>th</w:t>
      </w:r>
      <w:r>
        <w:rPr>
          <w:rFonts w:ascii="Arial" w:cs="Arial" w:eastAsia="Arial" w:hAnsi="Arial"/>
          <w:sz w:val="14"/>
          <w:szCs w:val="14"/>
          <w:color w:val="313336"/>
        </w:rPr>
        <w:t>) calendar</w:t>
      </w:r>
      <w:r>
        <w:rPr>
          <w:rFonts w:ascii="Arial" w:cs="Arial" w:eastAsia="Arial" w:hAnsi="Arial"/>
          <w:sz w:val="14"/>
          <w:szCs w:val="14"/>
          <w:b w:val="1"/>
          <w:bCs w:val="1"/>
          <w:color w:val="313336"/>
        </w:rPr>
        <w:t xml:space="preserve"> </w:t>
      </w:r>
      <w:r>
        <w:rPr>
          <w:rFonts w:ascii="Arial" w:cs="Arial" w:eastAsia="Arial" w:hAnsi="Arial"/>
          <w:sz w:val="14"/>
          <w:szCs w:val="14"/>
          <w:color w:val="1F2123"/>
        </w:rPr>
        <w:t>date</w:t>
      </w:r>
      <w:r>
        <w:rPr>
          <w:rFonts w:ascii="Arial" w:cs="Arial" w:eastAsia="Arial" w:hAnsi="Arial"/>
          <w:sz w:val="14"/>
          <w:szCs w:val="14"/>
          <w:b w:val="1"/>
          <w:bCs w:val="1"/>
          <w:color w:val="313336"/>
        </w:rPr>
        <w:t xml:space="preserve"> </w:t>
      </w:r>
      <w:r>
        <w:rPr>
          <w:rFonts w:ascii="Arial" w:cs="Arial" w:eastAsia="Arial" w:hAnsi="Arial"/>
          <w:sz w:val="14"/>
          <w:szCs w:val="14"/>
          <w:color w:val="313336"/>
        </w:rPr>
        <w:t>following</w:t>
      </w:r>
      <w:r>
        <w:rPr>
          <w:rFonts w:ascii="Arial" w:cs="Arial" w:eastAsia="Arial" w:hAnsi="Arial"/>
          <w:sz w:val="14"/>
          <w:szCs w:val="14"/>
          <w:b w:val="1"/>
          <w:bCs w:val="1"/>
          <w:color w:val="313336"/>
        </w:rPr>
        <w:t xml:space="preserve"> </w:t>
      </w:r>
      <w:r>
        <w:rPr>
          <w:rFonts w:ascii="Arial" w:cs="Arial" w:eastAsia="Arial" w:hAnsi="Arial"/>
          <w:sz w:val="14"/>
          <w:szCs w:val="14"/>
          <w:color w:val="1F2123"/>
        </w:rPr>
        <w:t>the</w:t>
      </w:r>
      <w:r>
        <w:rPr>
          <w:rFonts w:ascii="Arial" w:cs="Arial" w:eastAsia="Arial" w:hAnsi="Arial"/>
          <w:sz w:val="14"/>
          <w:szCs w:val="14"/>
          <w:b w:val="1"/>
          <w:bCs w:val="1"/>
          <w:color w:val="313336"/>
        </w:rPr>
        <w:t xml:space="preserve"> </w:t>
      </w:r>
      <w:r>
        <w:rPr>
          <w:rFonts w:ascii="Arial" w:cs="Arial" w:eastAsia="Arial" w:hAnsi="Arial"/>
          <w:sz w:val="14"/>
          <w:szCs w:val="14"/>
          <w:color w:val="313336"/>
        </w:rPr>
        <w:t>date on which</w:t>
      </w:r>
      <w:r>
        <w:rPr>
          <w:rFonts w:ascii="Arial" w:cs="Arial" w:eastAsia="Arial" w:hAnsi="Arial"/>
          <w:sz w:val="14"/>
          <w:szCs w:val="14"/>
          <w:b w:val="1"/>
          <w:bCs w:val="1"/>
          <w:color w:val="313336"/>
        </w:rPr>
        <w:t xml:space="preserve"> </w:t>
      </w:r>
      <w:r>
        <w:rPr>
          <w:rFonts w:ascii="Arial" w:cs="Arial" w:eastAsia="Arial" w:hAnsi="Arial"/>
          <w:sz w:val="14"/>
          <w:szCs w:val="14"/>
          <w:color w:val="464849"/>
        </w:rPr>
        <w:t>E</w:t>
      </w:r>
      <w:r>
        <w:rPr>
          <w:rFonts w:ascii="Arial" w:cs="Arial" w:eastAsia="Arial" w:hAnsi="Arial"/>
          <w:sz w:val="14"/>
          <w:szCs w:val="14"/>
          <w:color w:val="1F2123"/>
        </w:rPr>
        <w:t>mploy</w:t>
      </w:r>
      <w:r>
        <w:rPr>
          <w:rFonts w:ascii="Arial" w:cs="Arial" w:eastAsia="Arial" w:hAnsi="Arial"/>
          <w:sz w:val="14"/>
          <w:szCs w:val="14"/>
          <w:color w:val="464849"/>
        </w:rPr>
        <w:t>ee</w:t>
      </w:r>
      <w:r>
        <w:rPr>
          <w:rFonts w:ascii="Arial" w:cs="Arial" w:eastAsia="Arial" w:hAnsi="Arial"/>
          <w:sz w:val="14"/>
          <w:szCs w:val="14"/>
          <w:b w:val="1"/>
          <w:bCs w:val="1"/>
          <w:color w:val="313336"/>
        </w:rPr>
        <w:t xml:space="preserve"> </w:t>
      </w:r>
      <w:r>
        <w:rPr>
          <w:rFonts w:ascii="Arial" w:cs="Arial" w:eastAsia="Arial" w:hAnsi="Arial"/>
          <w:sz w:val="14"/>
          <w:szCs w:val="14"/>
          <w:color w:val="313336"/>
        </w:rPr>
        <w:t>received this Agreement for review and consideration</w:t>
      </w:r>
      <w:r>
        <w:rPr>
          <w:rFonts w:ascii="Arial" w:cs="Arial" w:eastAsia="Arial" w:hAnsi="Arial"/>
          <w:sz w:val="14"/>
          <w:szCs w:val="14"/>
          <w:color w:val="696B6D"/>
        </w:rPr>
        <w:t>,</w:t>
      </w:r>
      <w:r>
        <w:rPr>
          <w:rFonts w:ascii="Arial" w:cs="Arial" w:eastAsia="Arial" w:hAnsi="Arial"/>
          <w:sz w:val="14"/>
          <w:szCs w:val="14"/>
          <w:color w:val="313336"/>
        </w:rPr>
        <w:t xml:space="preserve"> </w:t>
      </w:r>
      <w:r>
        <w:rPr>
          <w:rFonts w:ascii="Arial" w:cs="Arial" w:eastAsia="Arial" w:hAnsi="Arial"/>
          <w:sz w:val="14"/>
          <w:szCs w:val="14"/>
          <w:color w:val="1F2123"/>
        </w:rPr>
        <w:t>it</w:t>
      </w:r>
      <w:r>
        <w:rPr>
          <w:rFonts w:ascii="Arial" w:cs="Arial" w:eastAsia="Arial" w:hAnsi="Arial"/>
          <w:sz w:val="14"/>
          <w:szCs w:val="14"/>
          <w:color w:val="313336"/>
        </w:rPr>
        <w:t xml:space="preserve"> shall be automatically withdrawn </w:t>
      </w:r>
      <w:r>
        <w:rPr>
          <w:rFonts w:ascii="Arial" w:cs="Arial" w:eastAsia="Arial" w:hAnsi="Arial"/>
          <w:sz w:val="14"/>
          <w:szCs w:val="14"/>
          <w:color w:val="1F2123"/>
        </w:rPr>
        <w:t>by</w:t>
      </w:r>
      <w:r>
        <w:rPr>
          <w:rFonts w:ascii="Arial" w:cs="Arial" w:eastAsia="Arial" w:hAnsi="Arial"/>
          <w:sz w:val="14"/>
          <w:szCs w:val="14"/>
          <w:color w:val="313336"/>
        </w:rPr>
        <w:t xml:space="preserve"> the Company without further notice or action </w:t>
      </w:r>
      <w:r>
        <w:rPr>
          <w:rFonts w:ascii="Arial" w:cs="Arial" w:eastAsia="Arial" w:hAnsi="Arial"/>
          <w:sz w:val="14"/>
          <w:szCs w:val="14"/>
          <w:color w:val="1F2123"/>
        </w:rPr>
        <w:t>b</w:t>
      </w:r>
      <w:r>
        <w:rPr>
          <w:rFonts w:ascii="Arial" w:cs="Arial" w:eastAsia="Arial" w:hAnsi="Arial"/>
          <w:sz w:val="14"/>
          <w:szCs w:val="14"/>
          <w:color w:val="464849"/>
        </w:rPr>
        <w:t>y</w:t>
      </w:r>
      <w:r>
        <w:rPr>
          <w:rFonts w:ascii="Arial" w:cs="Arial" w:eastAsia="Arial" w:hAnsi="Arial"/>
          <w:sz w:val="14"/>
          <w:szCs w:val="14"/>
          <w:color w:val="313336"/>
        </w:rPr>
        <w:t xml:space="preserve"> </w:t>
      </w:r>
      <w:r>
        <w:rPr>
          <w:rFonts w:ascii="Arial" w:cs="Arial" w:eastAsia="Arial" w:hAnsi="Arial"/>
          <w:sz w:val="14"/>
          <w:szCs w:val="14"/>
          <w:color w:val="1F2123"/>
        </w:rPr>
        <w:t>the</w:t>
      </w:r>
      <w:r>
        <w:rPr>
          <w:rFonts w:ascii="Arial" w:cs="Arial" w:eastAsia="Arial" w:hAnsi="Arial"/>
          <w:sz w:val="14"/>
          <w:szCs w:val="14"/>
          <w:color w:val="313336"/>
        </w:rPr>
        <w:t xml:space="preserve"> Company</w:t>
      </w:r>
      <w:r>
        <w:rPr>
          <w:rFonts w:ascii="Arial" w:cs="Arial" w:eastAsia="Arial" w:hAnsi="Arial"/>
          <w:sz w:val="14"/>
          <w:szCs w:val="14"/>
          <w:color w:val="575B5D"/>
        </w:rPr>
        <w:t>,</w:t>
      </w:r>
      <w:r>
        <w:rPr>
          <w:rFonts w:ascii="Arial" w:cs="Arial" w:eastAsia="Arial" w:hAnsi="Arial"/>
          <w:sz w:val="14"/>
          <w:szCs w:val="14"/>
          <w:color w:val="313336"/>
        </w:rPr>
        <w:t xml:space="preserve"> and </w:t>
      </w:r>
      <w:r>
        <w:rPr>
          <w:rFonts w:ascii="Arial" w:cs="Arial" w:eastAsia="Arial" w:hAnsi="Arial"/>
          <w:sz w:val="14"/>
          <w:szCs w:val="14"/>
          <w:color w:val="1F2123"/>
        </w:rPr>
        <w:t>this</w:t>
      </w:r>
      <w:r>
        <w:rPr>
          <w:rFonts w:ascii="Arial" w:cs="Arial" w:eastAsia="Arial" w:hAnsi="Arial"/>
          <w:sz w:val="14"/>
          <w:szCs w:val="14"/>
          <w:color w:val="313336"/>
        </w:rPr>
        <w:t xml:space="preserve"> Agreement shall </w:t>
      </w:r>
      <w:r>
        <w:rPr>
          <w:rFonts w:ascii="Arial" w:cs="Arial" w:eastAsia="Arial" w:hAnsi="Arial"/>
          <w:sz w:val="14"/>
          <w:szCs w:val="14"/>
          <w:color w:val="1F2123"/>
        </w:rPr>
        <w:t>not</w:t>
      </w:r>
      <w:r>
        <w:rPr>
          <w:rFonts w:ascii="Arial" w:cs="Arial" w:eastAsia="Arial" w:hAnsi="Arial"/>
          <w:sz w:val="14"/>
          <w:szCs w:val="14"/>
          <w:color w:val="313336"/>
        </w:rPr>
        <w:t xml:space="preserve"> be effective or </w:t>
      </w:r>
      <w:r>
        <w:rPr>
          <w:rFonts w:ascii="Arial" w:cs="Arial" w:eastAsia="Arial" w:hAnsi="Arial"/>
          <w:sz w:val="14"/>
          <w:szCs w:val="14"/>
          <w:color w:val="464849"/>
        </w:rPr>
        <w:t>e</w:t>
      </w:r>
      <w:r>
        <w:rPr>
          <w:rFonts w:ascii="Arial" w:cs="Arial" w:eastAsia="Arial" w:hAnsi="Arial"/>
          <w:sz w:val="14"/>
          <w:szCs w:val="14"/>
          <w:color w:val="1F2123"/>
        </w:rPr>
        <w:t>nforceable.</w:t>
      </w:r>
    </w:p>
    <w:p>
      <w:pPr>
        <w:spacing w:after="0" w:line="156" w:lineRule="exact"/>
        <w:rPr>
          <w:rFonts w:ascii="Arial" w:cs="Arial" w:eastAsia="Arial" w:hAnsi="Arial"/>
          <w:sz w:val="14"/>
          <w:szCs w:val="14"/>
          <w:color w:val="auto"/>
        </w:rPr>
      </w:pPr>
    </w:p>
    <w:p>
      <w:pPr>
        <w:ind w:left="260" w:right="140" w:hanging="255"/>
        <w:spacing w:after="0" w:line="251" w:lineRule="auto"/>
        <w:tabs>
          <w:tab w:leader="none" w:pos="255"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313336"/>
        </w:rPr>
        <w:t xml:space="preserve">Revocation. </w:t>
      </w:r>
      <w:r>
        <w:rPr>
          <w:rFonts w:ascii="Arial" w:cs="Arial" w:eastAsia="Arial" w:hAnsi="Arial"/>
          <w:sz w:val="14"/>
          <w:szCs w:val="14"/>
          <w:color w:val="313336"/>
        </w:rPr>
        <w:t>It</w:t>
      </w:r>
      <w:r>
        <w:rPr>
          <w:rFonts w:ascii="Arial" w:cs="Arial" w:eastAsia="Arial" w:hAnsi="Arial"/>
          <w:sz w:val="14"/>
          <w:szCs w:val="14"/>
          <w:b w:val="1"/>
          <w:bCs w:val="1"/>
          <w:color w:val="313336"/>
        </w:rPr>
        <w:t xml:space="preserve"> </w:t>
      </w:r>
      <w:r>
        <w:rPr>
          <w:rFonts w:ascii="Arial" w:cs="Arial" w:eastAsia="Arial" w:hAnsi="Arial"/>
          <w:sz w:val="14"/>
          <w:szCs w:val="14"/>
          <w:color w:val="1F2123"/>
        </w:rPr>
        <w:t>i</w:t>
      </w:r>
      <w:r>
        <w:rPr>
          <w:rFonts w:ascii="Arial" w:cs="Arial" w:eastAsia="Arial" w:hAnsi="Arial"/>
          <w:sz w:val="14"/>
          <w:szCs w:val="14"/>
          <w:color w:val="464849"/>
        </w:rPr>
        <w:t>s</w:t>
      </w:r>
      <w:r>
        <w:rPr>
          <w:rFonts w:ascii="Arial" w:cs="Arial" w:eastAsia="Arial" w:hAnsi="Arial"/>
          <w:sz w:val="14"/>
          <w:szCs w:val="14"/>
          <w:b w:val="1"/>
          <w:bCs w:val="1"/>
          <w:color w:val="313336"/>
        </w:rPr>
        <w:t xml:space="preserve"> </w:t>
      </w:r>
      <w:r>
        <w:rPr>
          <w:rFonts w:ascii="Arial" w:cs="Arial" w:eastAsia="Arial" w:hAnsi="Arial"/>
          <w:sz w:val="14"/>
          <w:szCs w:val="14"/>
          <w:color w:val="313336"/>
        </w:rPr>
        <w:t>expressly agreed</w:t>
      </w:r>
      <w:r>
        <w:rPr>
          <w:rFonts w:ascii="Arial" w:cs="Arial" w:eastAsia="Arial" w:hAnsi="Arial"/>
          <w:sz w:val="14"/>
          <w:szCs w:val="14"/>
          <w:b w:val="1"/>
          <w:bCs w:val="1"/>
          <w:color w:val="313336"/>
        </w:rPr>
        <w:t xml:space="preserve"> </w:t>
      </w:r>
      <w:r>
        <w:rPr>
          <w:rFonts w:ascii="Arial" w:cs="Arial" w:eastAsia="Arial" w:hAnsi="Arial"/>
          <w:sz w:val="14"/>
          <w:szCs w:val="14"/>
          <w:color w:val="1F2123"/>
        </w:rPr>
        <w:t>that</w:t>
      </w:r>
      <w:r>
        <w:rPr>
          <w:rFonts w:ascii="Arial" w:cs="Arial" w:eastAsia="Arial" w:hAnsi="Arial"/>
          <w:sz w:val="14"/>
          <w:szCs w:val="14"/>
          <w:b w:val="1"/>
          <w:bCs w:val="1"/>
          <w:color w:val="313336"/>
        </w:rPr>
        <w:t xml:space="preserve"> </w:t>
      </w:r>
      <w:r>
        <w:rPr>
          <w:rFonts w:ascii="Arial" w:cs="Arial" w:eastAsia="Arial" w:hAnsi="Arial"/>
          <w:sz w:val="14"/>
          <w:szCs w:val="14"/>
          <w:color w:val="313336"/>
        </w:rPr>
        <w:t>for seven (7) days following</w:t>
      </w:r>
      <w:r>
        <w:rPr>
          <w:rFonts w:ascii="Arial" w:cs="Arial" w:eastAsia="Arial" w:hAnsi="Arial"/>
          <w:sz w:val="14"/>
          <w:szCs w:val="14"/>
          <w:b w:val="1"/>
          <w:bCs w:val="1"/>
          <w:color w:val="313336"/>
        </w:rPr>
        <w:t xml:space="preserve"> </w:t>
      </w:r>
      <w:r>
        <w:rPr>
          <w:rFonts w:ascii="Arial" w:cs="Arial" w:eastAsia="Arial" w:hAnsi="Arial"/>
          <w:sz w:val="14"/>
          <w:szCs w:val="14"/>
          <w:color w:val="464849"/>
        </w:rPr>
        <w:t>execution</w:t>
      </w:r>
      <w:r>
        <w:rPr>
          <w:rFonts w:ascii="Arial" w:cs="Arial" w:eastAsia="Arial" w:hAnsi="Arial"/>
          <w:sz w:val="14"/>
          <w:szCs w:val="14"/>
          <w:b w:val="1"/>
          <w:bCs w:val="1"/>
          <w:color w:val="313336"/>
        </w:rPr>
        <w:t xml:space="preserve"> </w:t>
      </w:r>
      <w:r>
        <w:rPr>
          <w:rFonts w:ascii="Arial" w:cs="Arial" w:eastAsia="Arial" w:hAnsi="Arial"/>
          <w:sz w:val="14"/>
          <w:szCs w:val="14"/>
          <w:color w:val="313336"/>
        </w:rPr>
        <w:t>of</w:t>
      </w:r>
      <w:r>
        <w:rPr>
          <w:rFonts w:ascii="Arial" w:cs="Arial" w:eastAsia="Arial" w:hAnsi="Arial"/>
          <w:sz w:val="14"/>
          <w:szCs w:val="14"/>
          <w:b w:val="1"/>
          <w:bCs w:val="1"/>
          <w:color w:val="313336"/>
        </w:rPr>
        <w:t xml:space="preserve"> </w:t>
      </w:r>
      <w:r>
        <w:rPr>
          <w:rFonts w:ascii="Arial" w:cs="Arial" w:eastAsia="Arial" w:hAnsi="Arial"/>
          <w:sz w:val="14"/>
          <w:szCs w:val="14"/>
          <w:color w:val="1F2123"/>
        </w:rPr>
        <w:t>this</w:t>
      </w:r>
      <w:r>
        <w:rPr>
          <w:rFonts w:ascii="Arial" w:cs="Arial" w:eastAsia="Arial" w:hAnsi="Arial"/>
          <w:sz w:val="14"/>
          <w:szCs w:val="14"/>
          <w:b w:val="1"/>
          <w:bCs w:val="1"/>
          <w:color w:val="313336"/>
        </w:rPr>
        <w:t xml:space="preserve"> </w:t>
      </w:r>
      <w:r>
        <w:rPr>
          <w:rFonts w:ascii="Arial" w:cs="Arial" w:eastAsia="Arial" w:hAnsi="Arial"/>
          <w:sz w:val="14"/>
          <w:szCs w:val="14"/>
          <w:color w:val="313336"/>
        </w:rPr>
        <w:t>Agreement by</w:t>
      </w:r>
      <w:r>
        <w:rPr>
          <w:rFonts w:ascii="Arial" w:cs="Arial" w:eastAsia="Arial" w:hAnsi="Arial"/>
          <w:sz w:val="14"/>
          <w:szCs w:val="14"/>
          <w:b w:val="1"/>
          <w:bCs w:val="1"/>
          <w:color w:val="313336"/>
        </w:rPr>
        <w:t xml:space="preserve"> </w:t>
      </w:r>
      <w:r>
        <w:rPr>
          <w:rFonts w:ascii="Arial" w:cs="Arial" w:eastAsia="Arial" w:hAnsi="Arial"/>
          <w:sz w:val="14"/>
          <w:szCs w:val="14"/>
          <w:color w:val="464849"/>
        </w:rPr>
        <w:t>Em</w:t>
      </w:r>
      <w:r>
        <w:rPr>
          <w:rFonts w:ascii="Arial" w:cs="Arial" w:eastAsia="Arial" w:hAnsi="Arial"/>
          <w:sz w:val="14"/>
          <w:szCs w:val="14"/>
          <w:color w:val="1F2123"/>
        </w:rPr>
        <w:t>plo</w:t>
      </w:r>
      <w:r>
        <w:rPr>
          <w:rFonts w:ascii="Arial" w:cs="Arial" w:eastAsia="Arial" w:hAnsi="Arial"/>
          <w:sz w:val="14"/>
          <w:szCs w:val="14"/>
          <w:color w:val="464849"/>
        </w:rPr>
        <w:t>yee,</w:t>
      </w:r>
      <w:r>
        <w:rPr>
          <w:rFonts w:ascii="Arial" w:cs="Arial" w:eastAsia="Arial" w:hAnsi="Arial"/>
          <w:sz w:val="14"/>
          <w:szCs w:val="14"/>
          <w:b w:val="1"/>
          <w:bCs w:val="1"/>
          <w:color w:val="313336"/>
        </w:rPr>
        <w:t xml:space="preserve"> </w:t>
      </w:r>
      <w:r>
        <w:rPr>
          <w:rFonts w:ascii="Arial" w:cs="Arial" w:eastAsia="Arial" w:hAnsi="Arial"/>
          <w:sz w:val="14"/>
          <w:szCs w:val="14"/>
          <w:color w:val="313336"/>
        </w:rPr>
        <w:t>Employee may revoke this</w:t>
      </w:r>
      <w:r>
        <w:rPr>
          <w:rFonts w:ascii="Arial" w:cs="Arial" w:eastAsia="Arial" w:hAnsi="Arial"/>
          <w:sz w:val="14"/>
          <w:szCs w:val="14"/>
          <w:b w:val="1"/>
          <w:bCs w:val="1"/>
          <w:color w:val="313336"/>
        </w:rPr>
        <w:t xml:space="preserve"> </w:t>
      </w:r>
      <w:r>
        <w:rPr>
          <w:rFonts w:ascii="Arial" w:cs="Arial" w:eastAsia="Arial" w:hAnsi="Arial"/>
          <w:sz w:val="14"/>
          <w:szCs w:val="14"/>
          <w:color w:val="464849"/>
        </w:rPr>
        <w:t>Agreement</w:t>
      </w:r>
      <w:r>
        <w:rPr>
          <w:rFonts w:ascii="Arial" w:cs="Arial" w:eastAsia="Arial" w:hAnsi="Arial"/>
          <w:sz w:val="14"/>
          <w:szCs w:val="14"/>
          <w:b w:val="1"/>
          <w:bCs w:val="1"/>
          <w:color w:val="313336"/>
        </w:rPr>
        <w:t xml:space="preserve"> </w:t>
      </w:r>
      <w:r>
        <w:rPr>
          <w:rFonts w:ascii="Arial" w:cs="Arial" w:eastAsia="Arial" w:hAnsi="Arial"/>
          <w:sz w:val="14"/>
          <w:szCs w:val="14"/>
          <w:color w:val="313336"/>
        </w:rPr>
        <w:t>by contacting</w:t>
      </w:r>
      <w:r>
        <w:rPr>
          <w:rFonts w:ascii="Arial" w:cs="Arial" w:eastAsia="Arial" w:hAnsi="Arial"/>
          <w:sz w:val="14"/>
          <w:szCs w:val="14"/>
          <w:b w:val="1"/>
          <w:bCs w:val="1"/>
          <w:color w:val="313336"/>
        </w:rPr>
        <w:t xml:space="preserve"> </w:t>
      </w:r>
      <w:r>
        <w:rPr>
          <w:rFonts w:ascii="Arial" w:cs="Arial" w:eastAsia="Arial" w:hAnsi="Arial"/>
          <w:sz w:val="14"/>
          <w:szCs w:val="14"/>
          <w:color w:val="464849"/>
        </w:rPr>
        <w:t>Nancy</w:t>
      </w:r>
      <w:r>
        <w:rPr>
          <w:rFonts w:ascii="Arial" w:cs="Arial" w:eastAsia="Arial" w:hAnsi="Arial"/>
          <w:sz w:val="14"/>
          <w:szCs w:val="14"/>
          <w:b w:val="1"/>
          <w:bCs w:val="1"/>
          <w:color w:val="313336"/>
        </w:rPr>
        <w:t xml:space="preserve"> </w:t>
      </w:r>
      <w:r>
        <w:rPr>
          <w:rFonts w:ascii="Arial" w:cs="Arial" w:eastAsia="Arial" w:hAnsi="Arial"/>
          <w:sz w:val="14"/>
          <w:szCs w:val="14"/>
          <w:color w:val="313336"/>
        </w:rPr>
        <w:t xml:space="preserve">K. Jagielski in writing at </w:t>
      </w:r>
      <w:r>
        <w:rPr>
          <w:rFonts w:ascii="Arial" w:cs="Arial" w:eastAsia="Arial" w:hAnsi="Arial"/>
          <w:sz w:val="14"/>
          <w:szCs w:val="14"/>
          <w:u w:val="single" w:color="auto"/>
          <w:color w:val="346289"/>
        </w:rPr>
        <w:t>nancy</w:t>
      </w:r>
      <w:r>
        <w:rPr>
          <w:rFonts w:ascii="Arial" w:cs="Arial" w:eastAsia="Arial" w:hAnsi="Arial"/>
          <w:sz w:val="14"/>
          <w:szCs w:val="14"/>
          <w:u w:val="single" w:color="auto"/>
          <w:color w:val="6080A0"/>
        </w:rPr>
        <w:t>.</w:t>
      </w:r>
      <w:r>
        <w:rPr>
          <w:rFonts w:ascii="Arial" w:cs="Arial" w:eastAsia="Arial" w:hAnsi="Arial"/>
          <w:sz w:val="14"/>
          <w:szCs w:val="14"/>
          <w:color w:val="313336"/>
        </w:rPr>
        <w:t xml:space="preserve"> </w:t>
      </w:r>
      <w:r>
        <w:rPr>
          <w:rFonts w:ascii="Arial" w:cs="Arial" w:eastAsia="Arial" w:hAnsi="Arial"/>
          <w:sz w:val="14"/>
          <w:szCs w:val="14"/>
          <w:u w:val="single" w:color="auto"/>
          <w:color w:val="346289"/>
        </w:rPr>
        <w:t>jagielski</w:t>
      </w:r>
      <w:r>
        <w:rPr>
          <w:rFonts w:ascii="Arial" w:cs="Arial" w:eastAsia="Arial" w:hAnsi="Arial"/>
          <w:sz w:val="14"/>
          <w:szCs w:val="14"/>
          <w:u w:val="single" w:color="auto"/>
          <w:color w:val="6080A0"/>
        </w:rPr>
        <w:t>@</w:t>
      </w:r>
      <w:r>
        <w:rPr>
          <w:rFonts w:ascii="Arial" w:cs="Arial" w:eastAsia="Arial" w:hAnsi="Arial"/>
          <w:sz w:val="14"/>
          <w:szCs w:val="14"/>
          <w:u w:val="single" w:color="auto"/>
          <w:color w:val="346289"/>
        </w:rPr>
        <w:t>conduent.com</w:t>
      </w:r>
      <w:r>
        <w:rPr>
          <w:rFonts w:ascii="Arial" w:cs="Arial" w:eastAsia="Arial" w:hAnsi="Arial"/>
          <w:sz w:val="14"/>
          <w:szCs w:val="14"/>
          <w:color w:val="313336"/>
        </w:rPr>
        <w:t xml:space="preserve"> or </w:t>
      </w:r>
      <w:r>
        <w:rPr>
          <w:rFonts w:ascii="Arial" w:cs="Arial" w:eastAsia="Arial" w:hAnsi="Arial"/>
          <w:sz w:val="14"/>
          <w:szCs w:val="14"/>
          <w:color w:val="1F2123"/>
        </w:rPr>
        <w:t>1702</w:t>
      </w:r>
      <w:r>
        <w:rPr>
          <w:rFonts w:ascii="Arial" w:cs="Arial" w:eastAsia="Arial" w:hAnsi="Arial"/>
          <w:sz w:val="14"/>
          <w:szCs w:val="14"/>
          <w:color w:val="313336"/>
        </w:rPr>
        <w:t xml:space="preserve"> </w:t>
      </w:r>
      <w:r>
        <w:rPr>
          <w:rFonts w:ascii="Arial" w:cs="Arial" w:eastAsia="Arial" w:hAnsi="Arial"/>
          <w:sz w:val="14"/>
          <w:szCs w:val="14"/>
          <w:color w:val="464849"/>
        </w:rPr>
        <w:t>N</w:t>
      </w:r>
      <w:r>
        <w:rPr>
          <w:rFonts w:ascii="Arial" w:cs="Arial" w:eastAsia="Arial" w:hAnsi="Arial"/>
          <w:sz w:val="14"/>
          <w:szCs w:val="14"/>
          <w:color w:val="1F2123"/>
        </w:rPr>
        <w:t>.</w:t>
      </w:r>
      <w:r>
        <w:rPr>
          <w:rFonts w:ascii="Arial" w:cs="Arial" w:eastAsia="Arial" w:hAnsi="Arial"/>
          <w:sz w:val="14"/>
          <w:szCs w:val="14"/>
          <w:color w:val="313336"/>
        </w:rPr>
        <w:t xml:space="preserve"> Collins Blvd,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-6985</wp:posOffset>
            </wp:positionV>
            <wp:extent cx="671385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260"/>
        <w:spacing w:after="0"/>
        <w:tabs>
          <w:tab w:leader="none" w:pos="8980" w:val="left"/>
        </w:tabs>
        <w:rPr>
          <w:sz w:val="20"/>
          <w:szCs w:val="20"/>
          <w:color w:val="auto"/>
        </w:rPr>
      </w:pPr>
      <w:r>
        <w:rPr>
          <w:rFonts w:ascii="Arial" w:cs="Arial" w:eastAsia="Arial" w:hAnsi="Arial"/>
          <w:sz w:val="11"/>
          <w:szCs w:val="11"/>
          <w:color w:val="auto"/>
        </w:rPr>
        <w:t>Separation Agreement And General Release/J. Michael Peffer</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200"/>
          </w:cols>
          <w:pgMar w:left="480" w:top="317"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3051F2"/>
        </w:rPr>
        <w:t>EXHIBIT 10.6(f)(i)</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right="120"/>
        <w:spacing w:after="0" w:line="232" w:lineRule="auto"/>
        <w:rPr>
          <w:sz w:val="20"/>
          <w:szCs w:val="20"/>
          <w:color w:val="auto"/>
        </w:rPr>
      </w:pPr>
      <w:r>
        <w:rPr>
          <w:rFonts w:ascii="Arial" w:cs="Arial" w:eastAsia="Arial" w:hAnsi="Arial"/>
          <w:sz w:val="14"/>
          <w:szCs w:val="14"/>
          <w:color w:val="262A2B"/>
        </w:rPr>
        <w:t>260</w:t>
      </w:r>
      <w:r>
        <w:rPr>
          <w:rFonts w:ascii="Arial" w:cs="Arial" w:eastAsia="Arial" w:hAnsi="Arial"/>
          <w:sz w:val="14"/>
          <w:szCs w:val="14"/>
          <w:color w:val="606264"/>
        </w:rPr>
        <w:t>,</w:t>
      </w:r>
      <w:r>
        <w:rPr>
          <w:rFonts w:ascii="Arial" w:cs="Arial" w:eastAsia="Arial" w:hAnsi="Arial"/>
          <w:sz w:val="14"/>
          <w:szCs w:val="14"/>
          <w:color w:val="262A2B"/>
        </w:rPr>
        <w:t xml:space="preserve"> Richardson</w:t>
      </w:r>
      <w:r>
        <w:rPr>
          <w:rFonts w:ascii="Arial" w:cs="Arial" w:eastAsia="Arial" w:hAnsi="Arial"/>
          <w:sz w:val="14"/>
          <w:szCs w:val="14"/>
          <w:color w:val="4D4F52"/>
        </w:rPr>
        <w:t>,</w:t>
      </w:r>
      <w:r>
        <w:rPr>
          <w:rFonts w:ascii="Arial" w:cs="Arial" w:eastAsia="Arial" w:hAnsi="Arial"/>
          <w:sz w:val="14"/>
          <w:szCs w:val="14"/>
          <w:color w:val="262A2B"/>
        </w:rPr>
        <w:t xml:space="preserve"> Texas 75080. It is further </w:t>
      </w:r>
      <w:r>
        <w:rPr>
          <w:rFonts w:ascii="Arial" w:cs="Arial" w:eastAsia="Arial" w:hAnsi="Arial"/>
          <w:sz w:val="14"/>
          <w:szCs w:val="14"/>
          <w:color w:val="3B3D3F"/>
        </w:rPr>
        <w:t>expressly</w:t>
      </w:r>
      <w:r>
        <w:rPr>
          <w:rFonts w:ascii="Arial" w:cs="Arial" w:eastAsia="Arial" w:hAnsi="Arial"/>
          <w:sz w:val="14"/>
          <w:szCs w:val="14"/>
          <w:color w:val="262A2B"/>
        </w:rPr>
        <w:t xml:space="preserve"> agreed by the parties that this Agreement </w:t>
      </w:r>
      <w:r>
        <w:rPr>
          <w:rFonts w:ascii="Arial" w:cs="Arial" w:eastAsia="Arial" w:hAnsi="Arial"/>
          <w:sz w:val="14"/>
          <w:szCs w:val="14"/>
          <w:color w:val="3B3D3F"/>
        </w:rPr>
        <w:t>shall</w:t>
      </w:r>
      <w:r>
        <w:rPr>
          <w:rFonts w:ascii="Arial" w:cs="Arial" w:eastAsia="Arial" w:hAnsi="Arial"/>
          <w:sz w:val="14"/>
          <w:szCs w:val="14"/>
          <w:color w:val="262A2B"/>
        </w:rPr>
        <w:t xml:space="preserve"> not become </w:t>
      </w:r>
      <w:r>
        <w:rPr>
          <w:rFonts w:ascii="Arial" w:cs="Arial" w:eastAsia="Arial" w:hAnsi="Arial"/>
          <w:sz w:val="14"/>
          <w:szCs w:val="14"/>
          <w:color w:val="3B3D3F"/>
        </w:rPr>
        <w:t>effective or</w:t>
      </w:r>
      <w:r>
        <w:rPr>
          <w:rFonts w:ascii="Arial" w:cs="Arial" w:eastAsia="Arial" w:hAnsi="Arial"/>
          <w:sz w:val="14"/>
          <w:szCs w:val="14"/>
          <w:color w:val="262A2B"/>
        </w:rPr>
        <w:t xml:space="preserve"> enforceable until the </w:t>
      </w:r>
      <w:r>
        <w:rPr>
          <w:rFonts w:ascii="Arial" w:cs="Arial" w:eastAsia="Arial" w:hAnsi="Arial"/>
          <w:sz w:val="14"/>
          <w:szCs w:val="14"/>
          <w:color w:val="3B3D3F"/>
        </w:rPr>
        <w:t>seven (7)</w:t>
      </w:r>
      <w:r>
        <w:rPr>
          <w:rFonts w:ascii="Arial" w:cs="Arial" w:eastAsia="Arial" w:hAnsi="Arial"/>
          <w:sz w:val="14"/>
          <w:szCs w:val="14"/>
          <w:color w:val="262A2B"/>
        </w:rPr>
        <w:t xml:space="preserve"> day </w:t>
      </w:r>
      <w:r>
        <w:rPr>
          <w:rFonts w:ascii="Arial" w:cs="Arial" w:eastAsia="Arial" w:hAnsi="Arial"/>
          <w:sz w:val="14"/>
          <w:szCs w:val="14"/>
          <w:color w:val="3B3D3F"/>
        </w:rPr>
        <w:t>revocation</w:t>
      </w:r>
      <w:r>
        <w:rPr>
          <w:rFonts w:ascii="Arial" w:cs="Arial" w:eastAsia="Arial" w:hAnsi="Arial"/>
          <w:sz w:val="14"/>
          <w:szCs w:val="14"/>
          <w:color w:val="262A2B"/>
        </w:rPr>
        <w:t xml:space="preserve"> period described above has </w:t>
      </w:r>
      <w:r>
        <w:rPr>
          <w:rFonts w:ascii="Arial" w:cs="Arial" w:eastAsia="Arial" w:hAnsi="Arial"/>
          <w:sz w:val="14"/>
          <w:szCs w:val="14"/>
          <w:color w:val="3B3D3F"/>
        </w:rPr>
        <w:t>expired</w:t>
      </w:r>
      <w:r>
        <w:rPr>
          <w:rFonts w:ascii="Arial" w:cs="Arial" w:eastAsia="Arial" w:hAnsi="Arial"/>
          <w:sz w:val="14"/>
          <w:szCs w:val="14"/>
          <w:color w:val="606264"/>
        </w:rPr>
        <w:t>,</w:t>
      </w:r>
      <w:r>
        <w:rPr>
          <w:rFonts w:ascii="Arial" w:cs="Arial" w:eastAsia="Arial" w:hAnsi="Arial"/>
          <w:sz w:val="14"/>
          <w:szCs w:val="14"/>
          <w:color w:val="262A2B"/>
        </w:rPr>
        <w:t xml:space="preserve"> after which time this Agreement </w:t>
      </w:r>
      <w:r>
        <w:rPr>
          <w:rFonts w:ascii="Arial" w:cs="Arial" w:eastAsia="Arial" w:hAnsi="Arial"/>
          <w:sz w:val="14"/>
          <w:szCs w:val="14"/>
          <w:color w:val="3B3D3F"/>
        </w:rPr>
        <w:t>shall</w:t>
      </w:r>
      <w:r>
        <w:rPr>
          <w:rFonts w:ascii="Arial" w:cs="Arial" w:eastAsia="Arial" w:hAnsi="Arial"/>
          <w:sz w:val="14"/>
          <w:szCs w:val="14"/>
          <w:color w:val="262A2B"/>
        </w:rPr>
        <w:t xml:space="preserve"> be deemed </w:t>
      </w:r>
      <w:r>
        <w:rPr>
          <w:rFonts w:ascii="Arial" w:cs="Arial" w:eastAsia="Arial" w:hAnsi="Arial"/>
          <w:sz w:val="14"/>
          <w:szCs w:val="14"/>
          <w:color w:val="3B3D3F"/>
        </w:rPr>
        <w:t>effective</w:t>
      </w:r>
      <w:r>
        <w:rPr>
          <w:rFonts w:ascii="Arial" w:cs="Arial" w:eastAsia="Arial" w:hAnsi="Arial"/>
          <w:sz w:val="14"/>
          <w:szCs w:val="14"/>
          <w:color w:val="262A2B"/>
        </w:rPr>
        <w:t xml:space="preserve"> and enforceable.</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262A2B"/>
        </w:rPr>
        <w:t>PLEASE READ CAREFULLY THIS AGREEMENT INCLUDES A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/S/ J. MICHAEL PEFFER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14605</wp:posOffset>
            </wp:positionV>
            <wp:extent cx="12509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1250950" cy="6985"/>
                    </a:xfrm>
                    <a:prstGeom prst="rect">
                      <a:avLst/>
                    </a:prstGeom>
                    <a:noFill/>
                  </pic:spPr>
                </pic:pic>
              </a:graphicData>
            </a:graphic>
          </wp:anchor>
        </w:drawing>
      </w:r>
    </w:p>
    <w:p>
      <w:pPr>
        <w:spacing w:after="0" w:line="34"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J. Michael Peffer</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November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671385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9240" w:val="left"/>
        </w:tabs>
        <w:rPr>
          <w:sz w:val="20"/>
          <w:szCs w:val="20"/>
          <w:color w:val="auto"/>
        </w:rPr>
      </w:pPr>
      <w:r>
        <w:rPr>
          <w:rFonts w:ascii="Arial" w:cs="Arial" w:eastAsia="Arial" w:hAnsi="Arial"/>
          <w:sz w:val="11"/>
          <w:szCs w:val="11"/>
          <w:color w:val="auto"/>
        </w:rPr>
        <w:t>Separation Agreement And General Release/J. Michael Peffer</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460"/>
          </w:cols>
          <w:pgMar w:left="220" w:top="317"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3051F2"/>
        </w:rPr>
        <w:t>EXHIBIT 10.6(h)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13161A"/>
        </w:rPr>
        <w:t>May 15</w:t>
      </w:r>
      <w:r>
        <w:rPr>
          <w:rFonts w:ascii="Arial" w:cs="Arial" w:eastAsia="Arial" w:hAnsi="Arial"/>
          <w:sz w:val="14"/>
          <w:szCs w:val="14"/>
          <w:color w:val="3D4142"/>
        </w:rPr>
        <w:t>,</w:t>
      </w:r>
      <w:r>
        <w:rPr>
          <w:rFonts w:ascii="Arial" w:cs="Arial" w:eastAsia="Arial" w:hAnsi="Arial"/>
          <w:sz w:val="14"/>
          <w:szCs w:val="14"/>
          <w:color w:val="13161A"/>
        </w:rPr>
        <w:t xml:space="preserve"> 2019</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13161A"/>
        </w:rPr>
        <w:t>Mr. Mark S. Brewer</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13161A"/>
        </w:rPr>
        <w:t>Dear Mark</w:t>
      </w:r>
      <w:r>
        <w:rPr>
          <w:rFonts w:ascii="Arial" w:cs="Arial" w:eastAsia="Arial" w:hAnsi="Arial"/>
          <w:sz w:val="14"/>
          <w:szCs w:val="14"/>
          <w:color w:val="3D4142"/>
        </w:rPr>
        <w:t>:</w:t>
      </w:r>
    </w:p>
    <w:p>
      <w:pPr>
        <w:spacing w:after="0" w:line="205"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13161A"/>
        </w:rPr>
        <w:t>I am pleased to offer you the position of Chief Operating Officer-Transportation,Conduent Inc. (“Conduent”)</w:t>
      </w:r>
      <w:r>
        <w:rPr>
          <w:rFonts w:ascii="Arial" w:cs="Arial" w:eastAsia="Arial" w:hAnsi="Arial"/>
          <w:sz w:val="14"/>
          <w:szCs w:val="14"/>
          <w:color w:val="3D4142"/>
        </w:rPr>
        <w:t>,</w:t>
      </w:r>
      <w:r>
        <w:rPr>
          <w:rFonts w:ascii="Arial" w:cs="Arial" w:eastAsia="Arial" w:hAnsi="Arial"/>
          <w:sz w:val="14"/>
          <w:szCs w:val="14"/>
          <w:color w:val="13161A"/>
        </w:rPr>
        <w:t xml:space="preserve"> reporting to me. Y</w:t>
      </w:r>
      <w:r>
        <w:rPr>
          <w:rFonts w:ascii="Arial" w:cs="Arial" w:eastAsia="Arial" w:hAnsi="Arial"/>
          <w:sz w:val="14"/>
          <w:szCs w:val="14"/>
          <w:color w:val="262A2B"/>
        </w:rPr>
        <w:t>our</w:t>
      </w:r>
      <w:r>
        <w:rPr>
          <w:rFonts w:ascii="Arial" w:cs="Arial" w:eastAsia="Arial" w:hAnsi="Arial"/>
          <w:sz w:val="14"/>
          <w:szCs w:val="14"/>
          <w:color w:val="13161A"/>
        </w:rPr>
        <w:t xml:space="preserve"> work location will be 12410 Milestone Center Drive, Germantown, MD. Your expected start date is June 10, 2019.</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13161A"/>
        </w:rPr>
        <w:t>Annual Base Salary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13161A"/>
        </w:rPr>
        <w:t>Your starting base salary for this position will be paid bi-weekly</w:t>
      </w:r>
      <w:r>
        <w:rPr>
          <w:rFonts w:ascii="Arial" w:cs="Arial" w:eastAsia="Arial" w:hAnsi="Arial"/>
          <w:sz w:val="14"/>
          <w:szCs w:val="14"/>
          <w:color w:val="3D4142"/>
        </w:rPr>
        <w:t>,</w:t>
      </w:r>
      <w:r>
        <w:rPr>
          <w:rFonts w:ascii="Arial" w:cs="Arial" w:eastAsia="Arial" w:hAnsi="Arial"/>
          <w:sz w:val="14"/>
          <w:szCs w:val="14"/>
          <w:color w:val="13161A"/>
        </w:rPr>
        <w:t xml:space="preserve"> one week in arrears</w:t>
      </w:r>
      <w:r>
        <w:rPr>
          <w:rFonts w:ascii="Arial" w:cs="Arial" w:eastAsia="Arial" w:hAnsi="Arial"/>
          <w:sz w:val="14"/>
          <w:szCs w:val="14"/>
          <w:color w:val="3D4142"/>
        </w:rPr>
        <w:t>,</w:t>
      </w:r>
      <w:r>
        <w:rPr>
          <w:rFonts w:ascii="Arial" w:cs="Arial" w:eastAsia="Arial" w:hAnsi="Arial"/>
          <w:sz w:val="14"/>
          <w:szCs w:val="14"/>
          <w:color w:val="13161A"/>
        </w:rPr>
        <w:t xml:space="preserve"> at the annualized rate of $400</w:t>
      </w:r>
      <w:r>
        <w:rPr>
          <w:rFonts w:ascii="Arial" w:cs="Arial" w:eastAsia="Arial" w:hAnsi="Arial"/>
          <w:sz w:val="14"/>
          <w:szCs w:val="14"/>
          <w:color w:val="3D4142"/>
        </w:rPr>
        <w:t>,</w:t>
      </w:r>
      <w:r>
        <w:rPr>
          <w:rFonts w:ascii="Arial" w:cs="Arial" w:eastAsia="Arial" w:hAnsi="Arial"/>
          <w:sz w:val="14"/>
          <w:szCs w:val="14"/>
          <w:color w:val="13161A"/>
        </w:rPr>
        <w:t>000</w:t>
      </w:r>
      <w:r>
        <w:rPr>
          <w:rFonts w:ascii="Arial" w:cs="Arial" w:eastAsia="Arial" w:hAnsi="Arial"/>
          <w:sz w:val="14"/>
          <w:szCs w:val="14"/>
          <w:color w:val="3D4142"/>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13161A"/>
        </w:rPr>
        <w:t>Annual Performance Incentive Plan</w:t>
      </w:r>
    </w:p>
    <w:p>
      <w:pPr>
        <w:spacing w:after="0" w:line="223" w:lineRule="exact"/>
        <w:rPr>
          <w:sz w:val="20"/>
          <w:szCs w:val="20"/>
          <w:color w:val="auto"/>
        </w:rPr>
      </w:pPr>
    </w:p>
    <w:p>
      <w:pPr>
        <w:ind w:right="280"/>
        <w:spacing w:after="0" w:line="264" w:lineRule="auto"/>
        <w:rPr>
          <w:sz w:val="20"/>
          <w:szCs w:val="20"/>
          <w:color w:val="auto"/>
        </w:rPr>
      </w:pPr>
      <w:r>
        <w:rPr>
          <w:rFonts w:ascii="Arial" w:cs="Arial" w:eastAsia="Arial" w:hAnsi="Arial"/>
          <w:sz w:val="14"/>
          <w:szCs w:val="14"/>
          <w:color w:val="13161A"/>
        </w:rPr>
        <w:t xml:space="preserve">You will be eligible to participate in the Conduent Transportation Annual Performance Incentive Plan </w:t>
      </w:r>
      <w:r>
        <w:rPr>
          <w:rFonts w:ascii="Arial" w:cs="Arial" w:eastAsia="Arial" w:hAnsi="Arial"/>
          <w:sz w:val="14"/>
          <w:szCs w:val="14"/>
          <w:color w:val="262A2B"/>
        </w:rPr>
        <w:t>("APIP")</w:t>
      </w:r>
      <w:r>
        <w:rPr>
          <w:rFonts w:ascii="Arial" w:cs="Arial" w:eastAsia="Arial" w:hAnsi="Arial"/>
          <w:sz w:val="14"/>
          <w:szCs w:val="14"/>
          <w:color w:val="13161A"/>
        </w:rPr>
        <w:t xml:space="preserve"> at an annual target level of sixty 60% of your base salary with a potential payout </w:t>
      </w:r>
      <w:r>
        <w:rPr>
          <w:rFonts w:ascii="Arial" w:cs="Arial" w:eastAsia="Arial" w:hAnsi="Arial"/>
          <w:sz w:val="14"/>
          <w:szCs w:val="14"/>
          <w:color w:val="3D4142"/>
        </w:rPr>
        <w:t>r</w:t>
      </w:r>
      <w:r>
        <w:rPr>
          <w:rFonts w:ascii="Arial" w:cs="Arial" w:eastAsia="Arial" w:hAnsi="Arial"/>
          <w:sz w:val="14"/>
          <w:szCs w:val="14"/>
          <w:color w:val="13161A"/>
        </w:rPr>
        <w:t xml:space="preserve">ange of zero to two hundred percent </w:t>
      </w:r>
      <w:r>
        <w:rPr>
          <w:rFonts w:ascii="Arial" w:cs="Arial" w:eastAsia="Arial" w:hAnsi="Arial"/>
          <w:sz w:val="14"/>
          <w:szCs w:val="14"/>
          <w:color w:val="262A2B"/>
        </w:rPr>
        <w:t>(200%)</w:t>
      </w:r>
      <w:r>
        <w:rPr>
          <w:rFonts w:ascii="Arial" w:cs="Arial" w:eastAsia="Arial" w:hAnsi="Arial"/>
          <w:sz w:val="14"/>
          <w:szCs w:val="14"/>
          <w:color w:val="13161A"/>
        </w:rPr>
        <w:t xml:space="preserve"> of your target. For the 2019 calendar year, any payout under the APIP will be prorated based on the length of your employment with Conduent during 2019 and based on business and individual performance, per plan rules.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13161A"/>
        </w:rPr>
        <w:t>Long-Term Incentive Plan</w:t>
      </w:r>
    </w:p>
    <w:p>
      <w:pPr>
        <w:spacing w:after="0" w:line="223"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13161A"/>
        </w:rPr>
        <w:t xml:space="preserve">You will be eligible to participate in Conduent’s </w:t>
      </w:r>
      <w:r>
        <w:rPr>
          <w:rFonts w:ascii="Arial" w:cs="Arial" w:eastAsia="Arial" w:hAnsi="Arial"/>
          <w:sz w:val="14"/>
          <w:szCs w:val="14"/>
          <w:color w:val="262A2B"/>
        </w:rPr>
        <w:t>Long-Term Incentive</w:t>
      </w:r>
      <w:r>
        <w:rPr>
          <w:rFonts w:ascii="Arial" w:cs="Arial" w:eastAsia="Arial" w:hAnsi="Arial"/>
          <w:sz w:val="14"/>
          <w:szCs w:val="14"/>
          <w:color w:val="13161A"/>
        </w:rPr>
        <w:t xml:space="preserve"> Plan </w:t>
      </w:r>
      <w:r>
        <w:rPr>
          <w:rFonts w:ascii="Arial" w:cs="Arial" w:eastAsia="Arial" w:hAnsi="Arial"/>
          <w:sz w:val="14"/>
          <w:szCs w:val="14"/>
          <w:color w:val="262A2B"/>
        </w:rPr>
        <w:t>("L</w:t>
      </w:r>
      <w:r>
        <w:rPr>
          <w:rFonts w:ascii="Arial" w:cs="Arial" w:eastAsia="Arial" w:hAnsi="Arial"/>
          <w:sz w:val="14"/>
          <w:szCs w:val="14"/>
          <w:color w:val="13161A"/>
        </w:rPr>
        <w:t>TIP") with a target award of $350</w:t>
      </w:r>
      <w:r>
        <w:rPr>
          <w:rFonts w:ascii="Arial" w:cs="Arial" w:eastAsia="Arial" w:hAnsi="Arial"/>
          <w:sz w:val="14"/>
          <w:szCs w:val="14"/>
          <w:color w:val="3D4142"/>
        </w:rPr>
        <w:t>,</w:t>
      </w:r>
      <w:r>
        <w:rPr>
          <w:rFonts w:ascii="Arial" w:cs="Arial" w:eastAsia="Arial" w:hAnsi="Arial"/>
          <w:sz w:val="14"/>
          <w:szCs w:val="14"/>
          <w:color w:val="13161A"/>
        </w:rPr>
        <w:t>000</w:t>
      </w:r>
      <w:r>
        <w:rPr>
          <w:rFonts w:ascii="Arial" w:cs="Arial" w:eastAsia="Arial" w:hAnsi="Arial"/>
          <w:sz w:val="14"/>
          <w:szCs w:val="14"/>
          <w:color w:val="3D4142"/>
        </w:rPr>
        <w:t>. For your 2019 award, the grant date is estimated to be on or</w:t>
      </w:r>
      <w:r>
        <w:rPr>
          <w:rFonts w:ascii="Arial" w:cs="Arial" w:eastAsia="Arial" w:hAnsi="Arial"/>
          <w:sz w:val="14"/>
          <w:szCs w:val="14"/>
          <w:color w:val="13161A"/>
        </w:rPr>
        <w:t xml:space="preserve"> </w:t>
      </w:r>
      <w:r>
        <w:rPr>
          <w:rFonts w:ascii="Arial" w:cs="Arial" w:eastAsia="Arial" w:hAnsi="Arial"/>
          <w:sz w:val="14"/>
          <w:szCs w:val="14"/>
          <w:color w:val="3D4142"/>
        </w:rPr>
        <w:t xml:space="preserve">about June 28, 2019. </w:t>
      </w:r>
      <w:r>
        <w:rPr>
          <w:rFonts w:ascii="Arial" w:cs="Arial" w:eastAsia="Arial" w:hAnsi="Arial"/>
          <w:sz w:val="14"/>
          <w:szCs w:val="14"/>
          <w:color w:val="13161A"/>
        </w:rPr>
        <w:t>This award will be split evenly between Restricted Stock Units (RSU) and Performance Stock Units (PSU).</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13161A"/>
        </w:rPr>
        <w:t>Cash Sign-On</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13161A"/>
        </w:rPr>
        <w:t>You will also receive a cash sign-on award of $100,000, payable as follows:</w:t>
      </w:r>
    </w:p>
    <w:p>
      <w:pPr>
        <w:spacing w:after="0" w:line="11" w:lineRule="exact"/>
        <w:rPr>
          <w:sz w:val="20"/>
          <w:szCs w:val="20"/>
          <w:color w:val="auto"/>
        </w:rPr>
      </w:pPr>
    </w:p>
    <w:p>
      <w:pPr>
        <w:ind w:left="520" w:hanging="255"/>
        <w:spacing w:after="0"/>
        <w:tabs>
          <w:tab w:leader="none" w:pos="520" w:val="left"/>
        </w:tabs>
        <w:numPr>
          <w:ilvl w:val="0"/>
          <w:numId w:val="52"/>
        </w:numPr>
        <w:rPr>
          <w:rFonts w:ascii="Arial" w:cs="Arial" w:eastAsia="Arial" w:hAnsi="Arial"/>
          <w:sz w:val="14"/>
          <w:szCs w:val="14"/>
          <w:color w:val="13161A"/>
        </w:rPr>
      </w:pPr>
      <w:r>
        <w:rPr>
          <w:rFonts w:ascii="Arial" w:cs="Arial" w:eastAsia="Arial" w:hAnsi="Arial"/>
          <w:sz w:val="14"/>
          <w:szCs w:val="14"/>
          <w:color w:val="13161A"/>
        </w:rPr>
        <w:t>$50,000 payable as soon as practicable following your 30-day anniversary with Conduent, and</w:t>
      </w:r>
    </w:p>
    <w:p>
      <w:pPr>
        <w:spacing w:after="0" w:line="11" w:lineRule="exact"/>
        <w:rPr>
          <w:rFonts w:ascii="Arial" w:cs="Arial" w:eastAsia="Arial" w:hAnsi="Arial"/>
          <w:sz w:val="14"/>
          <w:szCs w:val="14"/>
          <w:color w:val="13161A"/>
        </w:rPr>
      </w:pPr>
    </w:p>
    <w:p>
      <w:pPr>
        <w:ind w:left="520" w:hanging="255"/>
        <w:spacing w:after="0"/>
        <w:tabs>
          <w:tab w:leader="none" w:pos="520" w:val="left"/>
        </w:tabs>
        <w:numPr>
          <w:ilvl w:val="0"/>
          <w:numId w:val="52"/>
        </w:numPr>
        <w:rPr>
          <w:rFonts w:ascii="Arial" w:cs="Arial" w:eastAsia="Arial" w:hAnsi="Arial"/>
          <w:sz w:val="14"/>
          <w:szCs w:val="14"/>
          <w:color w:val="13161A"/>
        </w:rPr>
      </w:pPr>
      <w:r>
        <w:rPr>
          <w:rFonts w:ascii="Arial" w:cs="Arial" w:eastAsia="Arial" w:hAnsi="Arial"/>
          <w:sz w:val="14"/>
          <w:szCs w:val="14"/>
          <w:color w:val="13161A"/>
        </w:rPr>
        <w:t>$50,000 payable as soon as practicable following your six-month anniversary with Conduent.</w:t>
      </w:r>
    </w:p>
    <w:p>
      <w:pPr>
        <w:spacing w:after="0" w:line="205"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You must be actively employed with Conduent on the dates these payments are made to be eligible to receive payment. If you voluntarily terminate your employment with Conduent or Conduent terminates your employment *for Cause* at any time in the twelve (12) calendar months following receipt of the initial award, you agree and understand that you will be required to pay the entire net amount of the sign-on award to Conduent at the time of your separation.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Arial" w:cs="Arial" w:eastAsia="Arial" w:hAnsi="Arial"/>
          <w:sz w:val="11"/>
          <w:szCs w:val="11"/>
          <w:color w:val="auto"/>
        </w:rPr>
        <w:t>PAGE1</w:t>
      </w:r>
    </w:p>
    <w:p>
      <w:pPr>
        <w:spacing w:after="0" w:line="13" w:lineRule="exact"/>
        <w:rPr>
          <w:sz w:val="20"/>
          <w:szCs w:val="20"/>
          <w:color w:val="auto"/>
        </w:rPr>
      </w:pPr>
    </w:p>
    <w:p>
      <w:pPr>
        <w:ind w:left="9020"/>
        <w:spacing w:after="0"/>
        <w:rPr>
          <w:sz w:val="20"/>
          <w:szCs w:val="20"/>
          <w:color w:val="auto"/>
        </w:rPr>
      </w:pPr>
      <w:r>
        <w:rPr>
          <w:rFonts w:ascii="Arial" w:cs="Arial" w:eastAsia="Arial" w:hAnsi="Arial"/>
          <w:sz w:val="11"/>
          <w:szCs w:val="11"/>
          <w:color w:val="auto"/>
        </w:rPr>
        <w:t>Mark S. Brewer</w:t>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1"/>
          <w:szCs w:val="11"/>
          <w:color w:val="auto"/>
        </w:rPr>
        <w:t>May 15, 2019</w:t>
      </w:r>
    </w:p>
    <w:p>
      <w:pPr>
        <w:sectPr>
          <w:pgSz w:w="11900" w:h="16838" w:orient="portrait"/>
          <w:cols w:equalWidth="0" w:num="1">
            <w:col w:w="11460"/>
          </w:cols>
          <w:pgMar w:left="220" w:top="317"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3051F2"/>
        </w:rPr>
        <w:t>EXHIBIT 10.6(h)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15181A"/>
        </w:rPr>
        <w:t>Benefits</w:t>
      </w:r>
    </w:p>
    <w:p>
      <w:pPr>
        <w:spacing w:after="0" w:line="223"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15181A"/>
        </w:rPr>
        <w:t>We are pleased to offer you a comprehensive benefits package</w:t>
      </w:r>
      <w:r>
        <w:rPr>
          <w:rFonts w:ascii="Arial" w:cs="Arial" w:eastAsia="Arial" w:hAnsi="Arial"/>
          <w:sz w:val="14"/>
          <w:szCs w:val="14"/>
          <w:color w:val="3B3D3F"/>
        </w:rPr>
        <w:t>,</w:t>
      </w:r>
      <w:r>
        <w:rPr>
          <w:rFonts w:ascii="Arial" w:cs="Arial" w:eastAsia="Arial" w:hAnsi="Arial"/>
          <w:sz w:val="14"/>
          <w:szCs w:val="14"/>
          <w:color w:val="15181A"/>
        </w:rPr>
        <w:t xml:space="preserve"> including medical</w:t>
      </w:r>
      <w:r>
        <w:rPr>
          <w:rFonts w:ascii="Arial" w:cs="Arial" w:eastAsia="Arial" w:hAnsi="Arial"/>
          <w:sz w:val="14"/>
          <w:szCs w:val="14"/>
          <w:color w:val="3B3D3F"/>
        </w:rPr>
        <w:t>,</w:t>
      </w:r>
      <w:r>
        <w:rPr>
          <w:rFonts w:ascii="Arial" w:cs="Arial" w:eastAsia="Arial" w:hAnsi="Arial"/>
          <w:sz w:val="14"/>
          <w:szCs w:val="14"/>
          <w:color w:val="15181A"/>
        </w:rPr>
        <w:t xml:space="preserve"> dental</w:t>
      </w:r>
      <w:r>
        <w:rPr>
          <w:rFonts w:ascii="Arial" w:cs="Arial" w:eastAsia="Arial" w:hAnsi="Arial"/>
          <w:sz w:val="14"/>
          <w:szCs w:val="14"/>
          <w:color w:val="4B4B4D"/>
        </w:rPr>
        <w:t>,</w:t>
      </w:r>
      <w:r>
        <w:rPr>
          <w:rFonts w:ascii="Arial" w:cs="Arial" w:eastAsia="Arial" w:hAnsi="Arial"/>
          <w:sz w:val="14"/>
          <w:szCs w:val="14"/>
          <w:color w:val="15181A"/>
        </w:rPr>
        <w:t xml:space="preserve"> vision care</w:t>
      </w:r>
      <w:r>
        <w:rPr>
          <w:rFonts w:ascii="Arial" w:cs="Arial" w:eastAsia="Arial" w:hAnsi="Arial"/>
          <w:sz w:val="14"/>
          <w:szCs w:val="14"/>
          <w:color w:val="3B3D3F"/>
        </w:rPr>
        <w:t>,</w:t>
      </w:r>
      <w:r>
        <w:rPr>
          <w:rFonts w:ascii="Arial" w:cs="Arial" w:eastAsia="Arial" w:hAnsi="Arial"/>
          <w:sz w:val="14"/>
          <w:szCs w:val="14"/>
          <w:color w:val="15181A"/>
        </w:rPr>
        <w:t xml:space="preserve"> disability income protection</w:t>
      </w:r>
      <w:r>
        <w:rPr>
          <w:rFonts w:ascii="Arial" w:cs="Arial" w:eastAsia="Arial" w:hAnsi="Arial"/>
          <w:sz w:val="14"/>
          <w:szCs w:val="14"/>
          <w:color w:val="3B3D3F"/>
        </w:rPr>
        <w:t>,</w:t>
      </w:r>
      <w:r>
        <w:rPr>
          <w:rFonts w:ascii="Arial" w:cs="Arial" w:eastAsia="Arial" w:hAnsi="Arial"/>
          <w:sz w:val="14"/>
          <w:szCs w:val="14"/>
          <w:color w:val="15181A"/>
        </w:rPr>
        <w:t xml:space="preserve"> accident insurance</w:t>
      </w:r>
      <w:r>
        <w:rPr>
          <w:rFonts w:ascii="Arial" w:cs="Arial" w:eastAsia="Arial" w:hAnsi="Arial"/>
          <w:sz w:val="14"/>
          <w:szCs w:val="14"/>
          <w:color w:val="3B3D3F"/>
        </w:rPr>
        <w:t>, and</w:t>
      </w:r>
      <w:r>
        <w:rPr>
          <w:rFonts w:ascii="Arial" w:cs="Arial" w:eastAsia="Arial" w:hAnsi="Arial"/>
          <w:sz w:val="14"/>
          <w:szCs w:val="14"/>
          <w:color w:val="15181A"/>
        </w:rPr>
        <w:t xml:space="preserve"> life insurance</w:t>
      </w:r>
      <w:r>
        <w:rPr>
          <w:rFonts w:ascii="Arial" w:cs="Arial" w:eastAsia="Arial" w:hAnsi="Arial"/>
          <w:sz w:val="14"/>
          <w:szCs w:val="14"/>
          <w:color w:val="3B3D3F"/>
        </w:rPr>
        <w:t>.</w:t>
      </w:r>
      <w:r>
        <w:rPr>
          <w:rFonts w:ascii="Arial" w:cs="Arial" w:eastAsia="Arial" w:hAnsi="Arial"/>
          <w:sz w:val="14"/>
          <w:szCs w:val="14"/>
          <w:color w:val="15181A"/>
        </w:rPr>
        <w:t xml:space="preserve"> You are eligible for coverage on your first day of employment</w:t>
      </w:r>
      <w:r>
        <w:rPr>
          <w:rFonts w:ascii="Arial" w:cs="Arial" w:eastAsia="Arial" w:hAnsi="Arial"/>
          <w:sz w:val="14"/>
          <w:szCs w:val="14"/>
          <w:color w:val="3B3D3F"/>
        </w:rPr>
        <w: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15181A"/>
        </w:rPr>
        <w:t>You will be eligible for paid vacation totaling four weeks annually, accrued throughout the year.</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You will be eligible for severance under the Executive Severance Policy. Severance benefits under this policy are equivalent to 13 weeks of your base salary, paid in a lump sum. A copy of the Executive Severance Policy is attached.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You are also covered under the Conduent Business Travel Expense Policy for Grade 12 executives. A copy of the policy is attached.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15181A"/>
        </w:rPr>
        <w:t>For Cause Definition</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15181A"/>
        </w:rPr>
        <w:t>The term “for Cause” as used in this letter shall mean any one or more of the following reasons for termination: (i) your failure to follow the directions of your manager provided such directions are not inconsistent with your job duties and/or with applicable law; (ii) your performance of any act of fraud, dishonesty, misappropriation or embezzlement, or other similar willful misconduct while conducting business on behalf of Conduent or executing upon your job duties and responsibilities; (iii) your conviction of any felony or a crime involving moral turpitude (including pleading guilty or no contest to such crime or a lesser crime which results from plea bargaining); (iv) your performance becomes impaired due to alcohol or substance abuse and you refuse to seek treatment; (v) your performance of any act which injures or reasonably could be expected to injure the reputation, brand, business or business relationships of Conduent; and (vi) your violation of any Conduent policy, including, but not limited to, policies prohibiting sexual harassment, retaliation, discrimination, and violence.</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15181A"/>
        </w:rPr>
        <w:t>Other Conditions</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15181A"/>
        </w:rPr>
        <w:t>It is our sincere hope and belief that our relationship will be a beneficial one</w:t>
      </w:r>
      <w:r>
        <w:rPr>
          <w:rFonts w:ascii="Arial" w:cs="Arial" w:eastAsia="Arial" w:hAnsi="Arial"/>
          <w:sz w:val="14"/>
          <w:szCs w:val="14"/>
          <w:color w:val="4B4B4D"/>
        </w:rPr>
        <w:t>,</w:t>
      </w:r>
      <w:r>
        <w:rPr>
          <w:rFonts w:ascii="Arial" w:cs="Arial" w:eastAsia="Arial" w:hAnsi="Arial"/>
          <w:sz w:val="14"/>
          <w:szCs w:val="14"/>
          <w:color w:val="15181A"/>
        </w:rPr>
        <w:t xml:space="preserve"> however</w:t>
      </w:r>
      <w:r>
        <w:rPr>
          <w:rFonts w:ascii="Arial" w:cs="Arial" w:eastAsia="Arial" w:hAnsi="Arial"/>
          <w:sz w:val="14"/>
          <w:szCs w:val="14"/>
          <w:color w:val="3B3D3F"/>
        </w:rPr>
        <w:t>,</w:t>
      </w:r>
      <w:r>
        <w:rPr>
          <w:rFonts w:ascii="Arial" w:cs="Arial" w:eastAsia="Arial" w:hAnsi="Arial"/>
          <w:sz w:val="14"/>
          <w:szCs w:val="14"/>
          <w:color w:val="15181A"/>
        </w:rPr>
        <w:t xml:space="preserve"> Conduent does not offer employment on a fixed term basis</w:t>
      </w:r>
      <w:r>
        <w:rPr>
          <w:rFonts w:ascii="Arial" w:cs="Arial" w:eastAsia="Arial" w:hAnsi="Arial"/>
          <w:sz w:val="14"/>
          <w:szCs w:val="14"/>
          <w:color w:val="3B3D3F"/>
        </w:rPr>
        <w:t>.</w:t>
      </w:r>
      <w:r>
        <w:rPr>
          <w:rFonts w:ascii="Arial" w:cs="Arial" w:eastAsia="Arial" w:hAnsi="Arial"/>
          <w:sz w:val="14"/>
          <w:szCs w:val="14"/>
          <w:color w:val="15181A"/>
        </w:rPr>
        <w:t xml:space="preserve"> Unless otherwise prohibited by law</w:t>
      </w:r>
      <w:r>
        <w:rPr>
          <w:rFonts w:ascii="Arial" w:cs="Arial" w:eastAsia="Arial" w:hAnsi="Arial"/>
          <w:sz w:val="14"/>
          <w:szCs w:val="14"/>
          <w:color w:val="3B3D3F"/>
        </w:rPr>
        <w:t>,</w:t>
      </w:r>
      <w:r>
        <w:rPr>
          <w:rFonts w:ascii="Arial" w:cs="Arial" w:eastAsia="Arial" w:hAnsi="Arial"/>
          <w:sz w:val="14"/>
          <w:szCs w:val="14"/>
          <w:color w:val="15181A"/>
        </w:rPr>
        <w:t xml:space="preserve"> this letter should not be considered in any manner as a proposed contract for employment for any fixed term</w:t>
      </w:r>
      <w:r>
        <w:rPr>
          <w:rFonts w:ascii="Arial" w:cs="Arial" w:eastAsia="Arial" w:hAnsi="Arial"/>
          <w:sz w:val="14"/>
          <w:szCs w:val="14"/>
          <w:color w:val="4B4B4D"/>
        </w:rPr>
        <w:t>,</w:t>
      </w:r>
      <w:r>
        <w:rPr>
          <w:rFonts w:ascii="Arial" w:cs="Arial" w:eastAsia="Arial" w:hAnsi="Arial"/>
          <w:sz w:val="14"/>
          <w:szCs w:val="14"/>
          <w:color w:val="15181A"/>
        </w:rPr>
        <w:t xml:space="preserve"> as your employment will be "at will." That </w:t>
      </w:r>
      <w:r>
        <w:rPr>
          <w:rFonts w:ascii="Arial" w:cs="Arial" w:eastAsia="Arial" w:hAnsi="Arial"/>
          <w:sz w:val="14"/>
          <w:szCs w:val="14"/>
          <w:color w:val="3B3D3F"/>
        </w:rPr>
        <w:t>i</w:t>
      </w:r>
      <w:r>
        <w:rPr>
          <w:rFonts w:ascii="Arial" w:cs="Arial" w:eastAsia="Arial" w:hAnsi="Arial"/>
          <w:sz w:val="14"/>
          <w:szCs w:val="14"/>
          <w:color w:val="15181A"/>
        </w:rPr>
        <w:t>s</w:t>
      </w:r>
      <w:r>
        <w:rPr>
          <w:rFonts w:ascii="Arial" w:cs="Arial" w:eastAsia="Arial" w:hAnsi="Arial"/>
          <w:sz w:val="14"/>
          <w:szCs w:val="14"/>
          <w:color w:val="3B3D3F"/>
        </w:rPr>
        <w:t>,</w:t>
      </w:r>
      <w:r>
        <w:rPr>
          <w:rFonts w:ascii="Arial" w:cs="Arial" w:eastAsia="Arial" w:hAnsi="Arial"/>
          <w:sz w:val="14"/>
          <w:szCs w:val="14"/>
          <w:color w:val="15181A"/>
        </w:rPr>
        <w:t xml:space="preserve"> either you or Conduent can terminate this relationship at any time</w:t>
      </w:r>
      <w:r>
        <w:rPr>
          <w:rFonts w:ascii="Arial" w:cs="Arial" w:eastAsia="Arial" w:hAnsi="Arial"/>
          <w:sz w:val="14"/>
          <w:szCs w:val="14"/>
          <w:color w:val="3B3D3F"/>
        </w:rPr>
        <w:t>,</w:t>
      </w:r>
      <w:r>
        <w:rPr>
          <w:rFonts w:ascii="Arial" w:cs="Arial" w:eastAsia="Arial" w:hAnsi="Arial"/>
          <w:sz w:val="14"/>
          <w:szCs w:val="14"/>
          <w:color w:val="15181A"/>
        </w:rPr>
        <w:t xml:space="preserve"> with or without cause or notice</w:t>
      </w:r>
      <w:r>
        <w:rPr>
          <w:rFonts w:ascii="Arial" w:cs="Arial" w:eastAsia="Arial" w:hAnsi="Arial"/>
          <w:sz w:val="14"/>
          <w:szCs w:val="14"/>
          <w:color w:val="3B3D3F"/>
        </w:rPr>
        <w:t>.</w:t>
      </w:r>
      <w:r>
        <w:rPr>
          <w:rFonts w:ascii="Arial" w:cs="Arial" w:eastAsia="Arial" w:hAnsi="Arial"/>
          <w:sz w:val="14"/>
          <w:szCs w:val="14"/>
          <w:color w:val="15181A"/>
        </w:rPr>
        <w:t xml:space="preserve"> In addition</w:t>
      </w:r>
      <w:r>
        <w:rPr>
          <w:rFonts w:ascii="Arial" w:cs="Arial" w:eastAsia="Arial" w:hAnsi="Arial"/>
          <w:sz w:val="14"/>
          <w:szCs w:val="14"/>
          <w:color w:val="4B4B4D"/>
        </w:rPr>
        <w:t>,</w:t>
      </w:r>
      <w:r>
        <w:rPr>
          <w:rFonts w:ascii="Arial" w:cs="Arial" w:eastAsia="Arial" w:hAnsi="Arial"/>
          <w:sz w:val="14"/>
          <w:szCs w:val="14"/>
          <w:color w:val="15181A"/>
        </w:rPr>
        <w:t xml:space="preserve"> Conduent may change any term or condition of your employment at will</w:t>
      </w:r>
      <w:r>
        <w:rPr>
          <w:rFonts w:ascii="Arial" w:cs="Arial" w:eastAsia="Arial" w:hAnsi="Arial"/>
          <w:sz w:val="14"/>
          <w:szCs w:val="14"/>
          <w:color w:val="3B3D3F"/>
        </w:rPr>
        <w:t>;</w:t>
      </w:r>
      <w:r>
        <w:rPr>
          <w:rFonts w:ascii="Arial" w:cs="Arial" w:eastAsia="Arial" w:hAnsi="Arial"/>
          <w:sz w:val="14"/>
          <w:szCs w:val="14"/>
          <w:color w:val="15181A"/>
        </w:rPr>
        <w:t xml:space="preserve"> with or without cause or notice</w:t>
      </w:r>
      <w:r>
        <w:rPr>
          <w:rFonts w:ascii="Arial" w:cs="Arial" w:eastAsia="Arial" w:hAnsi="Arial"/>
          <w:sz w:val="14"/>
          <w:szCs w:val="14"/>
          <w:color w:val="3B3D3F"/>
        </w:rPr>
        <w:t>.</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15181A"/>
        </w:rPr>
        <w:t>This offer of employment is contingent upon the receipt of a waver of non-competition agreements with current or prior employers, if any. This offer is also contingent upon the successful completion of a pre-employment background check (criminal</w:t>
      </w:r>
      <w:r>
        <w:rPr>
          <w:rFonts w:ascii="Arial" w:cs="Arial" w:eastAsia="Arial" w:hAnsi="Arial"/>
          <w:sz w:val="14"/>
          <w:szCs w:val="14"/>
          <w:color w:val="3B3D3F"/>
        </w:rPr>
        <w:t>,</w:t>
      </w:r>
      <w:r>
        <w:rPr>
          <w:rFonts w:ascii="Arial" w:cs="Arial" w:eastAsia="Arial" w:hAnsi="Arial"/>
          <w:sz w:val="14"/>
          <w:szCs w:val="14"/>
          <w:color w:val="15181A"/>
        </w:rPr>
        <w:t xml:space="preserve"> credit etc.) which will require your execution of a background screening consent. Additionally</w:t>
      </w:r>
      <w:r>
        <w:rPr>
          <w:rFonts w:ascii="Arial" w:cs="Arial" w:eastAsia="Arial" w:hAnsi="Arial"/>
          <w:sz w:val="14"/>
          <w:szCs w:val="14"/>
          <w:color w:val="3B3D3F"/>
        </w:rPr>
        <w:t>,</w:t>
      </w:r>
      <w:r>
        <w:rPr>
          <w:rFonts w:ascii="Arial" w:cs="Arial" w:eastAsia="Arial" w:hAnsi="Arial"/>
          <w:sz w:val="14"/>
          <w:szCs w:val="14"/>
          <w:color w:val="15181A"/>
        </w:rPr>
        <w:t xml:space="preserve"> your employment is contingent on your execution of Conduent Employee C</w:t>
      </w:r>
      <w:r>
        <w:rPr>
          <w:rFonts w:ascii="Arial" w:cs="Arial" w:eastAsia="Arial" w:hAnsi="Arial"/>
          <w:sz w:val="14"/>
          <w:szCs w:val="14"/>
          <w:color w:val="161A1C"/>
        </w:rPr>
        <w:t>onfidentiality, Non</w:t>
      </w:r>
      <w:r>
        <w:rPr>
          <w:rFonts w:ascii="Arial" w:cs="Arial" w:eastAsia="Arial" w:hAnsi="Arial"/>
          <w:sz w:val="14"/>
          <w:szCs w:val="14"/>
          <w:color w:val="2F3134"/>
        </w:rPr>
        <w:t>-</w:t>
      </w:r>
      <w:r>
        <w:rPr>
          <w:rFonts w:ascii="Arial" w:cs="Arial" w:eastAsia="Arial" w:hAnsi="Arial"/>
          <w:sz w:val="14"/>
          <w:szCs w:val="14"/>
          <w:color w:val="161A1C"/>
        </w:rPr>
        <w:t>Solicitat</w:t>
      </w:r>
      <w:r>
        <w:rPr>
          <w:rFonts w:ascii="Arial" w:cs="Arial" w:eastAsia="Arial" w:hAnsi="Arial"/>
          <w:sz w:val="14"/>
          <w:szCs w:val="14"/>
          <w:color w:val="2F3134"/>
        </w:rPr>
        <w:t>i</w:t>
      </w:r>
      <w:r>
        <w:rPr>
          <w:rFonts w:ascii="Arial" w:cs="Arial" w:eastAsia="Arial" w:hAnsi="Arial"/>
          <w:sz w:val="14"/>
          <w:szCs w:val="14"/>
          <w:color w:val="161A1C"/>
        </w:rPr>
        <w:t>on and</w:t>
      </w:r>
      <w:r>
        <w:rPr>
          <w:rFonts w:ascii="Arial" w:cs="Arial" w:eastAsia="Arial" w:hAnsi="Arial"/>
          <w:sz w:val="14"/>
          <w:szCs w:val="14"/>
          <w:color w:val="15181A"/>
        </w:rPr>
        <w:t xml:space="preserve"> </w:t>
      </w:r>
      <w:r>
        <w:rPr>
          <w:rFonts w:ascii="Arial" w:cs="Arial" w:eastAsia="Arial" w:hAnsi="Arial"/>
          <w:sz w:val="14"/>
          <w:szCs w:val="14"/>
          <w:color w:val="2F3134"/>
        </w:rPr>
        <w:t>In</w:t>
      </w:r>
      <w:r>
        <w:rPr>
          <w:rFonts w:ascii="Arial" w:cs="Arial" w:eastAsia="Arial" w:hAnsi="Arial"/>
          <w:sz w:val="14"/>
          <w:szCs w:val="14"/>
          <w:color w:val="161A1C"/>
        </w:rPr>
        <w:t>tellectua</w:t>
      </w:r>
      <w:r>
        <w:rPr>
          <w:rFonts w:ascii="Arial" w:cs="Arial" w:eastAsia="Arial" w:hAnsi="Arial"/>
          <w:sz w:val="14"/>
          <w:szCs w:val="14"/>
          <w:color w:val="2F3134"/>
        </w:rPr>
        <w:t>l</w:t>
      </w:r>
      <w:r>
        <w:rPr>
          <w:rFonts w:ascii="Arial" w:cs="Arial" w:eastAsia="Arial" w:hAnsi="Arial"/>
          <w:sz w:val="14"/>
          <w:szCs w:val="14"/>
          <w:color w:val="15181A"/>
        </w:rPr>
        <w:t xml:space="preserve"> </w:t>
      </w:r>
      <w:r>
        <w:rPr>
          <w:rFonts w:ascii="Arial" w:cs="Arial" w:eastAsia="Arial" w:hAnsi="Arial"/>
          <w:sz w:val="14"/>
          <w:szCs w:val="14"/>
          <w:color w:val="161A1C"/>
        </w:rPr>
        <w:t>Property Non-Compete Agreement. Lastly</w:t>
      </w:r>
      <w:r>
        <w:rPr>
          <w:rFonts w:ascii="Arial" w:cs="Arial" w:eastAsia="Arial" w:hAnsi="Arial"/>
          <w:sz w:val="14"/>
          <w:szCs w:val="14"/>
          <w:color w:val="4B4B4D"/>
        </w:rPr>
        <w:t>,</w:t>
      </w:r>
      <w:r>
        <w:rPr>
          <w:rFonts w:ascii="Arial" w:cs="Arial" w:eastAsia="Arial" w:hAnsi="Arial"/>
          <w:sz w:val="14"/>
          <w:szCs w:val="14"/>
          <w:color w:val="15181A"/>
        </w:rPr>
        <w:t xml:space="preserve"> </w:t>
      </w:r>
      <w:r>
        <w:rPr>
          <w:rFonts w:ascii="Arial" w:cs="Arial" w:eastAsia="Arial" w:hAnsi="Arial"/>
          <w:sz w:val="14"/>
          <w:szCs w:val="14"/>
          <w:color w:val="161A1C"/>
        </w:rPr>
        <w:t>you w</w:t>
      </w:r>
      <w:r>
        <w:rPr>
          <w:rFonts w:ascii="Arial" w:cs="Arial" w:eastAsia="Arial" w:hAnsi="Arial"/>
          <w:sz w:val="14"/>
          <w:szCs w:val="14"/>
          <w:color w:val="2F3134"/>
        </w:rPr>
        <w:t>i</w:t>
      </w:r>
      <w:r>
        <w:rPr>
          <w:rFonts w:ascii="Arial" w:cs="Arial" w:eastAsia="Arial" w:hAnsi="Arial"/>
          <w:sz w:val="14"/>
          <w:szCs w:val="14"/>
          <w:color w:val="161A1C"/>
        </w:rPr>
        <w:t>ll be required</w:t>
      </w:r>
      <w:r>
        <w:rPr>
          <w:rFonts w:ascii="Arial" w:cs="Arial" w:eastAsia="Arial" w:hAnsi="Arial"/>
          <w:sz w:val="14"/>
          <w:szCs w:val="14"/>
          <w:color w:val="15181A"/>
        </w:rPr>
        <w:t xml:space="preserve"> </w:t>
      </w:r>
      <w:r>
        <w:rPr>
          <w:rFonts w:ascii="Arial" w:cs="Arial" w:eastAsia="Arial" w:hAnsi="Arial"/>
          <w:sz w:val="14"/>
          <w:szCs w:val="14"/>
          <w:color w:val="161A1C"/>
        </w:rPr>
        <w:t>to present documents necessa</w:t>
      </w:r>
      <w:r>
        <w:rPr>
          <w:rFonts w:ascii="Arial" w:cs="Arial" w:eastAsia="Arial" w:hAnsi="Arial"/>
          <w:sz w:val="14"/>
          <w:szCs w:val="14"/>
          <w:color w:val="2F3134"/>
        </w:rPr>
        <w:t>r</w:t>
      </w:r>
      <w:r>
        <w:rPr>
          <w:rFonts w:ascii="Arial" w:cs="Arial" w:eastAsia="Arial" w:hAnsi="Arial"/>
          <w:sz w:val="14"/>
          <w:szCs w:val="14"/>
          <w:color w:val="161A1C"/>
        </w:rPr>
        <w:t>y to complete an 1-9 Form</w:t>
      </w:r>
      <w:r>
        <w:rPr>
          <w:rFonts w:ascii="Arial" w:cs="Arial" w:eastAsia="Arial" w:hAnsi="Arial"/>
          <w:sz w:val="14"/>
          <w:szCs w:val="14"/>
          <w:color w:val="2F3134"/>
        </w:rPr>
        <w:t>.</w:t>
      </w:r>
      <w:r>
        <w:rPr>
          <w:rFonts w:ascii="Arial" w:cs="Arial" w:eastAsia="Arial" w:hAnsi="Arial"/>
          <w:sz w:val="14"/>
          <w:szCs w:val="14"/>
          <w:color w:val="161A1C"/>
        </w:rPr>
        <w:t xml:space="preserve"> Human Resources w</w:t>
      </w:r>
      <w:r>
        <w:rPr>
          <w:rFonts w:ascii="Arial" w:cs="Arial" w:eastAsia="Arial" w:hAnsi="Arial"/>
          <w:sz w:val="14"/>
          <w:szCs w:val="14"/>
          <w:color w:val="2F3134"/>
        </w:rPr>
        <w:t>i</w:t>
      </w:r>
      <w:r>
        <w:rPr>
          <w:rFonts w:ascii="Arial" w:cs="Arial" w:eastAsia="Arial" w:hAnsi="Arial"/>
          <w:sz w:val="14"/>
          <w:szCs w:val="14"/>
          <w:color w:val="161A1C"/>
        </w:rPr>
        <w:t>ll contact you to make an appointment with an 1</w:t>
      </w:r>
      <w:r>
        <w:rPr>
          <w:rFonts w:ascii="Arial" w:cs="Arial" w:eastAsia="Arial" w:hAnsi="Arial"/>
          <w:sz w:val="14"/>
          <w:szCs w:val="14"/>
          <w:color w:val="2F3134"/>
        </w:rPr>
        <w:t>-</w:t>
      </w:r>
      <w:r>
        <w:rPr>
          <w:rFonts w:ascii="Arial" w:cs="Arial" w:eastAsia="Arial" w:hAnsi="Arial"/>
          <w:sz w:val="14"/>
          <w:szCs w:val="14"/>
          <w:color w:val="161A1C"/>
        </w:rPr>
        <w:t xml:space="preserve"> 9 verifier prio</w:t>
      </w:r>
      <w:r>
        <w:rPr>
          <w:rFonts w:ascii="Arial" w:cs="Arial" w:eastAsia="Arial" w:hAnsi="Arial"/>
          <w:sz w:val="14"/>
          <w:szCs w:val="14"/>
          <w:color w:val="2F3134"/>
        </w:rPr>
        <w:t>r</w:t>
      </w:r>
      <w:r>
        <w:rPr>
          <w:rFonts w:ascii="Arial" w:cs="Arial" w:eastAsia="Arial" w:hAnsi="Arial"/>
          <w:sz w:val="14"/>
          <w:szCs w:val="14"/>
          <w:color w:val="161A1C"/>
        </w:rPr>
        <w:t xml:space="preserve"> to your scheduled start da</w:t>
      </w:r>
      <w:r>
        <w:rPr>
          <w:rFonts w:ascii="Arial" w:cs="Arial" w:eastAsia="Arial" w:hAnsi="Arial"/>
          <w:sz w:val="14"/>
          <w:szCs w:val="14"/>
          <w:color w:val="2F3134"/>
        </w:rPr>
        <w:t>t</w:t>
      </w:r>
      <w:r>
        <w:rPr>
          <w:rFonts w:ascii="Arial" w:cs="Arial" w:eastAsia="Arial" w:hAnsi="Arial"/>
          <w:sz w:val="14"/>
          <w:szCs w:val="14"/>
          <w:color w:val="161A1C"/>
        </w:rPr>
        <w:t>e</w:t>
      </w:r>
      <w:r>
        <w:rPr>
          <w:rFonts w:ascii="Arial" w:cs="Arial" w:eastAsia="Arial" w:hAnsi="Arial"/>
          <w:sz w:val="14"/>
          <w:szCs w:val="14"/>
          <w:color w:val="2F3134"/>
        </w:rPr>
        <w: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161A1C"/>
        </w:rPr>
        <w:t>Th</w:t>
      </w:r>
      <w:r>
        <w:rPr>
          <w:rFonts w:ascii="Arial" w:cs="Arial" w:eastAsia="Arial" w:hAnsi="Arial"/>
          <w:sz w:val="14"/>
          <w:szCs w:val="14"/>
          <w:color w:val="2F3134"/>
        </w:rPr>
        <w:t>i</w:t>
      </w:r>
      <w:r>
        <w:rPr>
          <w:rFonts w:ascii="Arial" w:cs="Arial" w:eastAsia="Arial" w:hAnsi="Arial"/>
          <w:sz w:val="14"/>
          <w:szCs w:val="14"/>
          <w:color w:val="161A1C"/>
        </w:rPr>
        <w:t>s offer will remain in effect until May 20</w:t>
      </w:r>
      <w:r>
        <w:rPr>
          <w:rFonts w:ascii="Arial" w:cs="Arial" w:eastAsia="Arial" w:hAnsi="Arial"/>
          <w:sz w:val="14"/>
          <w:szCs w:val="14"/>
          <w:color w:val="2F3134"/>
        </w:rPr>
        <w:t>,</w:t>
      </w:r>
      <w:r>
        <w:rPr>
          <w:rFonts w:ascii="Arial" w:cs="Arial" w:eastAsia="Arial" w:hAnsi="Arial"/>
          <w:sz w:val="14"/>
          <w:szCs w:val="14"/>
          <w:color w:val="161A1C"/>
        </w:rPr>
        <w:t xml:space="preserve"> 2019</w:t>
      </w:r>
      <w:r>
        <w:rPr>
          <w:rFonts w:ascii="Arial" w:cs="Arial" w:eastAsia="Arial" w:hAnsi="Arial"/>
          <w:sz w:val="14"/>
          <w:szCs w:val="14"/>
          <w:color w:val="2F3134"/>
        </w:rPr>
        <w: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161A1C"/>
        </w:rPr>
        <w:t>Mark</w:t>
      </w:r>
      <w:r>
        <w:rPr>
          <w:rFonts w:ascii="Arial" w:cs="Arial" w:eastAsia="Arial" w:hAnsi="Arial"/>
          <w:sz w:val="14"/>
          <w:szCs w:val="14"/>
          <w:color w:val="2F3134"/>
        </w:rPr>
        <w:t>, I</w:t>
      </w:r>
      <w:r>
        <w:rPr>
          <w:rFonts w:ascii="Arial" w:cs="Arial" w:eastAsia="Arial" w:hAnsi="Arial"/>
          <w:sz w:val="14"/>
          <w:szCs w:val="14"/>
          <w:color w:val="161A1C"/>
        </w:rPr>
        <w:t xml:space="preserve"> am de</w:t>
      </w:r>
      <w:r>
        <w:rPr>
          <w:rFonts w:ascii="Arial" w:cs="Arial" w:eastAsia="Arial" w:hAnsi="Arial"/>
          <w:sz w:val="14"/>
          <w:szCs w:val="14"/>
          <w:color w:val="2F3134"/>
        </w:rPr>
        <w:t>l</w:t>
      </w:r>
      <w:r>
        <w:rPr>
          <w:rFonts w:ascii="Arial" w:cs="Arial" w:eastAsia="Arial" w:hAnsi="Arial"/>
          <w:sz w:val="14"/>
          <w:szCs w:val="14"/>
          <w:color w:val="161A1C"/>
        </w:rPr>
        <w:t>ighted you are join</w:t>
      </w:r>
      <w:r>
        <w:rPr>
          <w:rFonts w:ascii="Arial" w:cs="Arial" w:eastAsia="Arial" w:hAnsi="Arial"/>
          <w:sz w:val="14"/>
          <w:szCs w:val="14"/>
          <w:color w:val="2F3134"/>
        </w:rPr>
        <w:t>i</w:t>
      </w:r>
      <w:r>
        <w:rPr>
          <w:rFonts w:ascii="Arial" w:cs="Arial" w:eastAsia="Arial" w:hAnsi="Arial"/>
          <w:sz w:val="14"/>
          <w:szCs w:val="14"/>
          <w:color w:val="161A1C"/>
        </w:rPr>
        <w:t>ng the Conduent Transportation leade</w:t>
      </w:r>
      <w:r>
        <w:rPr>
          <w:rFonts w:ascii="Arial" w:cs="Arial" w:eastAsia="Arial" w:hAnsi="Arial"/>
          <w:sz w:val="14"/>
          <w:szCs w:val="14"/>
          <w:color w:val="2F3134"/>
        </w:rPr>
        <w:t>r</w:t>
      </w:r>
      <w:r>
        <w:rPr>
          <w:rFonts w:ascii="Arial" w:cs="Arial" w:eastAsia="Arial" w:hAnsi="Arial"/>
          <w:sz w:val="14"/>
          <w:szCs w:val="14"/>
          <w:color w:val="161A1C"/>
        </w:rPr>
        <w:t>ship team and look forward to your sign</w:t>
      </w:r>
      <w:r>
        <w:rPr>
          <w:rFonts w:ascii="Arial" w:cs="Arial" w:eastAsia="Arial" w:hAnsi="Arial"/>
          <w:sz w:val="14"/>
          <w:szCs w:val="14"/>
          <w:color w:val="2F3134"/>
        </w:rPr>
        <w:t>i</w:t>
      </w:r>
      <w:r>
        <w:rPr>
          <w:rFonts w:ascii="Arial" w:cs="Arial" w:eastAsia="Arial" w:hAnsi="Arial"/>
          <w:sz w:val="14"/>
          <w:szCs w:val="14"/>
          <w:color w:val="161A1C"/>
        </w:rPr>
        <w:t>ficant contributions and success</w:t>
      </w:r>
      <w:r>
        <w:rPr>
          <w:rFonts w:ascii="Arial" w:cs="Arial" w:eastAsia="Arial" w:hAnsi="Arial"/>
          <w:sz w:val="14"/>
          <w:szCs w:val="14"/>
          <w:color w:val="2F313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Arial" w:cs="Arial" w:eastAsia="Arial" w:hAnsi="Arial"/>
          <w:sz w:val="11"/>
          <w:szCs w:val="11"/>
          <w:color w:val="auto"/>
        </w:rPr>
        <w:t>PAGE2</w:t>
      </w:r>
    </w:p>
    <w:p>
      <w:pPr>
        <w:spacing w:after="0" w:line="13" w:lineRule="exact"/>
        <w:rPr>
          <w:sz w:val="20"/>
          <w:szCs w:val="20"/>
          <w:color w:val="auto"/>
        </w:rPr>
      </w:pPr>
    </w:p>
    <w:p>
      <w:pPr>
        <w:ind w:left="9020"/>
        <w:spacing w:after="0"/>
        <w:rPr>
          <w:sz w:val="20"/>
          <w:szCs w:val="20"/>
          <w:color w:val="auto"/>
        </w:rPr>
      </w:pPr>
      <w:r>
        <w:rPr>
          <w:rFonts w:ascii="Arial" w:cs="Arial" w:eastAsia="Arial" w:hAnsi="Arial"/>
          <w:sz w:val="11"/>
          <w:szCs w:val="11"/>
          <w:color w:val="auto"/>
        </w:rPr>
        <w:t>Mark S. Brewer</w:t>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1"/>
          <w:szCs w:val="11"/>
          <w:color w:val="auto"/>
        </w:rPr>
        <w:t>May 15, 2019</w:t>
      </w:r>
    </w:p>
    <w:p>
      <w:pPr>
        <w:sectPr>
          <w:pgSz w:w="11900" w:h="16838" w:orient="portrait"/>
          <w:cols w:equalWidth="0" w:num="1">
            <w:col w:w="11460"/>
          </w:cols>
          <w:pgMar w:left="220" w:top="317"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3051F2"/>
        </w:rPr>
        <w:t>EXHIBIT 10.6(h)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2F3134"/>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John M. Slattery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73494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273494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 Transportation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Conduent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2F3134"/>
        </w:rPr>
        <w:t>November 5, 2019</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MARK S.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85991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185991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S. Brewer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spacing w:after="0"/>
        <w:rPr>
          <w:sz w:val="20"/>
          <w:szCs w:val="20"/>
          <w:color w:val="auto"/>
        </w:rPr>
      </w:pPr>
      <w:r>
        <w:rPr>
          <w:rFonts w:ascii="Arial" w:cs="Arial" w:eastAsia="Arial" w:hAnsi="Arial"/>
          <w:sz w:val="11"/>
          <w:szCs w:val="11"/>
          <w:color w:val="auto"/>
        </w:rPr>
        <w:t>PAGE3</w:t>
      </w:r>
    </w:p>
    <w:p>
      <w:pPr>
        <w:spacing w:after="0" w:line="13" w:lineRule="exact"/>
        <w:rPr>
          <w:sz w:val="20"/>
          <w:szCs w:val="20"/>
          <w:color w:val="auto"/>
        </w:rPr>
      </w:pPr>
    </w:p>
    <w:p>
      <w:pPr>
        <w:ind w:left="9020"/>
        <w:spacing w:after="0"/>
        <w:rPr>
          <w:sz w:val="20"/>
          <w:szCs w:val="20"/>
          <w:color w:val="auto"/>
        </w:rPr>
      </w:pPr>
      <w:r>
        <w:rPr>
          <w:rFonts w:ascii="Arial" w:cs="Arial" w:eastAsia="Arial" w:hAnsi="Arial"/>
          <w:sz w:val="11"/>
          <w:szCs w:val="11"/>
          <w:color w:val="auto"/>
        </w:rPr>
        <w:t>Mark S. Brewer</w:t>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1"/>
          <w:szCs w:val="11"/>
          <w:color w:val="auto"/>
        </w:rPr>
        <w:t>May 15, 2019</w:t>
      </w:r>
    </w:p>
    <w:p>
      <w:pPr>
        <w:sectPr>
          <w:pgSz w:w="11900" w:h="16838" w:orient="portrait"/>
          <w:cols w:equalWidth="0" w:num="1">
            <w:col w:w="11460"/>
          </w:cols>
          <w:pgMar w:left="220" w:top="317"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3051F2"/>
        </w:rPr>
        <w:t>EXHIBIT 10.6(i)</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13161A"/>
        </w:rPr>
        <w:t>November 5</w:t>
      </w:r>
      <w:r>
        <w:rPr>
          <w:rFonts w:ascii="Arial" w:cs="Arial" w:eastAsia="Arial" w:hAnsi="Arial"/>
          <w:sz w:val="14"/>
          <w:szCs w:val="14"/>
          <w:color w:val="3D4142"/>
        </w:rPr>
        <w:t>,</w:t>
      </w:r>
      <w:r>
        <w:rPr>
          <w:rFonts w:ascii="Arial" w:cs="Arial" w:eastAsia="Arial" w:hAnsi="Arial"/>
          <w:sz w:val="14"/>
          <w:szCs w:val="14"/>
          <w:color w:val="13161A"/>
        </w:rPr>
        <w:t xml:space="preserve"> 2019</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13161A"/>
        </w:rPr>
        <w:t>Michael Krawitz</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13161A"/>
        </w:rPr>
        <w:t>Dear Michael</w:t>
      </w:r>
      <w:r>
        <w:rPr>
          <w:rFonts w:ascii="Arial" w:cs="Arial" w:eastAsia="Arial" w:hAnsi="Arial"/>
          <w:sz w:val="14"/>
          <w:szCs w:val="14"/>
          <w:color w:val="3D4142"/>
        </w:rPr>
        <w:t>:</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13161A"/>
        </w:rPr>
        <w:t>I am pleased to offer you the position of Executive Vice President</w:t>
      </w:r>
      <w:r>
        <w:rPr>
          <w:rFonts w:ascii="Arial" w:cs="Arial" w:eastAsia="Arial" w:hAnsi="Arial"/>
          <w:sz w:val="14"/>
          <w:szCs w:val="14"/>
          <w:color w:val="3D4142"/>
        </w:rPr>
        <w:t>,</w:t>
      </w:r>
      <w:r>
        <w:rPr>
          <w:rFonts w:ascii="Arial" w:cs="Arial" w:eastAsia="Arial" w:hAnsi="Arial"/>
          <w:sz w:val="14"/>
          <w:szCs w:val="14"/>
          <w:color w:val="13161A"/>
        </w:rPr>
        <w:t xml:space="preserve"> General Counsel and Secretary of Conduent Incorporated (</w:t>
      </w:r>
      <w:r>
        <w:rPr>
          <w:rFonts w:ascii="Arial" w:cs="Arial" w:eastAsia="Arial" w:hAnsi="Arial"/>
          <w:sz w:val="14"/>
          <w:szCs w:val="14"/>
          <w:color w:val="3D4142"/>
        </w:rPr>
        <w:t>"</w:t>
      </w:r>
      <w:r>
        <w:rPr>
          <w:rFonts w:ascii="Arial" w:cs="Arial" w:eastAsia="Arial" w:hAnsi="Arial"/>
          <w:sz w:val="14"/>
          <w:szCs w:val="14"/>
          <w:color w:val="13161A"/>
        </w:rPr>
        <w:t>Conduent")</w:t>
      </w:r>
      <w:r>
        <w:rPr>
          <w:rFonts w:ascii="Arial" w:cs="Arial" w:eastAsia="Arial" w:hAnsi="Arial"/>
          <w:sz w:val="14"/>
          <w:szCs w:val="14"/>
          <w:color w:val="3D4142"/>
        </w:rPr>
        <w:t>,</w:t>
      </w:r>
      <w:r>
        <w:rPr>
          <w:rFonts w:ascii="Arial" w:cs="Arial" w:eastAsia="Arial" w:hAnsi="Arial"/>
          <w:sz w:val="14"/>
          <w:szCs w:val="14"/>
          <w:color w:val="13161A"/>
        </w:rPr>
        <w:t xml:space="preserve"> reporting to Cliff Skelton</w:t>
      </w:r>
      <w:r>
        <w:rPr>
          <w:rFonts w:ascii="Arial" w:cs="Arial" w:eastAsia="Arial" w:hAnsi="Arial"/>
          <w:sz w:val="14"/>
          <w:szCs w:val="14"/>
          <w:color w:val="3D4142"/>
        </w:rPr>
        <w:t>,</w:t>
      </w:r>
      <w:r>
        <w:rPr>
          <w:rFonts w:ascii="Arial" w:cs="Arial" w:eastAsia="Arial" w:hAnsi="Arial"/>
          <w:sz w:val="14"/>
          <w:szCs w:val="14"/>
          <w:color w:val="13161A"/>
        </w:rPr>
        <w:t xml:space="preserve"> Chief Executive Officer. The expected start date </w:t>
      </w:r>
      <w:r>
        <w:rPr>
          <w:rFonts w:ascii="Arial" w:cs="Arial" w:eastAsia="Arial" w:hAnsi="Arial"/>
          <w:sz w:val="14"/>
          <w:szCs w:val="14"/>
          <w:color w:val="262A2B"/>
        </w:rPr>
        <w:t>is</w:t>
      </w:r>
      <w:r>
        <w:rPr>
          <w:rFonts w:ascii="Arial" w:cs="Arial" w:eastAsia="Arial" w:hAnsi="Arial"/>
          <w:sz w:val="14"/>
          <w:szCs w:val="14"/>
          <w:color w:val="13161A"/>
        </w:rPr>
        <w:t xml:space="preserve"> November 18</w:t>
      </w:r>
      <w:r>
        <w:rPr>
          <w:rFonts w:ascii="Arial" w:cs="Arial" w:eastAsia="Arial" w:hAnsi="Arial"/>
          <w:sz w:val="14"/>
          <w:szCs w:val="14"/>
          <w:color w:val="3D4142"/>
        </w:rPr>
        <w:t>,</w:t>
      </w:r>
      <w:r>
        <w:rPr>
          <w:rFonts w:ascii="Arial" w:cs="Arial" w:eastAsia="Arial" w:hAnsi="Arial"/>
          <w:sz w:val="14"/>
          <w:szCs w:val="14"/>
          <w:color w:val="13161A"/>
        </w:rPr>
        <w:t xml:space="preserve"> 2019</w:t>
      </w:r>
      <w:r>
        <w:rPr>
          <w:rFonts w:ascii="Arial" w:cs="Arial" w:eastAsia="Arial" w:hAnsi="Arial"/>
          <w:sz w:val="14"/>
          <w:szCs w:val="14"/>
          <w:color w:val="3D4142"/>
        </w:rPr>
        <w:t>,</w:t>
      </w:r>
      <w:r>
        <w:rPr>
          <w:rFonts w:ascii="Arial" w:cs="Arial" w:eastAsia="Arial" w:hAnsi="Arial"/>
          <w:sz w:val="14"/>
          <w:szCs w:val="14"/>
          <w:color w:val="13161A"/>
        </w:rPr>
        <w:t xml:space="preserve"> and although your personal/physical base location will be Miami Florida</w:t>
      </w:r>
      <w:r>
        <w:rPr>
          <w:rFonts w:ascii="Arial" w:cs="Arial" w:eastAsia="Arial" w:hAnsi="Arial"/>
          <w:sz w:val="14"/>
          <w:szCs w:val="14"/>
          <w:color w:val="3D4142"/>
        </w:rPr>
        <w:t>,</w:t>
      </w:r>
      <w:r>
        <w:rPr>
          <w:rFonts w:ascii="Arial" w:cs="Arial" w:eastAsia="Arial" w:hAnsi="Arial"/>
          <w:sz w:val="14"/>
          <w:szCs w:val="14"/>
          <w:color w:val="13161A"/>
        </w:rPr>
        <w:t xml:space="preserve"> </w:t>
      </w:r>
      <w:r>
        <w:rPr>
          <w:rFonts w:ascii="Arial" w:cs="Arial" w:eastAsia="Arial" w:hAnsi="Arial"/>
          <w:sz w:val="14"/>
          <w:szCs w:val="14"/>
          <w:color w:val="262A2B"/>
        </w:rPr>
        <w:t>your</w:t>
      </w:r>
      <w:r>
        <w:rPr>
          <w:rFonts w:ascii="Arial" w:cs="Arial" w:eastAsia="Arial" w:hAnsi="Arial"/>
          <w:sz w:val="14"/>
          <w:szCs w:val="14"/>
          <w:color w:val="13161A"/>
        </w:rPr>
        <w:t xml:space="preserve"> work location will normally be at corporate headquarters or other appropriate Conduent locations as needed</w:t>
      </w:r>
      <w:r>
        <w:rPr>
          <w:rFonts w:ascii="Arial" w:cs="Arial" w:eastAsia="Arial" w:hAnsi="Arial"/>
          <w:sz w:val="14"/>
          <w:szCs w:val="14"/>
          <w:color w:val="3D4142"/>
        </w:rPr>
        <w:t>.</w:t>
      </w:r>
      <w:r>
        <w:rPr>
          <w:rFonts w:ascii="Arial" w:cs="Arial" w:eastAsia="Arial" w:hAnsi="Arial"/>
          <w:sz w:val="14"/>
          <w:szCs w:val="14"/>
          <w:color w:val="13161A"/>
        </w:rPr>
        <w:t xml:space="preserve"> This offer is contingent upon the approval of Conduent's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3161A"/>
        </w:rPr>
        <w:t>Annual Base Salary</w:t>
      </w:r>
    </w:p>
    <w:p>
      <w:pPr>
        <w:spacing w:after="0" w:line="223"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13161A"/>
        </w:rPr>
        <w:t>Your starting base salary for this position will be paid bi-weekly</w:t>
      </w:r>
      <w:r>
        <w:rPr>
          <w:rFonts w:ascii="Arial" w:cs="Arial" w:eastAsia="Arial" w:hAnsi="Arial"/>
          <w:sz w:val="14"/>
          <w:szCs w:val="14"/>
          <w:color w:val="3D4142"/>
        </w:rPr>
        <w:t>,</w:t>
      </w:r>
      <w:r>
        <w:rPr>
          <w:rFonts w:ascii="Arial" w:cs="Arial" w:eastAsia="Arial" w:hAnsi="Arial"/>
          <w:sz w:val="14"/>
          <w:szCs w:val="14"/>
          <w:color w:val="13161A"/>
        </w:rPr>
        <w:t xml:space="preserve"> one week in arrears</w:t>
      </w:r>
      <w:r>
        <w:rPr>
          <w:rFonts w:ascii="Arial" w:cs="Arial" w:eastAsia="Arial" w:hAnsi="Arial"/>
          <w:sz w:val="14"/>
          <w:szCs w:val="14"/>
          <w:color w:val="3D4142"/>
        </w:rPr>
        <w:t>,</w:t>
      </w:r>
      <w:r>
        <w:rPr>
          <w:rFonts w:ascii="Arial" w:cs="Arial" w:eastAsia="Arial" w:hAnsi="Arial"/>
          <w:sz w:val="14"/>
          <w:szCs w:val="14"/>
          <w:color w:val="13161A"/>
        </w:rPr>
        <w:t xml:space="preserve"> at the annualized rate of $450</w:t>
      </w:r>
      <w:r>
        <w:rPr>
          <w:rFonts w:ascii="Arial" w:cs="Arial" w:eastAsia="Arial" w:hAnsi="Arial"/>
          <w:sz w:val="14"/>
          <w:szCs w:val="14"/>
          <w:color w:val="3D4142"/>
        </w:rPr>
        <w:t>,</w:t>
      </w:r>
      <w:r>
        <w:rPr>
          <w:rFonts w:ascii="Arial" w:cs="Arial" w:eastAsia="Arial" w:hAnsi="Arial"/>
          <w:sz w:val="14"/>
          <w:szCs w:val="14"/>
          <w:color w:val="13161A"/>
        </w:rPr>
        <w:t>000</w:t>
      </w:r>
      <w:r>
        <w:rPr>
          <w:rFonts w:ascii="Arial" w:cs="Arial" w:eastAsia="Arial" w:hAnsi="Arial"/>
          <w:sz w:val="14"/>
          <w:szCs w:val="14"/>
          <w:color w:val="3D4142"/>
        </w:rPr>
        <w:t>.</w:t>
      </w:r>
      <w:r>
        <w:rPr>
          <w:rFonts w:ascii="Arial" w:cs="Arial" w:eastAsia="Arial" w:hAnsi="Arial"/>
          <w:sz w:val="14"/>
          <w:szCs w:val="14"/>
          <w:color w:val="13161A"/>
        </w:rPr>
        <w:t xml:space="preserve"> Your salary will be </w:t>
      </w:r>
      <w:r>
        <w:rPr>
          <w:rFonts w:ascii="Arial" w:cs="Arial" w:eastAsia="Arial" w:hAnsi="Arial"/>
          <w:sz w:val="14"/>
          <w:szCs w:val="14"/>
          <w:color w:val="262A2B"/>
        </w:rPr>
        <w:t>reviewed</w:t>
      </w:r>
      <w:r>
        <w:rPr>
          <w:rFonts w:ascii="Arial" w:cs="Arial" w:eastAsia="Arial" w:hAnsi="Arial"/>
          <w:sz w:val="14"/>
          <w:szCs w:val="14"/>
          <w:color w:val="13161A"/>
        </w:rPr>
        <w:t xml:space="preserve"> annually</w:t>
      </w:r>
      <w:r>
        <w:rPr>
          <w:rFonts w:ascii="Arial" w:cs="Arial" w:eastAsia="Arial" w:hAnsi="Arial"/>
          <w:sz w:val="14"/>
          <w:szCs w:val="14"/>
          <w:color w:val="3D4142"/>
        </w:rPr>
        <w:t>,</w:t>
      </w:r>
      <w:r>
        <w:rPr>
          <w:rFonts w:ascii="Arial" w:cs="Arial" w:eastAsia="Arial" w:hAnsi="Arial"/>
          <w:sz w:val="14"/>
          <w:szCs w:val="14"/>
          <w:color w:val="13161A"/>
        </w:rPr>
        <w:t xml:space="preserve"> and any changes will </w:t>
      </w:r>
      <w:r>
        <w:rPr>
          <w:rFonts w:ascii="Arial" w:cs="Arial" w:eastAsia="Arial" w:hAnsi="Arial"/>
          <w:sz w:val="14"/>
          <w:szCs w:val="14"/>
          <w:color w:val="262A2B"/>
        </w:rPr>
        <w:t xml:space="preserve">require </w:t>
      </w:r>
      <w:r>
        <w:rPr>
          <w:rFonts w:ascii="Arial" w:cs="Arial" w:eastAsia="Arial" w:hAnsi="Arial"/>
          <w:sz w:val="14"/>
          <w:szCs w:val="14"/>
          <w:color w:val="13161A"/>
        </w:rPr>
        <w:t>the approval of the Compensation Committee of the Board of Directors</w:t>
      </w:r>
      <w:r>
        <w:rPr>
          <w:rFonts w:ascii="Arial" w:cs="Arial" w:eastAsia="Arial" w:hAnsi="Arial"/>
          <w:sz w:val="14"/>
          <w:szCs w:val="14"/>
          <w:color w:val="3D4142"/>
        </w:rPr>
        <w: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3161A"/>
        </w:rPr>
        <w:t>Annual Performance Incentive Plan</w:t>
      </w:r>
    </w:p>
    <w:p>
      <w:pPr>
        <w:spacing w:after="0" w:line="223"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13161A"/>
        </w:rPr>
        <w:t xml:space="preserve">You will be eligible to participate in the Annual Performance Incentive Plan </w:t>
      </w:r>
      <w:r>
        <w:rPr>
          <w:rFonts w:ascii="Arial" w:cs="Arial" w:eastAsia="Arial" w:hAnsi="Arial"/>
          <w:sz w:val="14"/>
          <w:szCs w:val="14"/>
          <w:color w:val="262A2B"/>
        </w:rPr>
        <w:t>("APIP")</w:t>
      </w:r>
      <w:r>
        <w:rPr>
          <w:rFonts w:ascii="Arial" w:cs="Arial" w:eastAsia="Arial" w:hAnsi="Arial"/>
          <w:sz w:val="14"/>
          <w:szCs w:val="14"/>
          <w:color w:val="13161A"/>
        </w:rPr>
        <w:t xml:space="preserve"> for 2020 at an annual target level of 70% of base salary with a potential payout </w:t>
      </w:r>
      <w:r>
        <w:rPr>
          <w:rFonts w:ascii="Arial" w:cs="Arial" w:eastAsia="Arial" w:hAnsi="Arial"/>
          <w:sz w:val="14"/>
          <w:szCs w:val="14"/>
          <w:color w:val="3D4142"/>
        </w:rPr>
        <w:t>r</w:t>
      </w:r>
      <w:r>
        <w:rPr>
          <w:rFonts w:ascii="Arial" w:cs="Arial" w:eastAsia="Arial" w:hAnsi="Arial"/>
          <w:sz w:val="14"/>
          <w:szCs w:val="14"/>
          <w:color w:val="13161A"/>
        </w:rPr>
        <w:t xml:space="preserve">ange of zero </w:t>
      </w:r>
      <w:r>
        <w:rPr>
          <w:rFonts w:ascii="Arial" w:cs="Arial" w:eastAsia="Arial" w:hAnsi="Arial"/>
          <w:sz w:val="14"/>
          <w:szCs w:val="14"/>
          <w:color w:val="262A2B"/>
        </w:rPr>
        <w:t>(0)</w:t>
      </w:r>
      <w:r>
        <w:rPr>
          <w:rFonts w:ascii="Arial" w:cs="Arial" w:eastAsia="Arial" w:hAnsi="Arial"/>
          <w:sz w:val="14"/>
          <w:szCs w:val="14"/>
          <w:color w:val="13161A"/>
        </w:rPr>
        <w:t xml:space="preserve"> to two hundred percent </w:t>
      </w:r>
      <w:r>
        <w:rPr>
          <w:rFonts w:ascii="Arial" w:cs="Arial" w:eastAsia="Arial" w:hAnsi="Arial"/>
          <w:sz w:val="14"/>
          <w:szCs w:val="14"/>
          <w:color w:val="262A2B"/>
        </w:rPr>
        <w:t>(200%)</w:t>
      </w:r>
      <w:r>
        <w:rPr>
          <w:rFonts w:ascii="Arial" w:cs="Arial" w:eastAsia="Arial" w:hAnsi="Arial"/>
          <w:sz w:val="14"/>
          <w:szCs w:val="14"/>
          <w:color w:val="13161A"/>
        </w:rPr>
        <w:t xml:space="preserve"> of your target. Your final award will be based on company and individual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3161A"/>
        </w:rPr>
        <w:t>Executive Long-Term Incentive Plan</w:t>
      </w:r>
    </w:p>
    <w:p>
      <w:pPr>
        <w:spacing w:after="0" w:line="223"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13161A"/>
        </w:rPr>
        <w:t xml:space="preserve">You will be eligible to participate in the </w:t>
      </w:r>
      <w:r>
        <w:rPr>
          <w:rFonts w:ascii="Arial" w:cs="Arial" w:eastAsia="Arial" w:hAnsi="Arial"/>
          <w:sz w:val="14"/>
          <w:szCs w:val="14"/>
          <w:color w:val="262A2B"/>
        </w:rPr>
        <w:t>Long-Term Incentive</w:t>
      </w:r>
      <w:r>
        <w:rPr>
          <w:rFonts w:ascii="Arial" w:cs="Arial" w:eastAsia="Arial" w:hAnsi="Arial"/>
          <w:sz w:val="14"/>
          <w:szCs w:val="14"/>
          <w:color w:val="13161A"/>
        </w:rPr>
        <w:t xml:space="preserve"> Plan </w:t>
      </w:r>
      <w:r>
        <w:rPr>
          <w:rFonts w:ascii="Arial" w:cs="Arial" w:eastAsia="Arial" w:hAnsi="Arial"/>
          <w:sz w:val="14"/>
          <w:szCs w:val="14"/>
          <w:color w:val="262A2B"/>
        </w:rPr>
        <w:t>("L</w:t>
      </w:r>
      <w:r>
        <w:rPr>
          <w:rFonts w:ascii="Arial" w:cs="Arial" w:eastAsia="Arial" w:hAnsi="Arial"/>
          <w:sz w:val="14"/>
          <w:szCs w:val="14"/>
          <w:color w:val="13161A"/>
        </w:rPr>
        <w:t>TIP") for 2020 with a target award of $735</w:t>
      </w:r>
      <w:r>
        <w:rPr>
          <w:rFonts w:ascii="Arial" w:cs="Arial" w:eastAsia="Arial" w:hAnsi="Arial"/>
          <w:sz w:val="14"/>
          <w:szCs w:val="14"/>
          <w:color w:val="3D4142"/>
        </w:rPr>
        <w:t>,</w:t>
      </w:r>
      <w:r>
        <w:rPr>
          <w:rFonts w:ascii="Arial" w:cs="Arial" w:eastAsia="Arial" w:hAnsi="Arial"/>
          <w:sz w:val="14"/>
          <w:szCs w:val="14"/>
          <w:color w:val="13161A"/>
        </w:rPr>
        <w:t>000 at grant date</w:t>
      </w:r>
      <w:r>
        <w:rPr>
          <w:rFonts w:ascii="Arial" w:cs="Arial" w:eastAsia="Arial" w:hAnsi="Arial"/>
          <w:sz w:val="14"/>
          <w:szCs w:val="14"/>
          <w:color w:val="3D4142"/>
        </w:rPr>
        <w:t>.</w:t>
      </w:r>
      <w:r>
        <w:rPr>
          <w:rFonts w:ascii="Arial" w:cs="Arial" w:eastAsia="Arial" w:hAnsi="Arial"/>
          <w:sz w:val="14"/>
          <w:szCs w:val="14"/>
          <w:color w:val="13161A"/>
        </w:rPr>
        <w:t xml:space="preserve"> Grants are typically made in April and</w:t>
      </w:r>
      <w:r>
        <w:rPr>
          <w:rFonts w:ascii="Arial" w:cs="Arial" w:eastAsia="Arial" w:hAnsi="Arial"/>
          <w:sz w:val="14"/>
          <w:szCs w:val="14"/>
          <w:color w:val="3D4142"/>
        </w:rPr>
        <w:t>,</w:t>
      </w:r>
      <w:r>
        <w:rPr>
          <w:rFonts w:ascii="Arial" w:cs="Arial" w:eastAsia="Arial" w:hAnsi="Arial"/>
          <w:sz w:val="14"/>
          <w:szCs w:val="14"/>
          <w:color w:val="13161A"/>
        </w:rPr>
        <w:t xml:space="preserve"> in accordance with the Conduent Incorporated Performance Incentive Plan (or any successor plan that is operative at the time)</w:t>
      </w:r>
      <w:r>
        <w:rPr>
          <w:rFonts w:ascii="Arial" w:cs="Arial" w:eastAsia="Arial" w:hAnsi="Arial"/>
          <w:sz w:val="14"/>
          <w:szCs w:val="14"/>
          <w:color w:val="3D4142"/>
        </w:rPr>
        <w:t>,</w:t>
      </w:r>
      <w:r>
        <w:rPr>
          <w:rFonts w:ascii="Arial" w:cs="Arial" w:eastAsia="Arial" w:hAnsi="Arial"/>
          <w:sz w:val="14"/>
          <w:szCs w:val="14"/>
          <w:color w:val="13161A"/>
        </w:rPr>
        <w:t xml:space="preserve"> are subject to the terms and conditions approved by </w:t>
      </w:r>
      <w:r>
        <w:rPr>
          <w:rFonts w:ascii="Arial" w:cs="Arial" w:eastAsia="Arial" w:hAnsi="Arial"/>
          <w:sz w:val="14"/>
          <w:szCs w:val="14"/>
          <w:color w:val="262A2B"/>
        </w:rPr>
        <w:t xml:space="preserve">the </w:t>
      </w:r>
      <w:r>
        <w:rPr>
          <w:rFonts w:ascii="Arial" w:cs="Arial" w:eastAsia="Arial" w:hAnsi="Arial"/>
          <w:sz w:val="14"/>
          <w:szCs w:val="14"/>
          <w:color w:val="13161A"/>
        </w:rPr>
        <w:t>Compensation Committee and set forth in individual award agreements each year.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3161A"/>
        </w:rPr>
        <w:t>Signing Award</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4"/>
          <w:szCs w:val="14"/>
          <w:color w:val="13161A"/>
        </w:rPr>
        <w:t>You will also be eligible to receive a signing grant of $200</w:t>
      </w:r>
      <w:r>
        <w:rPr>
          <w:rFonts w:ascii="Arial" w:cs="Arial" w:eastAsia="Arial" w:hAnsi="Arial"/>
          <w:sz w:val="14"/>
          <w:szCs w:val="14"/>
          <w:color w:val="3D4142"/>
        </w:rPr>
        <w:t>,</w:t>
      </w:r>
      <w:r>
        <w:rPr>
          <w:rFonts w:ascii="Arial" w:cs="Arial" w:eastAsia="Arial" w:hAnsi="Arial"/>
          <w:sz w:val="14"/>
          <w:szCs w:val="14"/>
          <w:color w:val="13161A"/>
        </w:rPr>
        <w:t>000. This special award will consist exclusively of restricted stock units and be granted as soon as practicable following your start date</w:t>
      </w:r>
      <w:r>
        <w:rPr>
          <w:rFonts w:ascii="Arial" w:cs="Arial" w:eastAsia="Arial" w:hAnsi="Arial"/>
          <w:sz w:val="14"/>
          <w:szCs w:val="14"/>
          <w:color w:val="3D4142"/>
        </w:rPr>
        <w:t>.</w:t>
      </w:r>
      <w:r>
        <w:rPr>
          <w:rFonts w:ascii="Arial" w:cs="Arial" w:eastAsia="Arial" w:hAnsi="Arial"/>
          <w:sz w:val="14"/>
          <w:szCs w:val="14"/>
          <w:color w:val="13161A"/>
        </w:rPr>
        <w:t xml:space="preserve"> Subject to the terms and conditions of your award agreement</w:t>
      </w:r>
      <w:r>
        <w:rPr>
          <w:rFonts w:ascii="Arial" w:cs="Arial" w:eastAsia="Arial" w:hAnsi="Arial"/>
          <w:sz w:val="14"/>
          <w:szCs w:val="14"/>
          <w:color w:val="3D4142"/>
        </w:rPr>
        <w:t>,</w:t>
      </w:r>
      <w:r>
        <w:rPr>
          <w:rFonts w:ascii="Arial" w:cs="Arial" w:eastAsia="Arial" w:hAnsi="Arial"/>
          <w:sz w:val="14"/>
          <w:szCs w:val="14"/>
          <w:color w:val="13161A"/>
        </w:rPr>
        <w:t xml:space="preserve"> the </w:t>
      </w:r>
      <w:r>
        <w:rPr>
          <w:rFonts w:ascii="Arial" w:cs="Arial" w:eastAsia="Arial" w:hAnsi="Arial"/>
          <w:sz w:val="14"/>
          <w:szCs w:val="14"/>
          <w:color w:val="262A2B"/>
        </w:rPr>
        <w:t>restricted</w:t>
      </w:r>
      <w:r>
        <w:rPr>
          <w:rFonts w:ascii="Arial" w:cs="Arial" w:eastAsia="Arial" w:hAnsi="Arial"/>
          <w:sz w:val="14"/>
          <w:szCs w:val="14"/>
          <w:color w:val="13161A"/>
        </w:rPr>
        <w:t xml:space="preserve"> stock units will vest ratably in equal installments over a three (3</w:t>
      </w:r>
      <w:r>
        <w:rPr>
          <w:rFonts w:ascii="Arial" w:cs="Arial" w:eastAsia="Arial" w:hAnsi="Arial"/>
          <w:sz w:val="14"/>
          <w:szCs w:val="14"/>
          <w:color w:val="3D4142"/>
        </w:rPr>
        <w:t>)</w:t>
      </w:r>
      <w:r>
        <w:rPr>
          <w:rFonts w:ascii="Arial" w:cs="Arial" w:eastAsia="Arial" w:hAnsi="Arial"/>
          <w:sz w:val="14"/>
          <w:szCs w:val="14"/>
          <w:color w:val="13161A"/>
        </w:rPr>
        <w:t xml:space="preserve"> year period.</w:t>
      </w:r>
    </w:p>
    <w:p>
      <w:pPr>
        <w:sectPr>
          <w:pgSz w:w="11900" w:h="16838" w:orient="portrait"/>
          <w:cols w:equalWidth="0" w:num="1">
            <w:col w:w="11460"/>
          </w:cols>
          <w:pgMar w:left="220" w:top="317"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3051F2"/>
        </w:rPr>
        <w:t>EXHIBIT 10.6(i)</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15181A"/>
        </w:rPr>
        <w:t>November 5</w:t>
      </w:r>
      <w:r>
        <w:rPr>
          <w:rFonts w:ascii="Arial" w:cs="Arial" w:eastAsia="Arial" w:hAnsi="Arial"/>
          <w:sz w:val="14"/>
          <w:szCs w:val="14"/>
          <w:color w:val="3B3D3F"/>
        </w:rPr>
        <w:t>,</w:t>
      </w:r>
      <w:r>
        <w:rPr>
          <w:rFonts w:ascii="Arial" w:cs="Arial" w:eastAsia="Arial" w:hAnsi="Arial"/>
          <w:sz w:val="14"/>
          <w:szCs w:val="14"/>
          <w:color w:val="15181A"/>
        </w:rPr>
        <w:t xml:space="preserve">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15181A"/>
        </w:rPr>
        <w:t>Michael Krawitz - Page 2 of 3</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5181A"/>
        </w:rPr>
        <w:t>Benefits</w:t>
      </w:r>
    </w:p>
    <w:p>
      <w:pPr>
        <w:spacing w:after="0" w:line="223"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15181A"/>
        </w:rPr>
        <w:t>We are pleased to offer you a comprehensive benefits package</w:t>
      </w:r>
      <w:r>
        <w:rPr>
          <w:rFonts w:ascii="Arial" w:cs="Arial" w:eastAsia="Arial" w:hAnsi="Arial"/>
          <w:sz w:val="14"/>
          <w:szCs w:val="14"/>
          <w:color w:val="3B3D3F"/>
        </w:rPr>
        <w:t>,</w:t>
      </w:r>
      <w:r>
        <w:rPr>
          <w:rFonts w:ascii="Arial" w:cs="Arial" w:eastAsia="Arial" w:hAnsi="Arial"/>
          <w:sz w:val="14"/>
          <w:szCs w:val="14"/>
          <w:color w:val="15181A"/>
        </w:rPr>
        <w:t xml:space="preserve"> including medical</w:t>
      </w:r>
      <w:r>
        <w:rPr>
          <w:rFonts w:ascii="Arial" w:cs="Arial" w:eastAsia="Arial" w:hAnsi="Arial"/>
          <w:sz w:val="14"/>
          <w:szCs w:val="14"/>
          <w:color w:val="3B3D3F"/>
        </w:rPr>
        <w:t>,</w:t>
      </w:r>
      <w:r>
        <w:rPr>
          <w:rFonts w:ascii="Arial" w:cs="Arial" w:eastAsia="Arial" w:hAnsi="Arial"/>
          <w:sz w:val="14"/>
          <w:szCs w:val="14"/>
          <w:color w:val="15181A"/>
        </w:rPr>
        <w:t xml:space="preserve"> dental</w:t>
      </w:r>
      <w:r>
        <w:rPr>
          <w:rFonts w:ascii="Arial" w:cs="Arial" w:eastAsia="Arial" w:hAnsi="Arial"/>
          <w:sz w:val="14"/>
          <w:szCs w:val="14"/>
          <w:color w:val="4B4B4D"/>
        </w:rPr>
        <w:t>,</w:t>
      </w:r>
      <w:r>
        <w:rPr>
          <w:rFonts w:ascii="Arial" w:cs="Arial" w:eastAsia="Arial" w:hAnsi="Arial"/>
          <w:sz w:val="14"/>
          <w:szCs w:val="14"/>
          <w:color w:val="15181A"/>
        </w:rPr>
        <w:t xml:space="preserve"> vision care</w:t>
      </w:r>
      <w:r>
        <w:rPr>
          <w:rFonts w:ascii="Arial" w:cs="Arial" w:eastAsia="Arial" w:hAnsi="Arial"/>
          <w:sz w:val="14"/>
          <w:szCs w:val="14"/>
          <w:color w:val="3B3D3F"/>
        </w:rPr>
        <w:t>,</w:t>
      </w:r>
      <w:r>
        <w:rPr>
          <w:rFonts w:ascii="Arial" w:cs="Arial" w:eastAsia="Arial" w:hAnsi="Arial"/>
          <w:sz w:val="14"/>
          <w:szCs w:val="14"/>
          <w:color w:val="15181A"/>
        </w:rPr>
        <w:t xml:space="preserve"> disability income protection</w:t>
      </w:r>
      <w:r>
        <w:rPr>
          <w:rFonts w:ascii="Arial" w:cs="Arial" w:eastAsia="Arial" w:hAnsi="Arial"/>
          <w:sz w:val="14"/>
          <w:szCs w:val="14"/>
          <w:color w:val="3B3D3F"/>
        </w:rPr>
        <w:t>,</w:t>
      </w:r>
      <w:r>
        <w:rPr>
          <w:rFonts w:ascii="Arial" w:cs="Arial" w:eastAsia="Arial" w:hAnsi="Arial"/>
          <w:sz w:val="14"/>
          <w:szCs w:val="14"/>
          <w:color w:val="15181A"/>
        </w:rPr>
        <w:t xml:space="preserve"> accident insurance</w:t>
      </w:r>
      <w:r>
        <w:rPr>
          <w:rFonts w:ascii="Arial" w:cs="Arial" w:eastAsia="Arial" w:hAnsi="Arial"/>
          <w:sz w:val="14"/>
          <w:szCs w:val="14"/>
          <w:color w:val="3B3D3F"/>
        </w:rPr>
        <w:t>,</w:t>
      </w:r>
      <w:r>
        <w:rPr>
          <w:rFonts w:ascii="Arial" w:cs="Arial" w:eastAsia="Arial" w:hAnsi="Arial"/>
          <w:sz w:val="14"/>
          <w:szCs w:val="14"/>
          <w:color w:val="15181A"/>
        </w:rPr>
        <w:t xml:space="preserve"> life insurance</w:t>
      </w:r>
      <w:r>
        <w:rPr>
          <w:rFonts w:ascii="Arial" w:cs="Arial" w:eastAsia="Arial" w:hAnsi="Arial"/>
          <w:sz w:val="14"/>
          <w:szCs w:val="14"/>
          <w:color w:val="3B3D3F"/>
        </w:rPr>
        <w:t>,</w:t>
      </w:r>
      <w:r>
        <w:rPr>
          <w:rFonts w:ascii="Arial" w:cs="Arial" w:eastAsia="Arial" w:hAnsi="Arial"/>
          <w:sz w:val="14"/>
          <w:szCs w:val="14"/>
          <w:color w:val="15181A"/>
        </w:rPr>
        <w:t xml:space="preserve"> and 401(k) Savings Plan</w:t>
      </w:r>
      <w:r>
        <w:rPr>
          <w:rFonts w:ascii="Arial" w:cs="Arial" w:eastAsia="Arial" w:hAnsi="Arial"/>
          <w:sz w:val="14"/>
          <w:szCs w:val="14"/>
          <w:color w:val="3B3D3F"/>
        </w:rPr>
        <w:t>.</w:t>
      </w:r>
      <w:r>
        <w:rPr>
          <w:rFonts w:ascii="Arial" w:cs="Arial" w:eastAsia="Arial" w:hAnsi="Arial"/>
          <w:sz w:val="14"/>
          <w:szCs w:val="14"/>
          <w:color w:val="15181A"/>
        </w:rPr>
        <w:t xml:space="preserve"> You are eligible for coverage on your first day of employment. You are also eligible to participate in the Flexible Vacation Plan</w:t>
      </w:r>
      <w:r>
        <w:rPr>
          <w:rFonts w:ascii="Arial" w:cs="Arial" w:eastAsia="Arial" w:hAnsi="Arial"/>
          <w:sz w:val="14"/>
          <w:szCs w:val="14"/>
          <w:color w:val="3B3D3F"/>
        </w:rPr>
        <w:t>.</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15181A"/>
        </w:rPr>
        <w:t>As a Corporate Officer at Conduent, you will be eligible for financial and tax planning (up to $15,000 per year); an annual physical exam through Conduent's preferred provider; and annual credit monitoring through Conduent's preferred provider (up to $350 per year)</w:t>
      </w:r>
      <w:r>
        <w:rPr>
          <w:rFonts w:ascii="Arial" w:cs="Arial" w:eastAsia="Arial" w:hAnsi="Arial"/>
          <w:sz w:val="14"/>
          <w:szCs w:val="14"/>
          <w:color w:val="4B4B4D"/>
        </w:rPr>
        <w:t>.</w:t>
      </w:r>
    </w:p>
    <w:p>
      <w:pPr>
        <w:spacing w:after="0" w:line="172" w:lineRule="exact"/>
        <w:rPr>
          <w:sz w:val="20"/>
          <w:szCs w:val="20"/>
          <w:color w:val="auto"/>
        </w:rPr>
      </w:pPr>
    </w:p>
    <w:p>
      <w:pPr>
        <w:ind w:right="580"/>
        <w:spacing w:after="0" w:line="273" w:lineRule="auto"/>
        <w:rPr>
          <w:sz w:val="20"/>
          <w:szCs w:val="20"/>
          <w:color w:val="auto"/>
        </w:rPr>
      </w:pPr>
      <w:r>
        <w:rPr>
          <w:rFonts w:ascii="Arial" w:cs="Arial" w:eastAsia="Arial" w:hAnsi="Arial"/>
          <w:sz w:val="14"/>
          <w:szCs w:val="14"/>
          <w:color w:val="15181A"/>
        </w:rPr>
        <w:t>You will be eligible for severance under the Executive Severance Policy</w:t>
      </w:r>
      <w:r>
        <w:rPr>
          <w:rFonts w:ascii="Arial" w:cs="Arial" w:eastAsia="Arial" w:hAnsi="Arial"/>
          <w:sz w:val="14"/>
          <w:szCs w:val="14"/>
          <w:color w:val="3B3D3F"/>
        </w:rPr>
        <w:t>.</w:t>
      </w:r>
      <w:r>
        <w:rPr>
          <w:rFonts w:ascii="Arial" w:cs="Arial" w:eastAsia="Arial" w:hAnsi="Arial"/>
          <w:sz w:val="14"/>
          <w:szCs w:val="14"/>
          <w:color w:val="15181A"/>
        </w:rPr>
        <w:t xml:space="preserve"> You will be covered as a participant under the Conduent Incorporated Executive Change in Control Severance Plan</w:t>
      </w:r>
      <w:r>
        <w:rPr>
          <w:rFonts w:ascii="Arial" w:cs="Arial" w:eastAsia="Arial" w:hAnsi="Arial"/>
          <w:sz w:val="14"/>
          <w:szCs w:val="14"/>
          <w:color w:val="3B3D3F"/>
        </w:rPr>
        <w:t>,</w:t>
      </w:r>
      <w:r>
        <w:rPr>
          <w:rFonts w:ascii="Arial" w:cs="Arial" w:eastAsia="Arial" w:hAnsi="Arial"/>
          <w:sz w:val="14"/>
          <w:szCs w:val="14"/>
          <w:color w:val="15181A"/>
        </w:rPr>
        <w:t xml:space="preserve"> subject to the approval of the Compensation Committee of the Board of Directors.</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5181A"/>
        </w:rPr>
        <w:t>SEC Reporting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15181A"/>
        </w:rPr>
        <w:t>As a Corporate Officer, you will be subject to Securities and Exchange Commission (</w:t>
      </w:r>
      <w:r>
        <w:rPr>
          <w:rFonts w:ascii="Arial" w:cs="Arial" w:eastAsia="Arial" w:hAnsi="Arial"/>
          <w:sz w:val="14"/>
          <w:szCs w:val="14"/>
          <w:color w:val="3B3D3F"/>
        </w:rPr>
        <w:t>"</w:t>
      </w:r>
      <w:r>
        <w:rPr>
          <w:rFonts w:ascii="Arial" w:cs="Arial" w:eastAsia="Arial" w:hAnsi="Arial"/>
          <w:sz w:val="14"/>
          <w:szCs w:val="14"/>
          <w:color w:val="15181A"/>
        </w:rPr>
        <w:t>SEC</w:t>
      </w:r>
      <w:r>
        <w:rPr>
          <w:rFonts w:ascii="Arial" w:cs="Arial" w:eastAsia="Arial" w:hAnsi="Arial"/>
          <w:sz w:val="14"/>
          <w:szCs w:val="14"/>
          <w:color w:val="3B3D3F"/>
        </w:rPr>
        <w:t>"</w:t>
      </w:r>
      <w:r>
        <w:rPr>
          <w:rFonts w:ascii="Arial" w:cs="Arial" w:eastAsia="Arial" w:hAnsi="Arial"/>
          <w:sz w:val="14"/>
          <w:szCs w:val="14"/>
          <w:color w:val="15181A"/>
        </w:rPr>
        <w:t>) reporting requirements and rules.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5181A"/>
        </w:rPr>
        <w:t>Other Conditions</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15181A"/>
        </w:rPr>
        <w:t>It is our sincere hope and belief that our relationship will be a beneficial one</w:t>
      </w:r>
      <w:r>
        <w:rPr>
          <w:rFonts w:ascii="Arial" w:cs="Arial" w:eastAsia="Arial" w:hAnsi="Arial"/>
          <w:sz w:val="14"/>
          <w:szCs w:val="14"/>
          <w:color w:val="4B4B4D"/>
        </w:rPr>
        <w:t>,</w:t>
      </w:r>
      <w:r>
        <w:rPr>
          <w:rFonts w:ascii="Arial" w:cs="Arial" w:eastAsia="Arial" w:hAnsi="Arial"/>
          <w:sz w:val="14"/>
          <w:szCs w:val="14"/>
          <w:color w:val="15181A"/>
        </w:rPr>
        <w:t xml:space="preserve"> however</w:t>
      </w:r>
      <w:r>
        <w:rPr>
          <w:rFonts w:ascii="Arial" w:cs="Arial" w:eastAsia="Arial" w:hAnsi="Arial"/>
          <w:sz w:val="14"/>
          <w:szCs w:val="14"/>
          <w:color w:val="3B3D3F"/>
        </w:rPr>
        <w:t>,</w:t>
      </w:r>
      <w:r>
        <w:rPr>
          <w:rFonts w:ascii="Arial" w:cs="Arial" w:eastAsia="Arial" w:hAnsi="Arial"/>
          <w:sz w:val="14"/>
          <w:szCs w:val="14"/>
          <w:color w:val="15181A"/>
        </w:rPr>
        <w:t xml:space="preserve"> Conduent does not offer employment on a fixed term basis</w:t>
      </w:r>
      <w:r>
        <w:rPr>
          <w:rFonts w:ascii="Arial" w:cs="Arial" w:eastAsia="Arial" w:hAnsi="Arial"/>
          <w:sz w:val="14"/>
          <w:szCs w:val="14"/>
          <w:color w:val="3B3D3F"/>
        </w:rPr>
        <w:t>.</w:t>
      </w:r>
      <w:r>
        <w:rPr>
          <w:rFonts w:ascii="Arial" w:cs="Arial" w:eastAsia="Arial" w:hAnsi="Arial"/>
          <w:sz w:val="14"/>
          <w:szCs w:val="14"/>
          <w:color w:val="15181A"/>
        </w:rPr>
        <w:t xml:space="preserve"> Unless otherwise prohibited by law</w:t>
      </w:r>
      <w:r>
        <w:rPr>
          <w:rFonts w:ascii="Arial" w:cs="Arial" w:eastAsia="Arial" w:hAnsi="Arial"/>
          <w:sz w:val="14"/>
          <w:szCs w:val="14"/>
          <w:color w:val="3B3D3F"/>
        </w:rPr>
        <w:t>,</w:t>
      </w:r>
      <w:r>
        <w:rPr>
          <w:rFonts w:ascii="Arial" w:cs="Arial" w:eastAsia="Arial" w:hAnsi="Arial"/>
          <w:sz w:val="14"/>
          <w:szCs w:val="14"/>
          <w:color w:val="15181A"/>
        </w:rPr>
        <w:t xml:space="preserve"> this letter should not be considered in any manner as a proposed contract for employment for any fixed term</w:t>
      </w:r>
      <w:r>
        <w:rPr>
          <w:rFonts w:ascii="Arial" w:cs="Arial" w:eastAsia="Arial" w:hAnsi="Arial"/>
          <w:sz w:val="14"/>
          <w:szCs w:val="14"/>
          <w:color w:val="4B4B4D"/>
        </w:rPr>
        <w:t>,</w:t>
      </w:r>
      <w:r>
        <w:rPr>
          <w:rFonts w:ascii="Arial" w:cs="Arial" w:eastAsia="Arial" w:hAnsi="Arial"/>
          <w:sz w:val="14"/>
          <w:szCs w:val="14"/>
          <w:color w:val="15181A"/>
        </w:rPr>
        <w:t xml:space="preserve"> as your employment will be "at will." That </w:t>
      </w:r>
      <w:r>
        <w:rPr>
          <w:rFonts w:ascii="Arial" w:cs="Arial" w:eastAsia="Arial" w:hAnsi="Arial"/>
          <w:sz w:val="14"/>
          <w:szCs w:val="14"/>
          <w:color w:val="3B3D3F"/>
        </w:rPr>
        <w:t>i</w:t>
      </w:r>
      <w:r>
        <w:rPr>
          <w:rFonts w:ascii="Arial" w:cs="Arial" w:eastAsia="Arial" w:hAnsi="Arial"/>
          <w:sz w:val="14"/>
          <w:szCs w:val="14"/>
          <w:color w:val="15181A"/>
        </w:rPr>
        <w:t>s</w:t>
      </w:r>
      <w:r>
        <w:rPr>
          <w:rFonts w:ascii="Arial" w:cs="Arial" w:eastAsia="Arial" w:hAnsi="Arial"/>
          <w:sz w:val="14"/>
          <w:szCs w:val="14"/>
          <w:color w:val="3B3D3F"/>
        </w:rPr>
        <w:t>,</w:t>
      </w:r>
      <w:r>
        <w:rPr>
          <w:rFonts w:ascii="Arial" w:cs="Arial" w:eastAsia="Arial" w:hAnsi="Arial"/>
          <w:sz w:val="14"/>
          <w:szCs w:val="14"/>
          <w:color w:val="15181A"/>
        </w:rPr>
        <w:t xml:space="preserve"> either you or Conduent can terminate this relationship at any time</w:t>
      </w:r>
      <w:r>
        <w:rPr>
          <w:rFonts w:ascii="Arial" w:cs="Arial" w:eastAsia="Arial" w:hAnsi="Arial"/>
          <w:sz w:val="14"/>
          <w:szCs w:val="14"/>
          <w:color w:val="3B3D3F"/>
        </w:rPr>
        <w:t>,</w:t>
      </w:r>
      <w:r>
        <w:rPr>
          <w:rFonts w:ascii="Arial" w:cs="Arial" w:eastAsia="Arial" w:hAnsi="Arial"/>
          <w:sz w:val="14"/>
          <w:szCs w:val="14"/>
          <w:color w:val="15181A"/>
        </w:rPr>
        <w:t xml:space="preserve"> with or without cause or notice</w:t>
      </w:r>
      <w:r>
        <w:rPr>
          <w:rFonts w:ascii="Arial" w:cs="Arial" w:eastAsia="Arial" w:hAnsi="Arial"/>
          <w:sz w:val="14"/>
          <w:szCs w:val="14"/>
          <w:color w:val="3B3D3F"/>
        </w:rPr>
        <w:t>.</w:t>
      </w:r>
      <w:r>
        <w:rPr>
          <w:rFonts w:ascii="Arial" w:cs="Arial" w:eastAsia="Arial" w:hAnsi="Arial"/>
          <w:sz w:val="14"/>
          <w:szCs w:val="14"/>
          <w:color w:val="15181A"/>
        </w:rPr>
        <w:t xml:space="preserve"> In addition</w:t>
      </w:r>
      <w:r>
        <w:rPr>
          <w:rFonts w:ascii="Arial" w:cs="Arial" w:eastAsia="Arial" w:hAnsi="Arial"/>
          <w:sz w:val="14"/>
          <w:szCs w:val="14"/>
          <w:color w:val="4B4B4D"/>
        </w:rPr>
        <w:t>,</w:t>
      </w:r>
      <w:r>
        <w:rPr>
          <w:rFonts w:ascii="Arial" w:cs="Arial" w:eastAsia="Arial" w:hAnsi="Arial"/>
          <w:sz w:val="14"/>
          <w:szCs w:val="14"/>
          <w:color w:val="15181A"/>
        </w:rPr>
        <w:t xml:space="preserve"> Conduent may change any term or condition of your employment at will</w:t>
      </w:r>
      <w:r>
        <w:rPr>
          <w:rFonts w:ascii="Arial" w:cs="Arial" w:eastAsia="Arial" w:hAnsi="Arial"/>
          <w:sz w:val="14"/>
          <w:szCs w:val="14"/>
          <w:color w:val="3B3D3F"/>
        </w:rPr>
        <w:t>;</w:t>
      </w:r>
      <w:r>
        <w:rPr>
          <w:rFonts w:ascii="Arial" w:cs="Arial" w:eastAsia="Arial" w:hAnsi="Arial"/>
          <w:sz w:val="14"/>
          <w:szCs w:val="14"/>
          <w:color w:val="15181A"/>
        </w:rPr>
        <w:t xml:space="preserve"> with or without cause or notice</w:t>
      </w:r>
      <w:r>
        <w:rPr>
          <w:rFonts w:ascii="Arial" w:cs="Arial" w:eastAsia="Arial" w:hAnsi="Arial"/>
          <w:sz w:val="14"/>
          <w:szCs w:val="14"/>
          <w:color w:val="3B3D3F"/>
        </w:rPr>
        <w:t>.</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15181A"/>
        </w:rPr>
        <w:t>You acknowledge</w:t>
      </w:r>
      <w:r>
        <w:rPr>
          <w:rFonts w:ascii="Arial" w:cs="Arial" w:eastAsia="Arial" w:hAnsi="Arial"/>
          <w:sz w:val="14"/>
          <w:szCs w:val="14"/>
          <w:color w:val="3B3D3F"/>
        </w:rPr>
        <w:t>,</w:t>
      </w:r>
      <w:r>
        <w:rPr>
          <w:rFonts w:ascii="Arial" w:cs="Arial" w:eastAsia="Arial" w:hAnsi="Arial"/>
          <w:sz w:val="14"/>
          <w:szCs w:val="14"/>
          <w:color w:val="15181A"/>
        </w:rPr>
        <w:t xml:space="preserve"> covenant</w:t>
      </w:r>
      <w:r>
        <w:rPr>
          <w:rFonts w:ascii="Arial" w:cs="Arial" w:eastAsia="Arial" w:hAnsi="Arial"/>
          <w:sz w:val="14"/>
          <w:szCs w:val="14"/>
          <w:color w:val="4B4B4D"/>
        </w:rPr>
        <w:t>,</w:t>
      </w:r>
      <w:r>
        <w:rPr>
          <w:rFonts w:ascii="Arial" w:cs="Arial" w:eastAsia="Arial" w:hAnsi="Arial"/>
          <w:sz w:val="14"/>
          <w:szCs w:val="14"/>
          <w:color w:val="15181A"/>
        </w:rPr>
        <w:t xml:space="preserve"> agree</w:t>
      </w:r>
      <w:r>
        <w:rPr>
          <w:rFonts w:ascii="Arial" w:cs="Arial" w:eastAsia="Arial" w:hAnsi="Arial"/>
          <w:sz w:val="14"/>
          <w:szCs w:val="14"/>
          <w:color w:val="4B4B4D"/>
        </w:rPr>
        <w:t>,</w:t>
      </w:r>
      <w:r>
        <w:rPr>
          <w:rFonts w:ascii="Arial" w:cs="Arial" w:eastAsia="Arial" w:hAnsi="Arial"/>
          <w:sz w:val="14"/>
          <w:szCs w:val="14"/>
          <w:color w:val="15181A"/>
        </w:rPr>
        <w:t xml:space="preserve"> warrant and represent that: (1) you are not a party to any contract, nor are you subject to</w:t>
      </w:r>
      <w:r>
        <w:rPr>
          <w:rFonts w:ascii="Arial" w:cs="Arial" w:eastAsia="Arial" w:hAnsi="Arial"/>
          <w:sz w:val="14"/>
          <w:szCs w:val="14"/>
          <w:color w:val="4B4B4D"/>
        </w:rPr>
        <w:t>,</w:t>
      </w:r>
      <w:r>
        <w:rPr>
          <w:rFonts w:ascii="Arial" w:cs="Arial" w:eastAsia="Arial" w:hAnsi="Arial"/>
          <w:sz w:val="14"/>
          <w:szCs w:val="14"/>
          <w:color w:val="15181A"/>
        </w:rPr>
        <w:t xml:space="preserve"> or bound by any commitment, restrictive covenant</w:t>
      </w:r>
      <w:r>
        <w:rPr>
          <w:rFonts w:ascii="Arial" w:cs="Arial" w:eastAsia="Arial" w:hAnsi="Arial"/>
          <w:sz w:val="14"/>
          <w:szCs w:val="14"/>
          <w:color w:val="4B4B4D"/>
        </w:rPr>
        <w:t>,</w:t>
      </w:r>
      <w:r>
        <w:rPr>
          <w:rFonts w:ascii="Arial" w:cs="Arial" w:eastAsia="Arial" w:hAnsi="Arial"/>
          <w:sz w:val="14"/>
          <w:szCs w:val="14"/>
          <w:color w:val="15181A"/>
        </w:rPr>
        <w:t xml:space="preserve"> or agreement</w:t>
      </w:r>
      <w:r>
        <w:rPr>
          <w:rFonts w:ascii="Arial" w:cs="Arial" w:eastAsia="Arial" w:hAnsi="Arial"/>
          <w:sz w:val="14"/>
          <w:szCs w:val="14"/>
          <w:color w:val="3B3D3F"/>
        </w:rPr>
        <w:t>,</w:t>
      </w:r>
      <w:r>
        <w:rPr>
          <w:rFonts w:ascii="Arial" w:cs="Arial" w:eastAsia="Arial" w:hAnsi="Arial"/>
          <w:sz w:val="14"/>
          <w:szCs w:val="14"/>
          <w:color w:val="15181A"/>
        </w:rPr>
        <w:t xml:space="preserve"> order, judgement</w:t>
      </w:r>
      <w:r>
        <w:rPr>
          <w:rFonts w:ascii="Arial" w:cs="Arial" w:eastAsia="Arial" w:hAnsi="Arial"/>
          <w:sz w:val="14"/>
          <w:szCs w:val="14"/>
          <w:color w:val="4B4B4D"/>
        </w:rPr>
        <w:t>,</w:t>
      </w:r>
      <w:r>
        <w:rPr>
          <w:rFonts w:ascii="Arial" w:cs="Arial" w:eastAsia="Arial" w:hAnsi="Arial"/>
          <w:sz w:val="14"/>
          <w:szCs w:val="14"/>
          <w:color w:val="15181A"/>
        </w:rPr>
        <w:t xml:space="preserve"> decree</w:t>
      </w:r>
      <w:r>
        <w:rPr>
          <w:rFonts w:ascii="Arial" w:cs="Arial" w:eastAsia="Arial" w:hAnsi="Arial"/>
          <w:sz w:val="14"/>
          <w:szCs w:val="14"/>
          <w:color w:val="3B3D3F"/>
        </w:rPr>
        <w:t>,</w:t>
      </w:r>
      <w:r>
        <w:rPr>
          <w:rFonts w:ascii="Arial" w:cs="Arial" w:eastAsia="Arial" w:hAnsi="Arial"/>
          <w:sz w:val="14"/>
          <w:szCs w:val="14"/>
          <w:color w:val="15181A"/>
        </w:rPr>
        <w:t xml:space="preserve"> law</w:t>
      </w:r>
      <w:r>
        <w:rPr>
          <w:rFonts w:ascii="Arial" w:cs="Arial" w:eastAsia="Arial" w:hAnsi="Arial"/>
          <w:sz w:val="14"/>
          <w:szCs w:val="14"/>
          <w:color w:val="4B4B4D"/>
        </w:rPr>
        <w:t>,</w:t>
      </w:r>
      <w:r>
        <w:rPr>
          <w:rFonts w:ascii="Arial" w:cs="Arial" w:eastAsia="Arial" w:hAnsi="Arial"/>
          <w:sz w:val="14"/>
          <w:szCs w:val="14"/>
          <w:color w:val="15181A"/>
        </w:rPr>
        <w:t xml:space="preserve"> statute</w:t>
      </w:r>
      <w:r>
        <w:rPr>
          <w:rFonts w:ascii="Arial" w:cs="Arial" w:eastAsia="Arial" w:hAnsi="Arial"/>
          <w:sz w:val="14"/>
          <w:szCs w:val="14"/>
          <w:color w:val="3B3D3F"/>
        </w:rPr>
        <w:t>,</w:t>
      </w:r>
      <w:r>
        <w:rPr>
          <w:rFonts w:ascii="Arial" w:cs="Arial" w:eastAsia="Arial" w:hAnsi="Arial"/>
          <w:sz w:val="14"/>
          <w:szCs w:val="14"/>
          <w:color w:val="15181A"/>
        </w:rPr>
        <w:t xml:space="preserve"> ordinance, rule</w:t>
      </w:r>
      <w:r>
        <w:rPr>
          <w:rFonts w:ascii="Arial" w:cs="Arial" w:eastAsia="Arial" w:hAnsi="Arial"/>
          <w:sz w:val="14"/>
          <w:szCs w:val="14"/>
          <w:color w:val="4B4B4D"/>
        </w:rPr>
        <w:t>,</w:t>
      </w:r>
      <w:r>
        <w:rPr>
          <w:rFonts w:ascii="Arial" w:cs="Arial" w:eastAsia="Arial" w:hAnsi="Arial"/>
          <w:sz w:val="14"/>
          <w:szCs w:val="14"/>
          <w:color w:val="15181A"/>
        </w:rPr>
        <w:t xml:space="preserve"> regulation or other restriction of any k</w:t>
      </w:r>
      <w:r>
        <w:rPr>
          <w:rFonts w:ascii="Arial" w:cs="Arial" w:eastAsia="Arial" w:hAnsi="Arial"/>
          <w:sz w:val="14"/>
          <w:szCs w:val="14"/>
          <w:color w:val="3B3D3F"/>
        </w:rPr>
        <w:t>i</w:t>
      </w:r>
      <w:r>
        <w:rPr>
          <w:rFonts w:ascii="Arial" w:cs="Arial" w:eastAsia="Arial" w:hAnsi="Arial"/>
          <w:sz w:val="14"/>
          <w:szCs w:val="14"/>
          <w:color w:val="15181A"/>
        </w:rPr>
        <w:t>nd or character</w:t>
      </w:r>
      <w:r>
        <w:rPr>
          <w:rFonts w:ascii="Arial" w:cs="Arial" w:eastAsia="Arial" w:hAnsi="Arial"/>
          <w:sz w:val="14"/>
          <w:szCs w:val="14"/>
          <w:color w:val="4B4B4D"/>
        </w:rPr>
        <w:t>,</w:t>
      </w:r>
      <w:r>
        <w:rPr>
          <w:rFonts w:ascii="Arial" w:cs="Arial" w:eastAsia="Arial" w:hAnsi="Arial"/>
          <w:sz w:val="14"/>
          <w:szCs w:val="14"/>
          <w:color w:val="15181A"/>
        </w:rPr>
        <w:t xml:space="preserve"> which either would or purports to</w:t>
      </w:r>
      <w:r>
        <w:rPr>
          <w:rFonts w:ascii="Arial" w:cs="Arial" w:eastAsia="Arial" w:hAnsi="Arial"/>
          <w:sz w:val="14"/>
          <w:szCs w:val="14"/>
          <w:color w:val="4B4B4D"/>
        </w:rPr>
        <w:t>,</w:t>
      </w:r>
      <w:r>
        <w:rPr>
          <w:rFonts w:ascii="Arial" w:cs="Arial" w:eastAsia="Arial" w:hAnsi="Arial"/>
          <w:sz w:val="14"/>
          <w:szCs w:val="14"/>
          <w:color w:val="15181A"/>
        </w:rPr>
        <w:t xml:space="preserve"> prevent or restrict you from entering into and performing your obligations under this offer letter free of any limitations</w:t>
      </w:r>
      <w:r>
        <w:rPr>
          <w:rFonts w:ascii="Arial" w:cs="Arial" w:eastAsia="Arial" w:hAnsi="Arial"/>
          <w:sz w:val="14"/>
          <w:szCs w:val="14"/>
          <w:color w:val="4B4B4D"/>
        </w:rPr>
        <w:t>,</w:t>
      </w:r>
      <w:r>
        <w:rPr>
          <w:rFonts w:ascii="Arial" w:cs="Arial" w:eastAsia="Arial" w:hAnsi="Arial"/>
          <w:sz w:val="14"/>
          <w:szCs w:val="14"/>
          <w:color w:val="15181A"/>
        </w:rPr>
        <w:t xml:space="preserve"> (ii) you are free to enter into the arrangements contemplated herein</w:t>
      </w:r>
      <w:r>
        <w:rPr>
          <w:rFonts w:ascii="Arial" w:cs="Arial" w:eastAsia="Arial" w:hAnsi="Arial"/>
          <w:sz w:val="14"/>
          <w:szCs w:val="14"/>
          <w:color w:val="4B4B4D"/>
        </w:rPr>
        <w:t>,</w:t>
      </w:r>
      <w:r>
        <w:rPr>
          <w:rFonts w:ascii="Arial" w:cs="Arial" w:eastAsia="Arial" w:hAnsi="Arial"/>
          <w:sz w:val="14"/>
          <w:szCs w:val="14"/>
          <w:color w:val="15181A"/>
        </w:rPr>
        <w:t xml:space="preserve"> (i</w:t>
      </w:r>
      <w:r>
        <w:rPr>
          <w:rFonts w:ascii="Arial" w:cs="Arial" w:eastAsia="Arial" w:hAnsi="Arial"/>
          <w:sz w:val="14"/>
          <w:szCs w:val="14"/>
          <w:color w:val="3B3D3F"/>
        </w:rPr>
        <w:t>i</w:t>
      </w:r>
      <w:r>
        <w:rPr>
          <w:rFonts w:ascii="Arial" w:cs="Arial" w:eastAsia="Arial" w:hAnsi="Arial"/>
          <w:sz w:val="14"/>
          <w:szCs w:val="14"/>
          <w:color w:val="15181A"/>
        </w:rPr>
        <w:t>i) you are not subject to any agreement or obligation that would limit your ability to act on behalf of Conduent or any of its subsidiaries</w:t>
      </w:r>
      <w:r>
        <w:rPr>
          <w:rFonts w:ascii="Arial" w:cs="Arial" w:eastAsia="Arial" w:hAnsi="Arial"/>
          <w:sz w:val="14"/>
          <w:szCs w:val="14"/>
          <w:color w:val="3B3D3F"/>
        </w:rPr>
        <w:t>,</w:t>
      </w:r>
      <w:r>
        <w:rPr>
          <w:rFonts w:ascii="Arial" w:cs="Arial" w:eastAsia="Arial" w:hAnsi="Arial"/>
          <w:sz w:val="14"/>
          <w:szCs w:val="14"/>
          <w:color w:val="15181A"/>
        </w:rPr>
        <w:t xml:space="preserve"> and (iv) your termination of your existing employment</w:t>
      </w:r>
      <w:r>
        <w:rPr>
          <w:rFonts w:ascii="Arial" w:cs="Arial" w:eastAsia="Arial" w:hAnsi="Arial"/>
          <w:sz w:val="14"/>
          <w:szCs w:val="14"/>
          <w:color w:val="4B4B4D"/>
        </w:rPr>
        <w:t>,</w:t>
      </w:r>
      <w:r>
        <w:rPr>
          <w:rFonts w:ascii="Arial" w:cs="Arial" w:eastAsia="Arial" w:hAnsi="Arial"/>
          <w:sz w:val="14"/>
          <w:szCs w:val="14"/>
          <w:color w:val="15181A"/>
        </w:rPr>
        <w:t xml:space="preserve"> your entry into the employment contemplated herein and your performance of your duties in respect thereof</w:t>
      </w:r>
      <w:r>
        <w:rPr>
          <w:rFonts w:ascii="Arial" w:cs="Arial" w:eastAsia="Arial" w:hAnsi="Arial"/>
          <w:sz w:val="14"/>
          <w:szCs w:val="14"/>
          <w:color w:val="4B4B4D"/>
        </w:rPr>
        <w:t>,</w:t>
      </w:r>
      <w:r>
        <w:rPr>
          <w:rFonts w:ascii="Arial" w:cs="Arial" w:eastAsia="Arial" w:hAnsi="Arial"/>
          <w:sz w:val="14"/>
          <w:szCs w:val="14"/>
          <w:color w:val="15181A"/>
        </w:rPr>
        <w:t xml:space="preserve"> will not violate or conflict with any agreement or obligation to which you are subject. In particular, you will not use or disclose any information in violation of any agreement you may have. Furthermore</w:t>
      </w:r>
      <w:r>
        <w:rPr>
          <w:rFonts w:ascii="Arial" w:cs="Arial" w:eastAsia="Arial" w:hAnsi="Arial"/>
          <w:sz w:val="14"/>
          <w:szCs w:val="14"/>
          <w:color w:val="3B3D3F"/>
        </w:rPr>
        <w:t>,</w:t>
      </w:r>
      <w:r>
        <w:rPr>
          <w:rFonts w:ascii="Arial" w:cs="Arial" w:eastAsia="Arial" w:hAnsi="Arial"/>
          <w:sz w:val="14"/>
          <w:szCs w:val="14"/>
          <w:color w:val="15181A"/>
        </w:rPr>
        <w:t xml:space="preserve"> you have delivered to Conduent true and complete copies of any currently effective employment agreement, non-competitive agreement or similar agreement to which you are subject.</w:t>
      </w:r>
    </w:p>
    <w:p>
      <w:pPr>
        <w:spacing w:after="0" w:line="183"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15181A"/>
        </w:rPr>
        <w:t>This offer is contingent upon the successful completion of a pre-employment background check (criminal</w:t>
      </w:r>
      <w:r>
        <w:rPr>
          <w:rFonts w:ascii="Arial" w:cs="Arial" w:eastAsia="Arial" w:hAnsi="Arial"/>
          <w:sz w:val="14"/>
          <w:szCs w:val="14"/>
          <w:color w:val="3B3D3F"/>
        </w:rPr>
        <w:t>,</w:t>
      </w:r>
      <w:r>
        <w:rPr>
          <w:rFonts w:ascii="Arial" w:cs="Arial" w:eastAsia="Arial" w:hAnsi="Arial"/>
          <w:sz w:val="14"/>
          <w:szCs w:val="14"/>
          <w:color w:val="15181A"/>
        </w:rPr>
        <w:t xml:space="preserve"> credit etc.) which will require your execution of a background screening consent. Additionally</w:t>
      </w:r>
      <w:r>
        <w:rPr>
          <w:rFonts w:ascii="Arial" w:cs="Arial" w:eastAsia="Arial" w:hAnsi="Arial"/>
          <w:sz w:val="14"/>
          <w:szCs w:val="14"/>
          <w:color w:val="3B3D3F"/>
        </w:rPr>
        <w:t>,</w:t>
      </w:r>
      <w:r>
        <w:rPr>
          <w:rFonts w:ascii="Arial" w:cs="Arial" w:eastAsia="Arial" w:hAnsi="Arial"/>
          <w:sz w:val="14"/>
          <w:szCs w:val="14"/>
          <w:color w:val="15181A"/>
        </w:rPr>
        <w:t xml:space="preserve"> your employment is contingent on your execution of Conduent Employee</w:t>
      </w:r>
    </w:p>
    <w:p>
      <w:pPr>
        <w:sectPr>
          <w:pgSz w:w="11900" w:h="16838" w:orient="portrait"/>
          <w:cols w:equalWidth="0" w:num="1">
            <w:col w:w="11460"/>
          </w:cols>
          <w:pgMar w:left="220" w:top="317"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3051F2"/>
        </w:rPr>
        <w:t>EXHIBIT 10.6(i)</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161A1C"/>
        </w:rPr>
        <w:t>Novembe</w:t>
      </w:r>
      <w:r>
        <w:rPr>
          <w:rFonts w:ascii="Arial" w:cs="Arial" w:eastAsia="Arial" w:hAnsi="Arial"/>
          <w:sz w:val="14"/>
          <w:szCs w:val="14"/>
          <w:color w:val="2F3134"/>
        </w:rPr>
        <w:t>r</w:t>
      </w:r>
      <w:r>
        <w:rPr>
          <w:rFonts w:ascii="Arial" w:cs="Arial" w:eastAsia="Arial" w:hAnsi="Arial"/>
          <w:sz w:val="14"/>
          <w:szCs w:val="14"/>
          <w:color w:val="161A1C"/>
        </w:rPr>
        <w:t xml:space="preserve"> 5</w:t>
      </w:r>
      <w:r>
        <w:rPr>
          <w:rFonts w:ascii="Arial" w:cs="Arial" w:eastAsia="Arial" w:hAnsi="Arial"/>
          <w:sz w:val="14"/>
          <w:szCs w:val="14"/>
          <w:color w:val="2F3134"/>
        </w:rPr>
        <w:t>,</w:t>
      </w:r>
      <w:r>
        <w:rPr>
          <w:rFonts w:ascii="Arial" w:cs="Arial" w:eastAsia="Arial" w:hAnsi="Arial"/>
          <w:sz w:val="14"/>
          <w:szCs w:val="14"/>
          <w:color w:val="161A1C"/>
        </w:rPr>
        <w:t xml:space="preserve"> 20</w:t>
      </w:r>
      <w:r>
        <w:rPr>
          <w:rFonts w:ascii="Arial" w:cs="Arial" w:eastAsia="Arial" w:hAnsi="Arial"/>
          <w:sz w:val="14"/>
          <w:szCs w:val="14"/>
          <w:color w:val="2F3134"/>
        </w:rPr>
        <w:t>1</w:t>
      </w:r>
      <w:r>
        <w:rPr>
          <w:rFonts w:ascii="Arial" w:cs="Arial" w:eastAsia="Arial" w:hAnsi="Arial"/>
          <w:sz w:val="14"/>
          <w:szCs w:val="14"/>
          <w:color w:val="161A1C"/>
        </w:rPr>
        <w:t>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161A1C"/>
        </w:rPr>
        <w:t>M</w:t>
      </w:r>
      <w:r>
        <w:rPr>
          <w:rFonts w:ascii="Arial" w:cs="Arial" w:eastAsia="Arial" w:hAnsi="Arial"/>
          <w:sz w:val="14"/>
          <w:szCs w:val="14"/>
          <w:color w:val="2F3134"/>
        </w:rPr>
        <w:t>i</w:t>
      </w:r>
      <w:r>
        <w:rPr>
          <w:rFonts w:ascii="Arial" w:cs="Arial" w:eastAsia="Arial" w:hAnsi="Arial"/>
          <w:sz w:val="14"/>
          <w:szCs w:val="14"/>
          <w:color w:val="161A1C"/>
        </w:rPr>
        <w:t>chae</w:t>
      </w:r>
      <w:r>
        <w:rPr>
          <w:rFonts w:ascii="Arial" w:cs="Arial" w:eastAsia="Arial" w:hAnsi="Arial"/>
          <w:sz w:val="14"/>
          <w:szCs w:val="14"/>
          <w:color w:val="2F3134"/>
        </w:rPr>
        <w:t>l</w:t>
      </w:r>
      <w:r>
        <w:rPr>
          <w:rFonts w:ascii="Arial" w:cs="Arial" w:eastAsia="Arial" w:hAnsi="Arial"/>
          <w:sz w:val="14"/>
          <w:szCs w:val="14"/>
          <w:color w:val="161A1C"/>
        </w:rPr>
        <w:t xml:space="preserve"> K</w:t>
      </w:r>
      <w:r>
        <w:rPr>
          <w:rFonts w:ascii="Arial" w:cs="Arial" w:eastAsia="Arial" w:hAnsi="Arial"/>
          <w:sz w:val="14"/>
          <w:szCs w:val="14"/>
          <w:color w:val="2F3134"/>
        </w:rPr>
        <w:t>r</w:t>
      </w:r>
      <w:r>
        <w:rPr>
          <w:rFonts w:ascii="Arial" w:cs="Arial" w:eastAsia="Arial" w:hAnsi="Arial"/>
          <w:sz w:val="14"/>
          <w:szCs w:val="14"/>
          <w:color w:val="161A1C"/>
        </w:rPr>
        <w:t xml:space="preserve">awitz </w:t>
      </w:r>
      <w:r>
        <w:rPr>
          <w:rFonts w:ascii="Arial" w:cs="Arial" w:eastAsia="Arial" w:hAnsi="Arial"/>
          <w:sz w:val="14"/>
          <w:szCs w:val="14"/>
          <w:color w:val="2F3134"/>
        </w:rPr>
        <w:t>-</w:t>
      </w:r>
      <w:r>
        <w:rPr>
          <w:rFonts w:ascii="Arial" w:cs="Arial" w:eastAsia="Arial" w:hAnsi="Arial"/>
          <w:sz w:val="14"/>
          <w:szCs w:val="14"/>
          <w:color w:val="161A1C"/>
        </w:rPr>
        <w:t xml:space="preserve"> Page 3 o</w:t>
      </w:r>
      <w:r>
        <w:rPr>
          <w:rFonts w:ascii="Arial" w:cs="Arial" w:eastAsia="Arial" w:hAnsi="Arial"/>
          <w:sz w:val="14"/>
          <w:szCs w:val="14"/>
          <w:color w:val="2F3134"/>
        </w:rPr>
        <w:t>f</w:t>
      </w:r>
      <w:r>
        <w:rPr>
          <w:rFonts w:ascii="Arial" w:cs="Arial" w:eastAsia="Arial" w:hAnsi="Arial"/>
          <w:sz w:val="14"/>
          <w:szCs w:val="14"/>
          <w:color w:val="161A1C"/>
        </w:rPr>
        <w:t xml:space="preserve"> 3</w:t>
      </w:r>
    </w:p>
    <w:p>
      <w:pPr>
        <w:spacing w:after="0" w:line="399"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161A1C"/>
        </w:rPr>
        <w:t>Confidentiality, Non</w:t>
      </w:r>
      <w:r>
        <w:rPr>
          <w:rFonts w:ascii="Arial" w:cs="Arial" w:eastAsia="Arial" w:hAnsi="Arial"/>
          <w:sz w:val="14"/>
          <w:szCs w:val="14"/>
          <w:color w:val="2F3134"/>
        </w:rPr>
        <w:t>-</w:t>
      </w:r>
      <w:r>
        <w:rPr>
          <w:rFonts w:ascii="Arial" w:cs="Arial" w:eastAsia="Arial" w:hAnsi="Arial"/>
          <w:sz w:val="14"/>
          <w:szCs w:val="14"/>
          <w:color w:val="161A1C"/>
        </w:rPr>
        <w:t>Solicitat</w:t>
      </w:r>
      <w:r>
        <w:rPr>
          <w:rFonts w:ascii="Arial" w:cs="Arial" w:eastAsia="Arial" w:hAnsi="Arial"/>
          <w:sz w:val="14"/>
          <w:szCs w:val="14"/>
          <w:color w:val="2F3134"/>
        </w:rPr>
        <w:t>i</w:t>
      </w:r>
      <w:r>
        <w:rPr>
          <w:rFonts w:ascii="Arial" w:cs="Arial" w:eastAsia="Arial" w:hAnsi="Arial"/>
          <w:sz w:val="14"/>
          <w:szCs w:val="14"/>
          <w:color w:val="161A1C"/>
        </w:rPr>
        <w:t xml:space="preserve">on and </w:t>
      </w:r>
      <w:r>
        <w:rPr>
          <w:rFonts w:ascii="Arial" w:cs="Arial" w:eastAsia="Arial" w:hAnsi="Arial"/>
          <w:sz w:val="14"/>
          <w:szCs w:val="14"/>
          <w:color w:val="2F3134"/>
        </w:rPr>
        <w:t>In</w:t>
      </w:r>
      <w:r>
        <w:rPr>
          <w:rFonts w:ascii="Arial" w:cs="Arial" w:eastAsia="Arial" w:hAnsi="Arial"/>
          <w:sz w:val="14"/>
          <w:szCs w:val="14"/>
          <w:color w:val="161A1C"/>
        </w:rPr>
        <w:t>tellectua</w:t>
      </w:r>
      <w:r>
        <w:rPr>
          <w:rFonts w:ascii="Arial" w:cs="Arial" w:eastAsia="Arial" w:hAnsi="Arial"/>
          <w:sz w:val="14"/>
          <w:szCs w:val="14"/>
          <w:color w:val="2F3134"/>
        </w:rPr>
        <w:t>l</w:t>
      </w:r>
      <w:r>
        <w:rPr>
          <w:rFonts w:ascii="Arial" w:cs="Arial" w:eastAsia="Arial" w:hAnsi="Arial"/>
          <w:sz w:val="14"/>
          <w:szCs w:val="14"/>
          <w:color w:val="161A1C"/>
        </w:rPr>
        <w:t xml:space="preserve"> Property Non-Compete Agreement. Lastly</w:t>
      </w:r>
      <w:r>
        <w:rPr>
          <w:rFonts w:ascii="Arial" w:cs="Arial" w:eastAsia="Arial" w:hAnsi="Arial"/>
          <w:sz w:val="14"/>
          <w:szCs w:val="14"/>
          <w:color w:val="4B4B4D"/>
        </w:rPr>
        <w:t>,</w:t>
      </w:r>
      <w:r>
        <w:rPr>
          <w:rFonts w:ascii="Arial" w:cs="Arial" w:eastAsia="Arial" w:hAnsi="Arial"/>
          <w:sz w:val="14"/>
          <w:szCs w:val="14"/>
          <w:color w:val="161A1C"/>
        </w:rPr>
        <w:t xml:space="preserve"> you w</w:t>
      </w:r>
      <w:r>
        <w:rPr>
          <w:rFonts w:ascii="Arial" w:cs="Arial" w:eastAsia="Arial" w:hAnsi="Arial"/>
          <w:sz w:val="14"/>
          <w:szCs w:val="14"/>
          <w:color w:val="2F3134"/>
        </w:rPr>
        <w:t>i</w:t>
      </w:r>
      <w:r>
        <w:rPr>
          <w:rFonts w:ascii="Arial" w:cs="Arial" w:eastAsia="Arial" w:hAnsi="Arial"/>
          <w:sz w:val="14"/>
          <w:szCs w:val="14"/>
          <w:color w:val="161A1C"/>
        </w:rPr>
        <w:t>ll be required to present documents necessa</w:t>
      </w:r>
      <w:r>
        <w:rPr>
          <w:rFonts w:ascii="Arial" w:cs="Arial" w:eastAsia="Arial" w:hAnsi="Arial"/>
          <w:sz w:val="14"/>
          <w:szCs w:val="14"/>
          <w:color w:val="2F3134"/>
        </w:rPr>
        <w:t>r</w:t>
      </w:r>
      <w:r>
        <w:rPr>
          <w:rFonts w:ascii="Arial" w:cs="Arial" w:eastAsia="Arial" w:hAnsi="Arial"/>
          <w:sz w:val="14"/>
          <w:szCs w:val="14"/>
          <w:color w:val="161A1C"/>
        </w:rPr>
        <w:t>y to complete an 1-9 Form</w:t>
      </w:r>
      <w:r>
        <w:rPr>
          <w:rFonts w:ascii="Arial" w:cs="Arial" w:eastAsia="Arial" w:hAnsi="Arial"/>
          <w:sz w:val="14"/>
          <w:szCs w:val="14"/>
          <w:color w:val="2F3134"/>
        </w:rPr>
        <w:t>.</w:t>
      </w:r>
      <w:r>
        <w:rPr>
          <w:rFonts w:ascii="Arial" w:cs="Arial" w:eastAsia="Arial" w:hAnsi="Arial"/>
          <w:sz w:val="14"/>
          <w:szCs w:val="14"/>
          <w:color w:val="161A1C"/>
        </w:rPr>
        <w:t xml:space="preserve"> Human Resources w</w:t>
      </w:r>
      <w:r>
        <w:rPr>
          <w:rFonts w:ascii="Arial" w:cs="Arial" w:eastAsia="Arial" w:hAnsi="Arial"/>
          <w:sz w:val="14"/>
          <w:szCs w:val="14"/>
          <w:color w:val="2F3134"/>
        </w:rPr>
        <w:t>i</w:t>
      </w:r>
      <w:r>
        <w:rPr>
          <w:rFonts w:ascii="Arial" w:cs="Arial" w:eastAsia="Arial" w:hAnsi="Arial"/>
          <w:sz w:val="14"/>
          <w:szCs w:val="14"/>
          <w:color w:val="161A1C"/>
        </w:rPr>
        <w:t>ll contact you to make an appointment with an 1</w:t>
      </w:r>
      <w:r>
        <w:rPr>
          <w:rFonts w:ascii="Arial" w:cs="Arial" w:eastAsia="Arial" w:hAnsi="Arial"/>
          <w:sz w:val="14"/>
          <w:szCs w:val="14"/>
          <w:color w:val="2F3134"/>
        </w:rPr>
        <w:t>-</w:t>
      </w:r>
      <w:r>
        <w:rPr>
          <w:rFonts w:ascii="Arial" w:cs="Arial" w:eastAsia="Arial" w:hAnsi="Arial"/>
          <w:sz w:val="14"/>
          <w:szCs w:val="14"/>
          <w:color w:val="161A1C"/>
        </w:rPr>
        <w:t xml:space="preserve"> 9 verifier prio</w:t>
      </w:r>
      <w:r>
        <w:rPr>
          <w:rFonts w:ascii="Arial" w:cs="Arial" w:eastAsia="Arial" w:hAnsi="Arial"/>
          <w:sz w:val="14"/>
          <w:szCs w:val="14"/>
          <w:color w:val="2F3134"/>
        </w:rPr>
        <w:t>r</w:t>
      </w:r>
      <w:r>
        <w:rPr>
          <w:rFonts w:ascii="Arial" w:cs="Arial" w:eastAsia="Arial" w:hAnsi="Arial"/>
          <w:sz w:val="14"/>
          <w:szCs w:val="14"/>
          <w:color w:val="161A1C"/>
        </w:rPr>
        <w:t xml:space="preserve"> to your scheduled start da</w:t>
      </w:r>
      <w:r>
        <w:rPr>
          <w:rFonts w:ascii="Arial" w:cs="Arial" w:eastAsia="Arial" w:hAnsi="Arial"/>
          <w:sz w:val="14"/>
          <w:szCs w:val="14"/>
          <w:color w:val="2F3134"/>
        </w:rPr>
        <w:t>t</w:t>
      </w:r>
      <w:r>
        <w:rPr>
          <w:rFonts w:ascii="Arial" w:cs="Arial" w:eastAsia="Arial" w:hAnsi="Arial"/>
          <w:sz w:val="14"/>
          <w:szCs w:val="14"/>
          <w:color w:val="161A1C"/>
        </w:rPr>
        <w:t>e</w:t>
      </w:r>
      <w:r>
        <w:rPr>
          <w:rFonts w:ascii="Arial" w:cs="Arial" w:eastAsia="Arial" w:hAnsi="Arial"/>
          <w:sz w:val="14"/>
          <w:szCs w:val="14"/>
          <w:color w:val="2F3134"/>
        </w:rPr>
        <w:t>.</w:t>
      </w:r>
    </w:p>
    <w:p>
      <w:pPr>
        <w:spacing w:after="0" w:line="172"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161A1C"/>
        </w:rPr>
        <w:t>Th</w:t>
      </w:r>
      <w:r>
        <w:rPr>
          <w:rFonts w:ascii="Arial" w:cs="Arial" w:eastAsia="Arial" w:hAnsi="Arial"/>
          <w:sz w:val="14"/>
          <w:szCs w:val="14"/>
          <w:color w:val="2F3134"/>
        </w:rPr>
        <w:t>i</w:t>
      </w:r>
      <w:r>
        <w:rPr>
          <w:rFonts w:ascii="Arial" w:cs="Arial" w:eastAsia="Arial" w:hAnsi="Arial"/>
          <w:sz w:val="14"/>
          <w:szCs w:val="14"/>
          <w:color w:val="161A1C"/>
        </w:rPr>
        <w:t xml:space="preserve">s offer will remain in effect until November </w:t>
      </w:r>
      <w:r>
        <w:rPr>
          <w:rFonts w:ascii="Arial" w:cs="Arial" w:eastAsia="Arial" w:hAnsi="Arial"/>
          <w:sz w:val="14"/>
          <w:szCs w:val="14"/>
          <w:color w:val="2F3134"/>
        </w:rPr>
        <w:t>1</w:t>
      </w:r>
      <w:r>
        <w:rPr>
          <w:rFonts w:ascii="Arial" w:cs="Arial" w:eastAsia="Arial" w:hAnsi="Arial"/>
          <w:sz w:val="14"/>
          <w:szCs w:val="14"/>
          <w:color w:val="161A1C"/>
        </w:rPr>
        <w:t>1</w:t>
      </w:r>
      <w:r>
        <w:rPr>
          <w:rFonts w:ascii="Arial" w:cs="Arial" w:eastAsia="Arial" w:hAnsi="Arial"/>
          <w:sz w:val="14"/>
          <w:szCs w:val="14"/>
          <w:color w:val="2F3134"/>
        </w:rPr>
        <w:t>,</w:t>
      </w:r>
      <w:r>
        <w:rPr>
          <w:rFonts w:ascii="Arial" w:cs="Arial" w:eastAsia="Arial" w:hAnsi="Arial"/>
          <w:sz w:val="14"/>
          <w:szCs w:val="14"/>
          <w:color w:val="161A1C"/>
        </w:rPr>
        <w:t xml:space="preserve"> 2019</w:t>
      </w:r>
      <w:r>
        <w:rPr>
          <w:rFonts w:ascii="Arial" w:cs="Arial" w:eastAsia="Arial" w:hAnsi="Arial"/>
          <w:sz w:val="14"/>
          <w:szCs w:val="14"/>
          <w:color w:val="2F3134"/>
        </w:rPr>
        <w:t>.</w:t>
      </w:r>
      <w:r>
        <w:rPr>
          <w:rFonts w:ascii="Arial" w:cs="Arial" w:eastAsia="Arial" w:hAnsi="Arial"/>
          <w:sz w:val="14"/>
          <w:szCs w:val="14"/>
          <w:color w:val="161A1C"/>
        </w:rPr>
        <w:t xml:space="preserve"> Please notify me of your acceptance and ensure that a</w:t>
      </w:r>
      <w:r>
        <w:rPr>
          <w:rFonts w:ascii="Arial" w:cs="Arial" w:eastAsia="Arial" w:hAnsi="Arial"/>
          <w:sz w:val="14"/>
          <w:szCs w:val="14"/>
          <w:color w:val="2F3134"/>
        </w:rPr>
        <w:t>ll</w:t>
      </w:r>
      <w:r>
        <w:rPr>
          <w:rFonts w:ascii="Arial" w:cs="Arial" w:eastAsia="Arial" w:hAnsi="Arial"/>
          <w:sz w:val="14"/>
          <w:szCs w:val="14"/>
          <w:color w:val="161A1C"/>
        </w:rPr>
        <w:t xml:space="preserve"> requirements are met before we </w:t>
      </w:r>
      <w:r>
        <w:rPr>
          <w:rFonts w:ascii="Arial" w:cs="Arial" w:eastAsia="Arial" w:hAnsi="Arial"/>
          <w:sz w:val="14"/>
          <w:szCs w:val="14"/>
          <w:color w:val="2F3134"/>
        </w:rPr>
        <w:t>fi</w:t>
      </w:r>
      <w:r>
        <w:rPr>
          <w:rFonts w:ascii="Arial" w:cs="Arial" w:eastAsia="Arial" w:hAnsi="Arial"/>
          <w:sz w:val="14"/>
          <w:szCs w:val="14"/>
          <w:color w:val="161A1C"/>
        </w:rPr>
        <w:t>nalize your start)</w:t>
      </w:r>
      <w:r>
        <w:rPr>
          <w:rFonts w:ascii="Arial" w:cs="Arial" w:eastAsia="Arial" w:hAnsi="Arial"/>
          <w:sz w:val="14"/>
          <w:szCs w:val="14"/>
          <w:color w:val="2F3134"/>
        </w:rPr>
        <w:t>.</w:t>
      </w:r>
      <w:r>
        <w:rPr>
          <w:rFonts w:ascii="Arial" w:cs="Arial" w:eastAsia="Arial" w:hAnsi="Arial"/>
          <w:sz w:val="14"/>
          <w:szCs w:val="14"/>
          <w:color w:val="161A1C"/>
        </w:rPr>
        <w:t xml:space="preserve"> All originals shou</w:t>
      </w:r>
      <w:r>
        <w:rPr>
          <w:rFonts w:ascii="Arial" w:cs="Arial" w:eastAsia="Arial" w:hAnsi="Arial"/>
          <w:sz w:val="14"/>
          <w:szCs w:val="14"/>
          <w:color w:val="2F3134"/>
        </w:rPr>
        <w:t>l</w:t>
      </w:r>
      <w:r>
        <w:rPr>
          <w:rFonts w:ascii="Arial" w:cs="Arial" w:eastAsia="Arial" w:hAnsi="Arial"/>
          <w:sz w:val="14"/>
          <w:szCs w:val="14"/>
          <w:color w:val="161A1C"/>
        </w:rPr>
        <w:t xml:space="preserve">d be returned to me and </w:t>
      </w:r>
      <w:r>
        <w:rPr>
          <w:rFonts w:ascii="Arial" w:cs="Arial" w:eastAsia="Arial" w:hAnsi="Arial"/>
          <w:sz w:val="14"/>
          <w:szCs w:val="14"/>
          <w:color w:val="2F3134"/>
        </w:rPr>
        <w:t>i</w:t>
      </w:r>
      <w:r>
        <w:rPr>
          <w:rFonts w:ascii="Arial" w:cs="Arial" w:eastAsia="Arial" w:hAnsi="Arial"/>
          <w:sz w:val="14"/>
          <w:szCs w:val="14"/>
          <w:color w:val="161A1C"/>
        </w:rPr>
        <w:t xml:space="preserve">f you </w:t>
      </w:r>
      <w:r>
        <w:rPr>
          <w:rFonts w:ascii="Arial" w:cs="Arial" w:eastAsia="Arial" w:hAnsi="Arial"/>
          <w:sz w:val="14"/>
          <w:szCs w:val="14"/>
          <w:color w:val="2F3134"/>
        </w:rPr>
        <w:t>h</w:t>
      </w:r>
      <w:r>
        <w:rPr>
          <w:rFonts w:ascii="Arial" w:cs="Arial" w:eastAsia="Arial" w:hAnsi="Arial"/>
          <w:sz w:val="14"/>
          <w:szCs w:val="14"/>
          <w:color w:val="161A1C"/>
        </w:rPr>
        <w:t>ave any questions</w:t>
      </w:r>
      <w:r>
        <w:rPr>
          <w:rFonts w:ascii="Arial" w:cs="Arial" w:eastAsia="Arial" w:hAnsi="Arial"/>
          <w:sz w:val="14"/>
          <w:szCs w:val="14"/>
          <w:color w:val="2F3134"/>
        </w:rPr>
        <w:t>,</w:t>
      </w:r>
      <w:r>
        <w:rPr>
          <w:rFonts w:ascii="Arial" w:cs="Arial" w:eastAsia="Arial" w:hAnsi="Arial"/>
          <w:sz w:val="14"/>
          <w:szCs w:val="14"/>
          <w:color w:val="161A1C"/>
        </w:rPr>
        <w:t xml:space="preserve"> please feel free to contact me at (973) 526-7151.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161A1C"/>
        </w:rPr>
        <w:t>Michael</w:t>
      </w:r>
      <w:r>
        <w:rPr>
          <w:rFonts w:ascii="Arial" w:cs="Arial" w:eastAsia="Arial" w:hAnsi="Arial"/>
          <w:sz w:val="14"/>
          <w:szCs w:val="14"/>
          <w:color w:val="2F3134"/>
        </w:rPr>
        <w:t>, I</w:t>
      </w:r>
      <w:r>
        <w:rPr>
          <w:rFonts w:ascii="Arial" w:cs="Arial" w:eastAsia="Arial" w:hAnsi="Arial"/>
          <w:sz w:val="14"/>
          <w:szCs w:val="14"/>
          <w:color w:val="161A1C"/>
        </w:rPr>
        <w:t xml:space="preserve"> am de</w:t>
      </w:r>
      <w:r>
        <w:rPr>
          <w:rFonts w:ascii="Arial" w:cs="Arial" w:eastAsia="Arial" w:hAnsi="Arial"/>
          <w:sz w:val="14"/>
          <w:szCs w:val="14"/>
          <w:color w:val="2F3134"/>
        </w:rPr>
        <w:t>l</w:t>
      </w:r>
      <w:r>
        <w:rPr>
          <w:rFonts w:ascii="Arial" w:cs="Arial" w:eastAsia="Arial" w:hAnsi="Arial"/>
          <w:sz w:val="14"/>
          <w:szCs w:val="14"/>
          <w:color w:val="161A1C"/>
        </w:rPr>
        <w:t>ighted you are join</w:t>
      </w:r>
      <w:r>
        <w:rPr>
          <w:rFonts w:ascii="Arial" w:cs="Arial" w:eastAsia="Arial" w:hAnsi="Arial"/>
          <w:sz w:val="14"/>
          <w:szCs w:val="14"/>
          <w:color w:val="2F3134"/>
        </w:rPr>
        <w:t>i</w:t>
      </w:r>
      <w:r>
        <w:rPr>
          <w:rFonts w:ascii="Arial" w:cs="Arial" w:eastAsia="Arial" w:hAnsi="Arial"/>
          <w:sz w:val="14"/>
          <w:szCs w:val="14"/>
          <w:color w:val="161A1C"/>
        </w:rPr>
        <w:t>ng the Conduent leade</w:t>
      </w:r>
      <w:r>
        <w:rPr>
          <w:rFonts w:ascii="Arial" w:cs="Arial" w:eastAsia="Arial" w:hAnsi="Arial"/>
          <w:sz w:val="14"/>
          <w:szCs w:val="14"/>
          <w:color w:val="2F3134"/>
        </w:rPr>
        <w:t>r</w:t>
      </w:r>
      <w:r>
        <w:rPr>
          <w:rFonts w:ascii="Arial" w:cs="Arial" w:eastAsia="Arial" w:hAnsi="Arial"/>
          <w:sz w:val="14"/>
          <w:szCs w:val="14"/>
          <w:color w:val="161A1C"/>
        </w:rPr>
        <w:t>ship team</w:t>
      </w:r>
      <w:r>
        <w:rPr>
          <w:rFonts w:ascii="Arial" w:cs="Arial" w:eastAsia="Arial" w:hAnsi="Arial"/>
          <w:sz w:val="14"/>
          <w:szCs w:val="14"/>
          <w:color w:val="2F3134"/>
        </w:rPr>
        <w:t>.</w:t>
      </w:r>
      <w:r>
        <w:rPr>
          <w:rFonts w:ascii="Arial" w:cs="Arial" w:eastAsia="Arial" w:hAnsi="Arial"/>
          <w:sz w:val="14"/>
          <w:szCs w:val="14"/>
          <w:color w:val="161A1C"/>
        </w:rPr>
        <w:t xml:space="preserve"> I look forward to your sign</w:t>
      </w:r>
      <w:r>
        <w:rPr>
          <w:rFonts w:ascii="Arial" w:cs="Arial" w:eastAsia="Arial" w:hAnsi="Arial"/>
          <w:sz w:val="14"/>
          <w:szCs w:val="14"/>
          <w:color w:val="2F3134"/>
        </w:rPr>
        <w:t>i</w:t>
      </w:r>
      <w:r>
        <w:rPr>
          <w:rFonts w:ascii="Arial" w:cs="Arial" w:eastAsia="Arial" w:hAnsi="Arial"/>
          <w:sz w:val="14"/>
          <w:szCs w:val="14"/>
          <w:color w:val="161A1C"/>
        </w:rPr>
        <w:t>ficant contributions and success</w:t>
      </w:r>
      <w:r>
        <w:rPr>
          <w:rFonts w:ascii="Arial" w:cs="Arial" w:eastAsia="Arial" w:hAnsi="Arial"/>
          <w:sz w:val="14"/>
          <w:szCs w:val="14"/>
          <w:color w:val="2F3134"/>
        </w:rPr>
        <w: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2F3134"/>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JEFFREY FRIEDEL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8732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People Officer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Conduent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2F3134"/>
        </w:rPr>
        <w:t>November 5, 2019</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MICHAEL KRAWITZ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85991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185991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Michael Krawitz</w:t>
      </w:r>
    </w:p>
    <w:p>
      <w:pPr>
        <w:sectPr>
          <w:pgSz w:w="11900" w:h="16838" w:orient="portrait"/>
          <w:cols w:equalWidth="0" w:num="1">
            <w:col w:w="11460"/>
          </w:cols>
          <w:pgMar w:left="220" w:top="317" w:right="2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3051F2"/>
        </w:rPr>
        <w:t>EXHIBIT 10.6(j)</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SEPARATION AGREEMENT AND GENERAL RELEASE</w:t>
      </w:r>
    </w:p>
    <w:p>
      <w:pPr>
        <w:spacing w:after="0" w:line="200" w:lineRule="exact"/>
        <w:rPr>
          <w:sz w:val="20"/>
          <w:szCs w:val="20"/>
          <w:color w:val="auto"/>
        </w:rPr>
      </w:pP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4"/>
          <w:szCs w:val="14"/>
          <w:color w:val="343434"/>
        </w:rPr>
        <w:t xml:space="preserve">This Separation Agreement and General Release (this "Agreement") is entered into by and among Conduent Business Services, LLC, its parent, subsidiaries, subdivisions and affiliates, (collectively, "Conduent" or "Company"), and </w:t>
      </w:r>
      <w:r>
        <w:rPr>
          <w:rFonts w:ascii="Arial" w:cs="Arial" w:eastAsia="Arial" w:hAnsi="Arial"/>
          <w:sz w:val="14"/>
          <w:szCs w:val="14"/>
          <w:b w:val="1"/>
          <w:bCs w:val="1"/>
          <w:color w:val="343434"/>
        </w:rPr>
        <w:t>Jeffrey Friedel</w:t>
      </w:r>
      <w:r>
        <w:rPr>
          <w:rFonts w:ascii="Arial" w:cs="Arial" w:eastAsia="Arial" w:hAnsi="Arial"/>
          <w:sz w:val="14"/>
          <w:szCs w:val="14"/>
          <w:color w:val="343434"/>
        </w:rPr>
        <w:t xml:space="preserve"> ("Employee").</w:t>
      </w:r>
    </w:p>
    <w:p>
      <w:pPr>
        <w:spacing w:after="0" w:line="154" w:lineRule="exact"/>
        <w:rPr>
          <w:sz w:val="20"/>
          <w:szCs w:val="20"/>
          <w:color w:val="auto"/>
        </w:rPr>
      </w:pPr>
    </w:p>
    <w:p>
      <w:pPr>
        <w:ind w:firstLine="517"/>
        <w:spacing w:after="0" w:line="265" w:lineRule="auto"/>
        <w:rPr>
          <w:sz w:val="20"/>
          <w:szCs w:val="20"/>
          <w:color w:val="auto"/>
        </w:rPr>
      </w:pPr>
      <w:r>
        <w:rPr>
          <w:rFonts w:ascii="Arial" w:cs="Arial" w:eastAsia="Arial" w:hAnsi="Arial"/>
          <w:sz w:val="14"/>
          <w:szCs w:val="14"/>
          <w:b w:val="1"/>
          <w:bCs w:val="1"/>
          <w:color w:val="343434"/>
        </w:rPr>
        <w:t xml:space="preserve">Introduction. </w:t>
      </w:r>
      <w:r>
        <w:rPr>
          <w:rFonts w:ascii="Arial" w:cs="Arial" w:eastAsia="Arial" w:hAnsi="Arial"/>
          <w:sz w:val="14"/>
          <w:szCs w:val="14"/>
          <w:color w:val="343434"/>
        </w:rPr>
        <w:t>The Company and Employee have agreed on the terms of the separation of Employee's employment with the Company including payment of salary and</w:t>
      </w:r>
      <w:r>
        <w:rPr>
          <w:rFonts w:ascii="Arial" w:cs="Arial" w:eastAsia="Arial" w:hAnsi="Arial"/>
          <w:sz w:val="14"/>
          <w:szCs w:val="14"/>
          <w:b w:val="1"/>
          <w:bCs w:val="1"/>
          <w:color w:val="343434"/>
        </w:rPr>
        <w:t xml:space="preserve"> </w:t>
      </w:r>
      <w:r>
        <w:rPr>
          <w:rFonts w:ascii="Arial" w:cs="Arial" w:eastAsia="Arial" w:hAnsi="Arial"/>
          <w:sz w:val="14"/>
          <w:szCs w:val="14"/>
          <w:color w:val="343434"/>
        </w:rPr>
        <w:t>benefits as described below through July 24, 2020 ("Salary and Benefits Continuation End Date"). Employee's last day of active employment ("Last Day of Active Employment") is January 10, 2020 and his termination will be effective as of January 24, 2020. It is agreed and understood between the parties that Employee will no longer report to work or be required to perform any of his regular job duties and responsibilities after his Last Day of Active Employment, provided however, Employee will make himself available during normal business hours through January 24, 2020 to address questions, provide guidance on pending matters and take such other actions as may be reasonably necessary to help ensure a smooth transition. In consideration of the mutual promises contained in this Agreement, the Company and Employee agree as follows:</w:t>
      </w:r>
    </w:p>
    <w:p>
      <w:pPr>
        <w:spacing w:after="0" w:line="161" w:lineRule="exact"/>
        <w:rPr>
          <w:sz w:val="20"/>
          <w:szCs w:val="20"/>
          <w:color w:val="auto"/>
        </w:rPr>
      </w:pPr>
    </w:p>
    <w:p>
      <w:pPr>
        <w:jc w:val="both"/>
        <w:ind w:right="80" w:firstLine="6"/>
        <w:spacing w:after="0" w:line="271" w:lineRule="auto"/>
        <w:tabs>
          <w:tab w:leader="none" w:pos="507"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343434"/>
        </w:rPr>
        <w:t xml:space="preserve">Salary Continuation. </w:t>
      </w:r>
      <w:r>
        <w:rPr>
          <w:rFonts w:ascii="Arial" w:cs="Arial" w:eastAsia="Arial" w:hAnsi="Arial"/>
          <w:sz w:val="14"/>
          <w:szCs w:val="14"/>
          <w:color w:val="343434"/>
        </w:rPr>
        <w:t>Employee will receive salary continuation commencing on January 25, 2020 at the same bi-weekly salary rate and continuing through and including</w:t>
      </w:r>
      <w:r>
        <w:rPr>
          <w:rFonts w:ascii="Arial" w:cs="Arial" w:eastAsia="Arial" w:hAnsi="Arial"/>
          <w:sz w:val="14"/>
          <w:szCs w:val="14"/>
          <w:b w:val="1"/>
          <w:bCs w:val="1"/>
          <w:color w:val="343434"/>
        </w:rPr>
        <w:t xml:space="preserve"> </w:t>
      </w:r>
      <w:r>
        <w:rPr>
          <w:rFonts w:ascii="Arial" w:cs="Arial" w:eastAsia="Arial" w:hAnsi="Arial"/>
          <w:sz w:val="14"/>
          <w:szCs w:val="14"/>
          <w:color w:val="343434"/>
        </w:rPr>
        <w:t>his Salary and Benefit Continuation End Date. The Company shall withhold from such payments all applicable payroll taxes and other authorized deductions. The payments to be made under this Agreement shall be deemed to be wages in lieu of notice during the applicable benefit year in the event that the Employee files a claim for unemployment benefits. Employee understands that the Company will not make any payments until all Company property in the Employee's possession or control is returned to the Company.</w:t>
      </w:r>
    </w:p>
    <w:p>
      <w:pPr>
        <w:spacing w:after="0" w:line="155" w:lineRule="exact"/>
        <w:rPr>
          <w:rFonts w:ascii="Arial" w:cs="Arial" w:eastAsia="Arial" w:hAnsi="Arial"/>
          <w:sz w:val="14"/>
          <w:szCs w:val="14"/>
          <w:color w:val="auto"/>
        </w:rPr>
      </w:pPr>
    </w:p>
    <w:p>
      <w:pPr>
        <w:ind w:right="120" w:firstLine="6"/>
        <w:spacing w:after="0" w:line="278" w:lineRule="auto"/>
        <w:tabs>
          <w:tab w:leader="none" w:pos="507"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343434"/>
        </w:rPr>
        <w:t xml:space="preserve">Benefits Continuation. </w:t>
      </w:r>
      <w:r>
        <w:rPr>
          <w:rFonts w:ascii="Arial" w:cs="Arial" w:eastAsia="Arial" w:hAnsi="Arial"/>
          <w:sz w:val="14"/>
          <w:szCs w:val="14"/>
          <w:color w:val="343434"/>
        </w:rPr>
        <w:t>Employee will receive benefits, subject to and conditioned upon Employee's continued premium contributions, that were in effect for the Employee</w:t>
      </w:r>
      <w:r>
        <w:rPr>
          <w:rFonts w:ascii="Arial" w:cs="Arial" w:eastAsia="Arial" w:hAnsi="Arial"/>
          <w:sz w:val="14"/>
          <w:szCs w:val="14"/>
          <w:b w:val="1"/>
          <w:bCs w:val="1"/>
          <w:color w:val="343434"/>
        </w:rPr>
        <w:t xml:space="preserve"> </w:t>
      </w:r>
      <w:r>
        <w:rPr>
          <w:rFonts w:ascii="Arial" w:cs="Arial" w:eastAsia="Arial" w:hAnsi="Arial"/>
          <w:sz w:val="14"/>
          <w:szCs w:val="14"/>
          <w:color w:val="343434"/>
        </w:rPr>
        <w:t xml:space="preserve">on his Last Day of Active Employment through and including his Salary and Benefits Continuation End Date </w:t>
      </w:r>
      <w:r>
        <w:rPr>
          <w:rFonts w:ascii="Arial" w:cs="Arial" w:eastAsia="Arial" w:hAnsi="Arial"/>
          <w:sz w:val="14"/>
          <w:szCs w:val="14"/>
          <w:b w:val="1"/>
          <w:bCs w:val="1"/>
          <w:color w:val="343434"/>
        </w:rPr>
        <w:t>OTHER THAN:</w:t>
      </w:r>
      <w:r>
        <w:rPr>
          <w:rFonts w:ascii="Arial" w:cs="Arial" w:eastAsia="Arial" w:hAnsi="Arial"/>
          <w:sz w:val="14"/>
          <w:szCs w:val="14"/>
          <w:color w:val="343434"/>
        </w:rPr>
        <w:t xml:space="preserve"> Short-term Disability, Long-term Disability, and 40l(k) Savings Plan. Employee further agrees and acknowledges that after his Last Day of Active Employment, he will no longer be eligible for any executive perquisites.</w:t>
      </w:r>
    </w:p>
    <w:p>
      <w:pPr>
        <w:spacing w:after="0" w:line="151" w:lineRule="exact"/>
        <w:rPr>
          <w:rFonts w:ascii="Arial" w:cs="Arial" w:eastAsia="Arial" w:hAnsi="Arial"/>
          <w:sz w:val="14"/>
          <w:szCs w:val="14"/>
          <w:color w:val="auto"/>
        </w:rPr>
      </w:pPr>
    </w:p>
    <w:p>
      <w:pPr>
        <w:ind w:right="80" w:firstLine="6"/>
        <w:spacing w:after="0" w:line="267" w:lineRule="auto"/>
        <w:tabs>
          <w:tab w:leader="none" w:pos="507"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343434"/>
        </w:rPr>
        <w:t xml:space="preserve">Equity and 2019 Bonus. </w:t>
      </w:r>
      <w:r>
        <w:rPr>
          <w:rFonts w:ascii="Arial" w:cs="Arial" w:eastAsia="Arial" w:hAnsi="Arial"/>
          <w:sz w:val="14"/>
          <w:szCs w:val="14"/>
          <w:color w:val="343434"/>
        </w:rPr>
        <w:t>The vesting of Employee's equity awards (including restricted stock units and performance share awards) shall be determined in accordance with</w:t>
      </w:r>
      <w:r>
        <w:rPr>
          <w:rFonts w:ascii="Arial" w:cs="Arial" w:eastAsia="Arial" w:hAnsi="Arial"/>
          <w:sz w:val="14"/>
          <w:szCs w:val="14"/>
          <w:b w:val="1"/>
          <w:bCs w:val="1"/>
          <w:color w:val="343434"/>
        </w:rPr>
        <w:t xml:space="preserve"> </w:t>
      </w:r>
      <w:r>
        <w:rPr>
          <w:rFonts w:ascii="Arial" w:cs="Arial" w:eastAsia="Arial" w:hAnsi="Arial"/>
          <w:sz w:val="14"/>
          <w:szCs w:val="14"/>
          <w:color w:val="343434"/>
        </w:rPr>
        <w:t>the terms and conditions of the applicable equity plan documents. In the event of a conflict or discrepancy between this Agreement and any equity plan document, the applicable equity plan document shall control. Employee understands and acknowledges that the vesting of his equity awards is contingent upon Employee's execution and non revocation of this Agreement containing a full release of all claims. Employee and Company agree that the reason for Employee's separation is not for Cause (as defined in the applicable equity plan documents) and that Employee will not vest in any awards while receiving salary and benefits continuation. Notwithstanding any provision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671385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9240" w:val="left"/>
        </w:tabs>
        <w:rPr>
          <w:sz w:val="20"/>
          <w:szCs w:val="20"/>
          <w:color w:val="auto"/>
        </w:rPr>
      </w:pPr>
      <w:r>
        <w:rPr>
          <w:rFonts w:ascii="Arial" w:cs="Arial" w:eastAsia="Arial" w:hAnsi="Arial"/>
          <w:sz w:val="11"/>
          <w:szCs w:val="11"/>
          <w:color w:val="auto"/>
        </w:rPr>
        <w:t>Separation Agreement and General Release/Jeffrey Friedel</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460"/>
          </w:cols>
          <w:pgMar w:left="220" w:top="317"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3051F2"/>
        </w:rPr>
        <w:t>EXHIBIT 10.6(j)</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343434"/>
        </w:rPr>
        <w:t>contrary in the 2019 Annual Performance Incentive Plan, Employee agrees and acknowledges that he will not be eligible to receive or be paid any bonus for 2019.</w:t>
      </w:r>
    </w:p>
    <w:p>
      <w:pPr>
        <w:spacing w:after="0" w:line="187" w:lineRule="exact"/>
        <w:rPr>
          <w:sz w:val="20"/>
          <w:szCs w:val="20"/>
          <w:color w:val="auto"/>
        </w:rPr>
      </w:pPr>
    </w:p>
    <w:p>
      <w:pPr>
        <w:ind w:right="120" w:firstLine="6"/>
        <w:spacing w:after="0" w:line="271" w:lineRule="auto"/>
        <w:tabs>
          <w:tab w:leader="none" w:pos="507"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343434"/>
        </w:rPr>
        <w:t xml:space="preserve">Confidentiality. </w:t>
      </w:r>
      <w:r>
        <w:rPr>
          <w:rFonts w:ascii="Arial" w:cs="Arial" w:eastAsia="Arial" w:hAnsi="Arial"/>
          <w:sz w:val="14"/>
          <w:szCs w:val="14"/>
          <w:color w:val="343434"/>
        </w:rPr>
        <w:t>Employee shall keep confidential all confidential or proprietary information known to his concerning any matters affecting or relating to the business,</w:t>
      </w:r>
      <w:r>
        <w:rPr>
          <w:rFonts w:ascii="Arial" w:cs="Arial" w:eastAsia="Arial" w:hAnsi="Arial"/>
          <w:sz w:val="14"/>
          <w:szCs w:val="14"/>
          <w:b w:val="1"/>
          <w:bCs w:val="1"/>
          <w:color w:val="343434"/>
        </w:rPr>
        <w:t xml:space="preserve"> </w:t>
      </w:r>
      <w:r>
        <w:rPr>
          <w:rFonts w:ascii="Arial" w:cs="Arial" w:eastAsia="Arial" w:hAnsi="Arial"/>
          <w:sz w:val="14"/>
          <w:szCs w:val="14"/>
          <w:color w:val="343434"/>
        </w:rPr>
        <w:t>operations, and financial affairs of the Company which are of a special or unique nature, regardless of whether any such information is labeled or otherwise treated as confidential, material, or important. The contents of this Agreement shall not be disclosed, released or communicated by Employee to any person, other than Employee's spouse, tax advisor or legal counsel, and to the extent necessary to enforce any of the terms of this Agreement.</w:t>
      </w:r>
    </w:p>
    <w:p>
      <w:pPr>
        <w:spacing w:after="0" w:line="155" w:lineRule="exact"/>
        <w:rPr>
          <w:rFonts w:ascii="Arial" w:cs="Arial" w:eastAsia="Arial" w:hAnsi="Arial"/>
          <w:sz w:val="14"/>
          <w:szCs w:val="14"/>
          <w:color w:val="auto"/>
        </w:rPr>
      </w:pPr>
    </w:p>
    <w:p>
      <w:pPr>
        <w:ind w:right="20" w:firstLine="6"/>
        <w:spacing w:after="0" w:line="259" w:lineRule="auto"/>
        <w:tabs>
          <w:tab w:leader="none" w:pos="507"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343434"/>
        </w:rPr>
        <w:t xml:space="preserve">Release and Covenant Not to Sue. </w:t>
      </w:r>
      <w:r>
        <w:rPr>
          <w:rFonts w:ascii="Arial" w:cs="Arial" w:eastAsia="Arial" w:hAnsi="Arial"/>
          <w:sz w:val="14"/>
          <w:szCs w:val="14"/>
          <w:color w:val="343434"/>
        </w:rPr>
        <w:t>As a material inducement to the Company to enter into this Agreement, Employee hereby irrevocably and unconditionally releases,</w:t>
      </w:r>
      <w:r>
        <w:rPr>
          <w:rFonts w:ascii="Arial" w:cs="Arial" w:eastAsia="Arial" w:hAnsi="Arial"/>
          <w:sz w:val="14"/>
          <w:szCs w:val="14"/>
          <w:b w:val="1"/>
          <w:bCs w:val="1"/>
          <w:color w:val="343434"/>
        </w:rPr>
        <w:t xml:space="preserve"> </w:t>
      </w:r>
      <w:r>
        <w:rPr>
          <w:rFonts w:ascii="Arial" w:cs="Arial" w:eastAsia="Arial" w:hAnsi="Arial"/>
          <w:sz w:val="14"/>
          <w:szCs w:val="14"/>
          <w:color w:val="343434"/>
        </w:rPr>
        <w:t xml:space="preserve">acquits and forever discharges and covenants not to sue the Company and each of the Company's owners, stockholders, predecessors, successors, assigns, agents, directors, officers, employees, representatives, attorneys, divisions, subsidiaries, affiliates (and agents, directors, officers, employees, representatives and attorneys of such divisions, subsidiaries and affiliates) and all persons acting by, through, under or in concert with any of them (collectively "Releases"),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("Claim" or "Claims"), which Employee now has, owns, or holds or which Employee at any time previously had, owned or held against each of the Releases, including, but not limited to, (a) </w:t>
      </w:r>
      <w:r>
        <w:rPr>
          <w:rFonts w:ascii="Arial" w:cs="Arial" w:eastAsia="Arial" w:hAnsi="Arial"/>
          <w:sz w:val="14"/>
          <w:szCs w:val="14"/>
          <w:b w:val="1"/>
          <w:bCs w:val="1"/>
          <w:color w:val="343434"/>
        </w:rPr>
        <w:t>all Claims of Age Discrimination under the Age Discrimination in</w:t>
      </w:r>
      <w:r>
        <w:rPr>
          <w:rFonts w:ascii="Arial" w:cs="Arial" w:eastAsia="Arial" w:hAnsi="Arial"/>
          <w:sz w:val="14"/>
          <w:szCs w:val="14"/>
          <w:color w:val="343434"/>
        </w:rPr>
        <w:t xml:space="preserve"> </w:t>
      </w:r>
      <w:r>
        <w:rPr>
          <w:rFonts w:ascii="Arial" w:cs="Arial" w:eastAsia="Arial" w:hAnsi="Arial"/>
          <w:sz w:val="14"/>
          <w:szCs w:val="14"/>
          <w:b w:val="1"/>
          <w:bCs w:val="1"/>
          <w:color w:val="343434"/>
        </w:rPr>
        <w:t xml:space="preserve">Employment Act of 1967 or any similar state statute; </w:t>
      </w:r>
      <w:r>
        <w:rPr>
          <w:rFonts w:ascii="Arial" w:cs="Arial" w:eastAsia="Arial" w:hAnsi="Arial"/>
          <w:sz w:val="14"/>
          <w:szCs w:val="14"/>
          <w:color w:val="343434"/>
        </w:rPr>
        <w:t>(b) all Claims under the Employee Retirement Income Security Act of 1974; (c) all employment or discrimination Claims</w:t>
      </w:r>
      <w:r>
        <w:rPr>
          <w:rFonts w:ascii="Arial" w:cs="Arial" w:eastAsia="Arial" w:hAnsi="Arial"/>
          <w:sz w:val="14"/>
          <w:szCs w:val="14"/>
          <w:b w:val="1"/>
          <w:bCs w:val="1"/>
          <w:color w:val="343434"/>
        </w:rPr>
        <w:t xml:space="preserve"> </w:t>
      </w:r>
      <w:r>
        <w:rPr>
          <w:rFonts w:ascii="Arial" w:cs="Arial" w:eastAsia="Arial" w:hAnsi="Arial"/>
          <w:sz w:val="14"/>
          <w:szCs w:val="14"/>
          <w:color w:val="343434"/>
        </w:rPr>
        <w:t xml:space="preserve">under the statutes of the State of New Jersey or any other state; (d) all Claims of unlawful discrimination based on age, sex, race, religion, national origin, handicap, disability, equal pay or any other basis; (e) all Claims of wrongful discharge, retaliation, breach of any implied or express employment contract, negligent or intentional infliction of emotional distress, libel, defamation, breach of privacy, fraud, and breach of any implied covenant of good faith and fair dealing; and (t) all Claims related to Employee's employment with the Company, including but not limited to all Claims related to unpaid wages, salary, overtime compensation, bonuses, commissions, severance pay, supplemental unemployment benefit pay, vacation pay, or other compensation or benefits arising out of Employee's employment with the Company. Employee covenants and agrees not to bring any judicial action or action under the Conduent Dispute Resolution Plan (the "Plan") against any of the Releases with respect to any such Claim or Claims and warrants that no such Claim or Claims have been filed. By signing this Agreement, however, </w:t>
      </w:r>
      <w:r>
        <w:rPr>
          <w:rFonts w:ascii="Arial" w:cs="Arial" w:eastAsia="Arial" w:hAnsi="Arial"/>
          <w:sz w:val="14"/>
          <w:szCs w:val="14"/>
          <w:b w:val="1"/>
          <w:bCs w:val="1"/>
          <w:color w:val="343434"/>
        </w:rPr>
        <w:t>Employee is not waiving any rights or claims arising after the date on which reporting possible violations of a federal or</w:t>
      </w:r>
      <w:r>
        <w:rPr>
          <w:rFonts w:ascii="Arial" w:cs="Arial" w:eastAsia="Arial" w:hAnsi="Arial"/>
          <w:sz w:val="14"/>
          <w:szCs w:val="14"/>
          <w:color w:val="343434"/>
        </w:rPr>
        <w:t xml:space="preserve"> </w:t>
      </w:r>
      <w:r>
        <w:rPr>
          <w:rFonts w:ascii="Arial" w:cs="Arial" w:eastAsia="Arial" w:hAnsi="Arial"/>
          <w:sz w:val="14"/>
          <w:szCs w:val="14"/>
          <w:b w:val="1"/>
          <w:bCs w:val="1"/>
          <w:color w:val="343434"/>
        </w:rPr>
        <w:t xml:space="preserve">state law or regulation to any governmental agency or entity, or participating </w:t>
      </w:r>
      <w:r>
        <w:rPr>
          <w:rFonts w:ascii="Arial" w:cs="Arial" w:eastAsia="Arial" w:hAnsi="Arial"/>
          <w:sz w:val="14"/>
          <w:szCs w:val="14"/>
          <w:color w:val="343434"/>
        </w:rPr>
        <w:t>in</w:t>
      </w:r>
      <w:r>
        <w:rPr>
          <w:rFonts w:ascii="Arial" w:cs="Arial" w:eastAsia="Arial" w:hAnsi="Arial"/>
          <w:sz w:val="14"/>
          <w:szCs w:val="14"/>
          <w:b w:val="1"/>
          <w:bCs w:val="1"/>
          <w:color w:val="343434"/>
        </w:rPr>
        <w:t xml:space="preserve"> any proceedings or investigations with the federal, state or local government agency or entity responsible for enforcing such laws. Employee is not required to notify the Company that he has made such reports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671385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9240" w:val="left"/>
        </w:tabs>
        <w:rPr>
          <w:sz w:val="20"/>
          <w:szCs w:val="20"/>
          <w:color w:val="auto"/>
        </w:rPr>
      </w:pPr>
      <w:r>
        <w:rPr>
          <w:rFonts w:ascii="Arial" w:cs="Arial" w:eastAsia="Arial" w:hAnsi="Arial"/>
          <w:sz w:val="11"/>
          <w:szCs w:val="11"/>
          <w:color w:val="auto"/>
        </w:rPr>
        <w:t>Separation Agreement and General Release/Jeffrey Friedel</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460"/>
          </w:cols>
          <w:pgMar w:left="220" w:top="317"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3051F2"/>
        </w:rPr>
        <w:t>EXHIBIT 10.6(j)</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firstLine="6"/>
        <w:spacing w:after="0" w:line="299" w:lineRule="auto"/>
        <w:tabs>
          <w:tab w:leader="none" w:pos="507"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343434"/>
        </w:rPr>
        <w:t xml:space="preserve">No Admission. </w:t>
      </w:r>
      <w:r>
        <w:rPr>
          <w:rFonts w:ascii="Arial" w:cs="Arial" w:eastAsia="Arial" w:hAnsi="Arial"/>
          <w:sz w:val="14"/>
          <w:szCs w:val="14"/>
          <w:color w:val="343434"/>
        </w:rPr>
        <w:t>This Agreement shall not in any way be construed as an admission by the Company of any illegal act whatsoever against Employee or any other person,</w:t>
      </w:r>
      <w:r>
        <w:rPr>
          <w:rFonts w:ascii="Arial" w:cs="Arial" w:eastAsia="Arial" w:hAnsi="Arial"/>
          <w:sz w:val="14"/>
          <w:szCs w:val="14"/>
          <w:b w:val="1"/>
          <w:bCs w:val="1"/>
          <w:color w:val="343434"/>
        </w:rPr>
        <w:t xml:space="preserve"> </w:t>
      </w:r>
      <w:r>
        <w:rPr>
          <w:rFonts w:ascii="Arial" w:cs="Arial" w:eastAsia="Arial" w:hAnsi="Arial"/>
          <w:sz w:val="14"/>
          <w:szCs w:val="14"/>
          <w:color w:val="343434"/>
        </w:rPr>
        <w:t>and the Company specifically disclaims any liability to Employee or any other person, on the part of itself, its employees, or its agents.</w:t>
      </w:r>
    </w:p>
    <w:p>
      <w:pPr>
        <w:spacing w:after="0" w:line="137" w:lineRule="exact"/>
        <w:rPr>
          <w:rFonts w:ascii="Arial" w:cs="Arial" w:eastAsia="Arial" w:hAnsi="Arial"/>
          <w:sz w:val="14"/>
          <w:szCs w:val="14"/>
          <w:color w:val="auto"/>
        </w:rPr>
      </w:pPr>
    </w:p>
    <w:p>
      <w:pPr>
        <w:ind w:right="240" w:firstLine="6"/>
        <w:spacing w:after="0" w:line="299" w:lineRule="auto"/>
        <w:tabs>
          <w:tab w:leader="none" w:pos="507"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343434"/>
        </w:rPr>
        <w:t xml:space="preserve">No rehire. </w:t>
      </w:r>
      <w:r>
        <w:rPr>
          <w:rFonts w:ascii="Arial" w:cs="Arial" w:eastAsia="Arial" w:hAnsi="Arial"/>
          <w:sz w:val="14"/>
          <w:szCs w:val="14"/>
          <w:color w:val="343434"/>
        </w:rPr>
        <w:t>Employee acknowledges and understands that for a period of six months following his Termination Date, he is not eligible to be rehired by the Company as an</w:t>
      </w:r>
      <w:r>
        <w:rPr>
          <w:rFonts w:ascii="Arial" w:cs="Arial" w:eastAsia="Arial" w:hAnsi="Arial"/>
          <w:sz w:val="14"/>
          <w:szCs w:val="14"/>
          <w:b w:val="1"/>
          <w:bCs w:val="1"/>
          <w:color w:val="343434"/>
        </w:rPr>
        <w:t xml:space="preserve"> </w:t>
      </w:r>
      <w:r>
        <w:rPr>
          <w:rFonts w:ascii="Arial" w:cs="Arial" w:eastAsia="Arial" w:hAnsi="Arial"/>
          <w:sz w:val="14"/>
          <w:szCs w:val="14"/>
          <w:color w:val="343434"/>
        </w:rPr>
        <w:t>employee or retained as a contractor or consultant.</w:t>
      </w:r>
    </w:p>
    <w:p>
      <w:pPr>
        <w:spacing w:after="0" w:line="137" w:lineRule="exact"/>
        <w:rPr>
          <w:rFonts w:ascii="Arial" w:cs="Arial" w:eastAsia="Arial" w:hAnsi="Arial"/>
          <w:sz w:val="14"/>
          <w:szCs w:val="14"/>
          <w:color w:val="auto"/>
        </w:rPr>
      </w:pPr>
    </w:p>
    <w:p>
      <w:pPr>
        <w:ind w:right="40" w:firstLine="6"/>
        <w:spacing w:after="0" w:line="262" w:lineRule="auto"/>
        <w:tabs>
          <w:tab w:leader="none" w:pos="507"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343434"/>
        </w:rPr>
        <w:t xml:space="preserve">Cooperation in Legal Matters. </w:t>
      </w:r>
      <w:r>
        <w:rPr>
          <w:rFonts w:ascii="Arial" w:cs="Arial" w:eastAsia="Arial" w:hAnsi="Arial"/>
          <w:sz w:val="14"/>
          <w:szCs w:val="14"/>
          <w:color w:val="343434"/>
        </w:rPr>
        <w:t>Employee agrees that he will assist and cooperate with the Company in connection with: a) the defense or prosecution of any claim that</w:t>
      </w:r>
      <w:r>
        <w:rPr>
          <w:rFonts w:ascii="Arial" w:cs="Arial" w:eastAsia="Arial" w:hAnsi="Arial"/>
          <w:sz w:val="14"/>
          <w:szCs w:val="14"/>
          <w:b w:val="1"/>
          <w:bCs w:val="1"/>
          <w:color w:val="343434"/>
        </w:rPr>
        <w:t xml:space="preserve"> </w:t>
      </w:r>
      <w:r>
        <w:rPr>
          <w:rFonts w:ascii="Arial" w:cs="Arial" w:eastAsia="Arial" w:hAnsi="Arial"/>
          <w:sz w:val="14"/>
          <w:szCs w:val="14"/>
          <w:color w:val="343434"/>
        </w:rPr>
        <w:t>was asserted against, or by, the Company while Employee was employed with Company; b) any ongoing or future investigation, or any dispute or claim of any kind involving the Company, including any proceeding before any arbitral, administrative, judicial, legislative, or other body or agency, the facts of which arose during Employee's employment with Company; and c) any requests made by the Company related to Employee's duties and work product while employed by the Company, including preparing for and testifying honestly in any proceeding to the extent that such claims, investigations or proceedings relate to services performed or required to be performed by Employee, pertinent knowledge possessed by Employee, or any act or omission by Employee. Employee understands that cooperation as described in this paragraph means voluntary participation in all stages of adversarial proceedings, investigations, and the like, and includes testifying where requested by Company. Employee further agrees to execute and deliver any documents that may be reasonably necessary to carry out the provisions of this Paragraph.</w:t>
      </w:r>
    </w:p>
    <w:p>
      <w:pPr>
        <w:spacing w:after="0" w:line="165" w:lineRule="exact"/>
        <w:rPr>
          <w:rFonts w:ascii="Arial" w:cs="Arial" w:eastAsia="Arial" w:hAnsi="Arial"/>
          <w:sz w:val="14"/>
          <w:szCs w:val="14"/>
          <w:color w:val="auto"/>
        </w:rPr>
      </w:pPr>
    </w:p>
    <w:p>
      <w:pPr>
        <w:ind w:right="20" w:firstLine="6"/>
        <w:spacing w:after="0" w:line="261" w:lineRule="auto"/>
        <w:tabs>
          <w:tab w:leader="none" w:pos="507"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343434"/>
        </w:rPr>
        <w:t xml:space="preserve">Representations of Employee. </w:t>
      </w:r>
      <w:r>
        <w:rPr>
          <w:rFonts w:ascii="Arial" w:cs="Arial" w:eastAsia="Arial" w:hAnsi="Arial"/>
          <w:sz w:val="14"/>
          <w:szCs w:val="14"/>
          <w:color w:val="343434"/>
        </w:rPr>
        <w:t>Employee represents and agrees (a) that he was advised by the Company in writing by this Agreement to consult with an attorney of his</w:t>
      </w:r>
      <w:r>
        <w:rPr>
          <w:rFonts w:ascii="Arial" w:cs="Arial" w:eastAsia="Arial" w:hAnsi="Arial"/>
          <w:sz w:val="14"/>
          <w:szCs w:val="14"/>
          <w:b w:val="1"/>
          <w:bCs w:val="1"/>
          <w:color w:val="343434"/>
        </w:rPr>
        <w:t xml:space="preserve"> </w:t>
      </w:r>
      <w:r>
        <w:rPr>
          <w:rFonts w:ascii="Arial" w:cs="Arial" w:eastAsia="Arial" w:hAnsi="Arial"/>
          <w:sz w:val="14"/>
          <w:szCs w:val="14"/>
          <w:color w:val="343434"/>
        </w:rPr>
        <w:t xml:space="preserve">choice prior to signing this Agreement; (b) that the Company has afforded Employee </w:t>
      </w:r>
      <w:r>
        <w:rPr>
          <w:rFonts w:ascii="Arial" w:cs="Arial" w:eastAsia="Arial" w:hAnsi="Arial"/>
          <w:sz w:val="14"/>
          <w:szCs w:val="14"/>
          <w:b w:val="1"/>
          <w:bCs w:val="1"/>
          <w:color w:val="343434"/>
        </w:rPr>
        <w:t>no less than twenty-one (21) days</w:t>
      </w:r>
      <w:r>
        <w:rPr>
          <w:rFonts w:ascii="Arial" w:cs="Arial" w:eastAsia="Arial" w:hAnsi="Arial"/>
          <w:sz w:val="14"/>
          <w:szCs w:val="14"/>
          <w:color w:val="343434"/>
        </w:rPr>
        <w:t xml:space="preserve"> to consider whether to execute this Agreement, and during that time Employee has had this Agreement in his possession; (c) that Employee has taken full advantage of this 21-day consideration period or has purposely waived his right to do so; (d) that Employee has consulted or has had sufficient opportunity to discuss with any person, including an attorney of his choice, all provisions of this Agreement, that Employee has carefully read and understands it, that Employee is competent to execute this Agreement, and that Employee is entering into this Agreement knowingly and voluntarily without reliance upon any statement or representation of any person or parties released, or their representatives, concerning the nature and extent of the damages and/or legal liability therefore; (e) that Employee has not assigned or transferred, or proposed to assign or transfer, to any person or entity, any Claim or any portion thereof or interest therein; (f) that the compensation and/or benefits provided to Employee pursuant to this Agreement exceeds any compensation and/or benefits to which Employee may be entitled; and (g) that in executing this Agreement, Employee does not rely and has not relied upon any representation or statement made by any of the Releases or by any of the Releases' agents, representatives or attorneys with regard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671385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9240" w:val="left"/>
        </w:tabs>
        <w:rPr>
          <w:sz w:val="20"/>
          <w:szCs w:val="20"/>
          <w:color w:val="auto"/>
        </w:rPr>
      </w:pPr>
      <w:r>
        <w:rPr>
          <w:rFonts w:ascii="Arial" w:cs="Arial" w:eastAsia="Arial" w:hAnsi="Arial"/>
          <w:sz w:val="11"/>
          <w:szCs w:val="11"/>
          <w:color w:val="auto"/>
        </w:rPr>
        <w:t>Separation Agreement and General Release/Jeffrey Friedel</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460"/>
          </w:cols>
          <w:pgMar w:left="220" w:top="31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3051F2"/>
        </w:rPr>
        <w:t>EXHIBIT 10.6(j)</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64" w:lineRule="auto"/>
        <w:rPr>
          <w:sz w:val="20"/>
          <w:szCs w:val="20"/>
          <w:color w:val="auto"/>
        </w:rPr>
      </w:pPr>
      <w:r>
        <w:rPr>
          <w:rFonts w:ascii="Arial" w:cs="Arial" w:eastAsia="Arial" w:hAnsi="Arial"/>
          <w:sz w:val="14"/>
          <w:szCs w:val="14"/>
          <w:color w:val="313131"/>
        </w:rPr>
        <w:t>the subject matter, basis or effect of this Agreement or otherwise. Employee shall indemnify and hold each and all of the Releases harmless from and against any and all loss, cost, damage, or expense, including, without limitation, attorneys' fees, incurred by Releases, or any of them, arising out of any breach of this Agreement by Employee or the fact that any representation made by Employee was false when made.</w:t>
      </w:r>
    </w:p>
    <w:p>
      <w:pPr>
        <w:spacing w:after="0" w:line="161" w:lineRule="exact"/>
        <w:rPr>
          <w:sz w:val="20"/>
          <w:szCs w:val="20"/>
          <w:color w:val="auto"/>
        </w:rPr>
      </w:pPr>
    </w:p>
    <w:p>
      <w:pPr>
        <w:ind w:right="40" w:firstLine="6"/>
        <w:spacing w:after="0" w:line="265" w:lineRule="auto"/>
        <w:tabs>
          <w:tab w:leader="none" w:pos="512"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313131"/>
        </w:rPr>
        <w:t xml:space="preserve">Miscellaneous. </w:t>
      </w:r>
      <w:r>
        <w:rPr>
          <w:rFonts w:ascii="Arial" w:cs="Arial" w:eastAsia="Arial" w:hAnsi="Arial"/>
          <w:sz w:val="14"/>
          <w:szCs w:val="14"/>
          <w:color w:val="313131"/>
        </w:rPr>
        <w:t>It is the parties' intention that all provisions of this Agreement be enforced to the fullest extent permitted by law. If, however, any provision of this Agreement</w:t>
      </w:r>
      <w:r>
        <w:rPr>
          <w:rFonts w:ascii="Arial" w:cs="Arial" w:eastAsia="Arial" w:hAnsi="Arial"/>
          <w:sz w:val="14"/>
          <w:szCs w:val="14"/>
          <w:b w:val="1"/>
          <w:bCs w:val="1"/>
          <w:color w:val="313131"/>
        </w:rPr>
        <w:t xml:space="preserve"> </w:t>
      </w:r>
      <w:r>
        <w:rPr>
          <w:rFonts w:ascii="Arial" w:cs="Arial" w:eastAsia="Arial" w:hAnsi="Arial"/>
          <w:sz w:val="14"/>
          <w:szCs w:val="14"/>
          <w:color w:val="313131"/>
        </w:rPr>
        <w:t>is held to be illegal or unenforceable, such provision shall be severable and the remaining provisions of this Agreement shall remain in full force and effect. This Agreement shall be governed by and construed in accordance with the laws of the State of New Jersey. This Agreement contains the entire understanding and agreement between the Company and Employee with respect to the subject matter of this Agreement and supersedes all prior oral or written agreements between the parties with respect to that subject matter. However, this Agreement supplements, rather than supersedes, any of Employee's duties regarding non-competition, non-solicitation, confidentiality and trade secrets under law or contract. Any action regarding the enforceability of this Agreement or any other cause of action relating to or arising under this Agreement shall be subject to the Plan.</w:t>
      </w:r>
    </w:p>
    <w:p>
      <w:pPr>
        <w:spacing w:after="0" w:line="160" w:lineRule="exact"/>
        <w:rPr>
          <w:rFonts w:ascii="Arial" w:cs="Arial" w:eastAsia="Arial" w:hAnsi="Arial"/>
          <w:sz w:val="14"/>
          <w:szCs w:val="14"/>
          <w:color w:val="auto"/>
        </w:rPr>
      </w:pPr>
    </w:p>
    <w:p>
      <w:pPr>
        <w:ind w:right="40" w:firstLine="6"/>
        <w:spacing w:after="0" w:line="278" w:lineRule="auto"/>
        <w:tabs>
          <w:tab w:leader="none" w:pos="512"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313131"/>
        </w:rPr>
        <w:t xml:space="preserve">Withdrawal of Offer. </w:t>
      </w:r>
      <w:r>
        <w:rPr>
          <w:rFonts w:ascii="Arial" w:cs="Arial" w:eastAsia="Arial" w:hAnsi="Arial"/>
          <w:sz w:val="14"/>
          <w:szCs w:val="14"/>
          <w:color w:val="313131"/>
        </w:rPr>
        <w:t>Employee understands that if he has not signed this Agreement on or before the forty-fifth (45th) calendar date following the date on which Employee</w:t>
      </w:r>
      <w:r>
        <w:rPr>
          <w:rFonts w:ascii="Arial" w:cs="Arial" w:eastAsia="Arial" w:hAnsi="Arial"/>
          <w:sz w:val="14"/>
          <w:szCs w:val="14"/>
          <w:b w:val="1"/>
          <w:bCs w:val="1"/>
          <w:color w:val="313131"/>
        </w:rPr>
        <w:t xml:space="preserve"> </w:t>
      </w:r>
      <w:r>
        <w:rPr>
          <w:rFonts w:ascii="Arial" w:cs="Arial" w:eastAsia="Arial" w:hAnsi="Arial"/>
          <w:sz w:val="14"/>
          <w:szCs w:val="14"/>
          <w:color w:val="313131"/>
        </w:rPr>
        <w:t>received this Agreement for review and consideration, it shall be automatically withdrawn by the Company without further notice or action by the Company, and this Agreement shall not be effective or enforceable.</w:t>
      </w:r>
    </w:p>
    <w:p>
      <w:pPr>
        <w:spacing w:after="0" w:line="151" w:lineRule="exact"/>
        <w:rPr>
          <w:rFonts w:ascii="Arial" w:cs="Arial" w:eastAsia="Arial" w:hAnsi="Arial"/>
          <w:sz w:val="14"/>
          <w:szCs w:val="14"/>
          <w:color w:val="auto"/>
        </w:rPr>
      </w:pPr>
    </w:p>
    <w:p>
      <w:pPr>
        <w:ind w:right="140" w:firstLine="6"/>
        <w:spacing w:after="0" w:line="271" w:lineRule="auto"/>
        <w:tabs>
          <w:tab w:leader="none" w:pos="512"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313131"/>
        </w:rPr>
        <w:t xml:space="preserve">Revocation. </w:t>
      </w:r>
      <w:r>
        <w:rPr>
          <w:rFonts w:ascii="Arial" w:cs="Arial" w:eastAsia="Arial" w:hAnsi="Arial"/>
          <w:sz w:val="14"/>
          <w:szCs w:val="14"/>
          <w:color w:val="313131"/>
        </w:rPr>
        <w:t>It</w:t>
      </w:r>
      <w:r>
        <w:rPr>
          <w:rFonts w:ascii="Arial" w:cs="Arial" w:eastAsia="Arial" w:hAnsi="Arial"/>
          <w:sz w:val="14"/>
          <w:szCs w:val="14"/>
          <w:b w:val="1"/>
          <w:bCs w:val="1"/>
          <w:color w:val="313131"/>
        </w:rPr>
        <w:t xml:space="preserve"> </w:t>
      </w:r>
      <w:r>
        <w:rPr>
          <w:rFonts w:ascii="Arial" w:cs="Arial" w:eastAsia="Arial" w:hAnsi="Arial"/>
          <w:sz w:val="14"/>
          <w:szCs w:val="14"/>
          <w:color w:val="414141"/>
        </w:rPr>
        <w:t>is</w:t>
      </w:r>
      <w:r>
        <w:rPr>
          <w:rFonts w:ascii="Arial" w:cs="Arial" w:eastAsia="Arial" w:hAnsi="Arial"/>
          <w:sz w:val="14"/>
          <w:szCs w:val="14"/>
          <w:b w:val="1"/>
          <w:bCs w:val="1"/>
          <w:color w:val="313131"/>
        </w:rPr>
        <w:t xml:space="preserve"> </w:t>
      </w:r>
      <w:r>
        <w:rPr>
          <w:rFonts w:ascii="Arial" w:cs="Arial" w:eastAsia="Arial" w:hAnsi="Arial"/>
          <w:sz w:val="14"/>
          <w:szCs w:val="14"/>
          <w:color w:val="313131"/>
        </w:rPr>
        <w:t>expressly agreed that for seven (7) days following execution of this Agreement by Employee, Employee may revoke this Agreement by contacting Nancy</w:t>
      </w:r>
      <w:r>
        <w:rPr>
          <w:rFonts w:ascii="Arial" w:cs="Arial" w:eastAsia="Arial" w:hAnsi="Arial"/>
          <w:sz w:val="14"/>
          <w:szCs w:val="14"/>
          <w:b w:val="1"/>
          <w:bCs w:val="1"/>
          <w:color w:val="313131"/>
        </w:rPr>
        <w:t xml:space="preserve"> </w:t>
      </w:r>
      <w:r>
        <w:rPr>
          <w:rFonts w:ascii="Arial" w:cs="Arial" w:eastAsia="Arial" w:hAnsi="Arial"/>
          <w:sz w:val="14"/>
          <w:szCs w:val="14"/>
          <w:color w:val="313131"/>
        </w:rPr>
        <w:t xml:space="preserve">K. Jagielski in writing at </w:t>
      </w:r>
      <w:r>
        <w:rPr>
          <w:rFonts w:ascii="Arial" w:cs="Arial" w:eastAsia="Arial" w:hAnsi="Arial"/>
          <w:sz w:val="14"/>
          <w:szCs w:val="14"/>
          <w:u w:val="single" w:color="auto"/>
          <w:color w:val="0094FF"/>
        </w:rPr>
        <w:t>nancy. jagielski@conduent.com</w:t>
      </w:r>
      <w:r>
        <w:rPr>
          <w:rFonts w:ascii="Arial" w:cs="Arial" w:eastAsia="Arial" w:hAnsi="Arial"/>
          <w:sz w:val="14"/>
          <w:szCs w:val="14"/>
          <w:color w:val="313131"/>
        </w:rPr>
        <w:t xml:space="preserve"> or 1702 N. Collins Blvd, Suite 260, Richardson, Texas 75080. It is further expressly agreed by the parties that this Agreement shall not become effective or enforceable until the seven (7) day revocation period described above has expired, after which time this Agreement shall be deemed effective and enforceable.</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313131"/>
        </w:rPr>
        <w:t>PLEASE READ CAREFULLY. THIS AGREEMENT INCLUDES A RELEASE ALL KNOWN AND UNKNOWN CLAIMS.</w:t>
      </w:r>
    </w:p>
    <w:p>
      <w:pPr>
        <w:spacing w:after="0" w:line="200" w:lineRule="exact"/>
        <w:rPr>
          <w:sz w:val="20"/>
          <w:szCs w:val="20"/>
          <w:color w:val="auto"/>
        </w:rPr>
      </w:pPr>
    </w:p>
    <w:p>
      <w:pPr>
        <w:spacing w:after="0" w:line="260"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/S/ JEFFREY FRIEDEL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14605</wp:posOffset>
            </wp:positionV>
            <wp:extent cx="11963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1196340" cy="6985"/>
                    </a:xfrm>
                    <a:prstGeom prst="rect">
                      <a:avLst/>
                    </a:prstGeom>
                    <a:noFill/>
                  </pic:spPr>
                </pic:pic>
              </a:graphicData>
            </a:graphic>
          </wp:anchor>
        </w:drawing>
      </w:r>
    </w:p>
    <w:p>
      <w:pPr>
        <w:spacing w:after="0" w:line="34"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Jeffrey Friedel</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January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671385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6713855" cy="6985"/>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9240" w:val="left"/>
        </w:tabs>
        <w:rPr>
          <w:sz w:val="20"/>
          <w:szCs w:val="20"/>
          <w:color w:val="auto"/>
        </w:rPr>
      </w:pPr>
      <w:r>
        <w:rPr>
          <w:rFonts w:ascii="Arial" w:cs="Arial" w:eastAsia="Arial" w:hAnsi="Arial"/>
          <w:sz w:val="11"/>
          <w:szCs w:val="11"/>
          <w:color w:val="auto"/>
        </w:rPr>
        <w:t>Separation Agreement and General Release/Jeffrey Friedel</w:t>
      </w:r>
      <w:r>
        <w:rPr>
          <w:sz w:val="20"/>
          <w:szCs w:val="20"/>
          <w:color w:val="auto"/>
        </w:rPr>
        <w:tab/>
      </w:r>
      <w:r>
        <w:rPr>
          <w:rFonts w:ascii="Arial" w:cs="Arial" w:eastAsia="Arial" w:hAnsi="Arial"/>
          <w:sz w:val="11"/>
          <w:szCs w:val="11"/>
          <w:color w:val="auto"/>
        </w:rPr>
        <w:t>Initials:</w:t>
      </w:r>
    </w:p>
    <w:p>
      <w:pPr>
        <w:sectPr>
          <w:pgSz w:w="11900" w:h="16838" w:orient="portrait"/>
          <w:cols w:equalWidth="0" w:num="1">
            <w:col w:w="11460"/>
          </w:cols>
          <w:pgMar w:left="220" w:top="317" w:right="219" w:bottom="1440" w:gutter="0" w:footer="0" w:header="0"/>
        </w:sectPr>
      </w:pPr>
    </w:p>
    <w:bookmarkStart w:id="125" w:name="page126"/>
    <w:bookmarkEnd w:id="125"/>
    <w:p>
      <w:pPr>
        <w:ind w:left="10480"/>
        <w:spacing w:after="0"/>
        <w:rPr>
          <w:sz w:val="20"/>
          <w:szCs w:val="20"/>
          <w:color w:val="auto"/>
        </w:rPr>
      </w:pPr>
      <w:r>
        <w:rPr>
          <w:rFonts w:ascii="Arial" w:cs="Arial" w:eastAsia="Arial" w:hAnsi="Arial"/>
          <w:sz w:val="16"/>
          <w:szCs w:val="16"/>
          <w:b w:val="1"/>
          <w:bCs w:val="1"/>
          <w:color w:val="0066CC"/>
        </w:rPr>
        <w:t>EXHIBIT 21.1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SUBSIDIARIES OF CONDUENT INCORPORATED</w:t>
      </w:r>
    </w:p>
    <w:p>
      <w:pPr>
        <w:spacing w:after="0" w:line="225" w:lineRule="exact"/>
        <w:rPr>
          <w:sz w:val="20"/>
          <w:szCs w:val="20"/>
          <w:color w:val="auto"/>
        </w:rPr>
      </w:pPr>
    </w:p>
    <w:p>
      <w:pPr>
        <w:ind w:right="480"/>
        <w:spacing w:after="0" w:line="246" w:lineRule="auto"/>
        <w:rPr>
          <w:sz w:val="20"/>
          <w:szCs w:val="20"/>
          <w:color w:val="auto"/>
        </w:rPr>
      </w:pPr>
      <w:r>
        <w:rPr>
          <w:rFonts w:ascii="Arial" w:cs="Arial" w:eastAsia="Arial" w:hAnsi="Arial"/>
          <w:sz w:val="13"/>
          <w:szCs w:val="13"/>
          <w:color w:val="auto"/>
        </w:rPr>
        <w:t>The following companies are subsidiaries of Conduent Incorporated as of December 31, 2019. Unless otherwise noted, a subsidiary is a company in which Conduent Incorporated or a subsidiary of Conduent Incorporated holds 50% or more of the voting stock. The names of other subsidiaries have been omitted as they would not, if considered in the aggregate as a single subsidiary, constitute a significant subsidiary: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Name of Subsidiary</w:t>
            </w:r>
          </w:p>
        </w:tc>
        <w:tc>
          <w:tcPr>
            <w:tcW w:w="80" w:type="dxa"/>
            <w:vAlign w:val="bottom"/>
            <w:tcBorders>
              <w:bottom w:val="single" w:sz="8" w:color="CCEEFF"/>
            </w:tcBorders>
          </w:tcPr>
          <w:p>
            <w:pPr>
              <w:spacing w:after="0"/>
              <w:rPr>
                <w:sz w:val="13"/>
                <w:szCs w:val="13"/>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Jurisdiction of Incorporation or Organization</w:t>
            </w:r>
          </w:p>
        </w:tc>
      </w:tr>
      <w:tr>
        <w:trPr>
          <w:trHeight w:val="198"/>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Care Management,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Arizona</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Healthy Communities Corporation</w:t>
            </w:r>
          </w:p>
        </w:tc>
        <w:tc>
          <w:tcPr>
            <w:tcW w:w="5800" w:type="dxa"/>
            <w:vAlign w:val="bottom"/>
          </w:tcPr>
          <w:p>
            <w:pPr>
              <w:spacing w:after="0"/>
              <w:rPr>
                <w:sz w:val="20"/>
                <w:szCs w:val="20"/>
                <w:color w:val="auto"/>
              </w:rPr>
            </w:pPr>
            <w:r>
              <w:rPr>
                <w:rFonts w:ascii="Arial" w:cs="Arial" w:eastAsia="Arial" w:hAnsi="Arial"/>
                <w:sz w:val="14"/>
                <w:szCs w:val="14"/>
                <w:color w:val="auto"/>
              </w:rPr>
              <w:t>California</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Asset Management Group,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BPO Services,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Workers Compensation Holdings,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Defense,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EDI Solutions,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Education Loan Services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Global,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Health Administration, Inc.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Human Resources Services,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Lending, Inc.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Medical Claims Management Solutions,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Middle East, Inc.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TradeOne Marketing,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Securities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Care Solutions,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Card Service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Finance,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Education Industry Services,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Payment Integrity Solutions,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Public Health Solutions, Inc.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ParkIndy,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Health Assessments,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National Abandoned Property Processing Corporation</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Business Services,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Education Services,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Education Solutions,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European Funding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Export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Federal Solutions,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Mortgage Services, Inc.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Credit Balance Solutions,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State Healthcare, LLC</w:t>
            </w:r>
          </w:p>
        </w:tc>
        <w:tc>
          <w:tcPr>
            <w:tcW w:w="5800" w:type="dxa"/>
            <w:vAlign w:val="bottom"/>
          </w:tcPr>
          <w:p>
            <w:pPr>
              <w:spacing w:after="0"/>
              <w:rPr>
                <w:sz w:val="20"/>
                <w:szCs w:val="20"/>
                <w:color w:val="auto"/>
              </w:rPr>
            </w:pPr>
            <w:r>
              <w:rPr>
                <w:rFonts w:ascii="Arial" w:cs="Arial" w:eastAsia="Arial" w:hAnsi="Arial"/>
                <w:sz w:val="14"/>
                <w:szCs w:val="14"/>
                <w:color w:val="auto"/>
              </w:rPr>
              <w:t>Delaware</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Healthcare Knowledge Solutions LLC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Florida</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Transport Solutions, Inc.</w:t>
            </w:r>
          </w:p>
        </w:tc>
        <w:tc>
          <w:tcPr>
            <w:tcW w:w="5800" w:type="dxa"/>
            <w:vAlign w:val="bottom"/>
          </w:tcPr>
          <w:p>
            <w:pPr>
              <w:spacing w:after="0"/>
              <w:rPr>
                <w:sz w:val="20"/>
                <w:szCs w:val="20"/>
                <w:color w:val="auto"/>
              </w:rPr>
            </w:pPr>
            <w:r>
              <w:rPr>
                <w:rFonts w:ascii="Arial" w:cs="Arial" w:eastAsia="Arial" w:hAnsi="Arial"/>
                <w:sz w:val="14"/>
                <w:szCs w:val="14"/>
                <w:color w:val="auto"/>
              </w:rPr>
              <w:t>Georgia</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Wireless Data Services (Operations)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Idaho</w:t>
            </w:r>
          </w:p>
        </w:tc>
      </w:tr>
      <w:tr>
        <w:trPr>
          <w:trHeight w:val="19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Human Services, LLC</w:t>
            </w:r>
          </w:p>
        </w:tc>
        <w:tc>
          <w:tcPr>
            <w:tcW w:w="5800" w:type="dxa"/>
            <w:vAlign w:val="bottom"/>
          </w:tcPr>
          <w:p>
            <w:pPr>
              <w:spacing w:after="0"/>
              <w:rPr>
                <w:sz w:val="20"/>
                <w:szCs w:val="20"/>
                <w:color w:val="auto"/>
              </w:rPr>
            </w:pPr>
            <w:r>
              <w:rPr>
                <w:rFonts w:ascii="Arial" w:cs="Arial" w:eastAsia="Arial" w:hAnsi="Arial"/>
                <w:sz w:val="14"/>
                <w:szCs w:val="14"/>
                <w:color w:val="auto"/>
              </w:rPr>
              <w:t>Indiana</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Conduent Healthcare Information Services, Inc.</w:t>
            </w: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Indiana</w:t>
            </w:r>
          </w:p>
        </w:tc>
      </w:tr>
      <w:tr>
        <w:trPr>
          <w:trHeight w:val="193"/>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Conduent Image Solutions, Inc.</w:t>
            </w:r>
          </w:p>
        </w:tc>
        <w:tc>
          <w:tcPr>
            <w:tcW w:w="5800" w:type="dxa"/>
            <w:vAlign w:val="bottom"/>
          </w:tcPr>
          <w:p>
            <w:pPr>
              <w:spacing w:after="0"/>
              <w:rPr>
                <w:sz w:val="20"/>
                <w:szCs w:val="20"/>
                <w:color w:val="auto"/>
              </w:rPr>
            </w:pPr>
            <w:r>
              <w:rPr>
                <w:rFonts w:ascii="Arial" w:cs="Arial" w:eastAsia="Arial" w:hAnsi="Arial"/>
                <w:sz w:val="14"/>
                <w:szCs w:val="14"/>
                <w:color w:val="auto"/>
              </w:rPr>
              <w:t>Louisiana</w:t>
            </w:r>
          </w:p>
        </w:tc>
      </w:tr>
    </w:tbl>
    <w:p>
      <w:pPr>
        <w:sectPr>
          <w:pgSz w:w="11900" w:h="16838" w:orient="portrait"/>
          <w:cols w:equalWidth="0" w:num="1">
            <w:col w:w="11540"/>
          </w:cols>
          <w:pgMar w:left="220" w:top="118" w:right="1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0066CC"/>
        </w:rPr>
        <w:t>EXHIBIT 21.1</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Commercial Solutions, LLC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Nevada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Patient Access Solutions, LLC</w:t>
            </w:r>
          </w:p>
        </w:tc>
        <w:tc>
          <w:tcPr>
            <w:tcW w:w="5180" w:type="dxa"/>
            <w:vAlign w:val="bottom"/>
          </w:tcPr>
          <w:p>
            <w:pPr>
              <w:ind w:left="760"/>
              <w:spacing w:after="0"/>
              <w:rPr>
                <w:sz w:val="20"/>
                <w:szCs w:val="20"/>
                <w:color w:val="auto"/>
              </w:rPr>
            </w:pPr>
            <w:r>
              <w:rPr>
                <w:rFonts w:ascii="Arial" w:cs="Arial" w:eastAsia="Arial" w:hAnsi="Arial"/>
                <w:sz w:val="14"/>
                <w:szCs w:val="14"/>
                <w:color w:val="auto"/>
              </w:rPr>
              <w:t>New Jersey</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Compliance &amp; Risk Consulting Corporation</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New York</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State &amp; Local Solutions, Inc.</w:t>
            </w:r>
          </w:p>
        </w:tc>
        <w:tc>
          <w:tcPr>
            <w:tcW w:w="5180" w:type="dxa"/>
            <w:vAlign w:val="bottom"/>
          </w:tcPr>
          <w:p>
            <w:pPr>
              <w:ind w:left="760"/>
              <w:spacing w:after="0"/>
              <w:rPr>
                <w:sz w:val="20"/>
                <w:szCs w:val="20"/>
                <w:color w:val="auto"/>
              </w:rPr>
            </w:pPr>
            <w:r>
              <w:rPr>
                <w:rFonts w:ascii="Arial" w:cs="Arial" w:eastAsia="Arial" w:hAnsi="Arial"/>
                <w:sz w:val="14"/>
                <w:szCs w:val="14"/>
                <w:color w:val="auto"/>
              </w:rPr>
              <w:t>New York</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Performance Improvement Solutions, Inc.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Oregon</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Customer Care Solutions, Inc.</w:t>
            </w:r>
          </w:p>
        </w:tc>
        <w:tc>
          <w:tcPr>
            <w:tcW w:w="5180" w:type="dxa"/>
            <w:vAlign w:val="bottom"/>
          </w:tcPr>
          <w:p>
            <w:pPr>
              <w:ind w:left="760"/>
              <w:spacing w:after="0"/>
              <w:rPr>
                <w:sz w:val="20"/>
                <w:szCs w:val="20"/>
                <w:color w:val="auto"/>
              </w:rPr>
            </w:pPr>
            <w:r>
              <w:rPr>
                <w:rFonts w:ascii="Arial" w:cs="Arial" w:eastAsia="Arial" w:hAnsi="Arial"/>
                <w:sz w:val="14"/>
                <w:szCs w:val="14"/>
                <w:color w:val="auto"/>
              </w:rPr>
              <w:t>Oregon</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HR Services, LLC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Pennsylvania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Healthcare Data Management, Inc.</w:t>
            </w:r>
          </w:p>
        </w:tc>
        <w:tc>
          <w:tcPr>
            <w:tcW w:w="5180" w:type="dxa"/>
            <w:vAlign w:val="bottom"/>
          </w:tcPr>
          <w:p>
            <w:pPr>
              <w:ind w:left="760"/>
              <w:spacing w:after="0"/>
              <w:rPr>
                <w:sz w:val="20"/>
                <w:szCs w:val="20"/>
                <w:color w:val="auto"/>
              </w:rPr>
            </w:pPr>
            <w:r>
              <w:rPr>
                <w:rFonts w:ascii="Arial" w:cs="Arial" w:eastAsia="Arial" w:hAnsi="Arial"/>
                <w:sz w:val="14"/>
                <w:szCs w:val="14"/>
                <w:color w:val="auto"/>
              </w:rPr>
              <w:t>Tennessee</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Securities Services, Inc.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Texas</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ACS Welfare Benefit Trust</w:t>
            </w:r>
          </w:p>
        </w:tc>
        <w:tc>
          <w:tcPr>
            <w:tcW w:w="5180" w:type="dxa"/>
            <w:vAlign w:val="bottom"/>
          </w:tcPr>
          <w:p>
            <w:pPr>
              <w:ind w:left="760"/>
              <w:spacing w:after="0"/>
              <w:rPr>
                <w:sz w:val="20"/>
                <w:szCs w:val="20"/>
                <w:color w:val="auto"/>
              </w:rPr>
            </w:pPr>
            <w:r>
              <w:rPr>
                <w:rFonts w:ascii="Arial" w:cs="Arial" w:eastAsia="Arial" w:hAnsi="Arial"/>
                <w:sz w:val="14"/>
                <w:szCs w:val="14"/>
                <w:color w:val="auto"/>
              </w:rPr>
              <w:t>Texas</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Legal &amp; Compliance Solutions, LLC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Texas</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Mercury Fund II, Ltd.</w:t>
            </w:r>
          </w:p>
        </w:tc>
        <w:tc>
          <w:tcPr>
            <w:tcW w:w="5180" w:type="dxa"/>
            <w:vAlign w:val="bottom"/>
          </w:tcPr>
          <w:p>
            <w:pPr>
              <w:ind w:left="760"/>
              <w:spacing w:after="0"/>
              <w:rPr>
                <w:sz w:val="20"/>
                <w:szCs w:val="20"/>
                <w:color w:val="auto"/>
              </w:rPr>
            </w:pPr>
            <w:r>
              <w:rPr>
                <w:rFonts w:ascii="Arial" w:cs="Arial" w:eastAsia="Arial" w:hAnsi="Arial"/>
                <w:sz w:val="14"/>
                <w:szCs w:val="14"/>
                <w:color w:val="auto"/>
              </w:rPr>
              <w:t>Texas</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Process Optimization Services, Inc.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Texas</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WDS Global—Texas, Inc.</w:t>
            </w:r>
          </w:p>
        </w:tc>
        <w:tc>
          <w:tcPr>
            <w:tcW w:w="5180" w:type="dxa"/>
            <w:vAlign w:val="bottom"/>
          </w:tcPr>
          <w:p>
            <w:pPr>
              <w:ind w:left="760"/>
              <w:spacing w:after="0"/>
              <w:rPr>
                <w:sz w:val="20"/>
                <w:szCs w:val="20"/>
                <w:color w:val="auto"/>
              </w:rPr>
            </w:pPr>
            <w:r>
              <w:rPr>
                <w:rFonts w:ascii="Arial" w:cs="Arial" w:eastAsia="Arial" w:hAnsi="Arial"/>
                <w:sz w:val="14"/>
                <w:szCs w:val="14"/>
                <w:color w:val="auto"/>
              </w:rPr>
              <w:t>Texas</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Heritage, LLC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Virginia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Learning Services, Inc.</w:t>
            </w:r>
          </w:p>
        </w:tc>
        <w:tc>
          <w:tcPr>
            <w:tcW w:w="5180" w:type="dxa"/>
            <w:vAlign w:val="bottom"/>
          </w:tcPr>
          <w:p>
            <w:pPr>
              <w:ind w:left="760"/>
              <w:spacing w:after="0"/>
              <w:rPr>
                <w:sz w:val="20"/>
                <w:szCs w:val="20"/>
                <w:color w:val="auto"/>
              </w:rPr>
            </w:pPr>
            <w:r>
              <w:rPr>
                <w:rFonts w:ascii="Arial" w:cs="Arial" w:eastAsia="Arial" w:hAnsi="Arial"/>
                <w:sz w:val="14"/>
                <w:szCs w:val="14"/>
                <w:color w:val="auto"/>
              </w:rPr>
              <w:t>Washington</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Wireless Data Services North America Inc.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Washington</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Care and Quality Solutions, Inc.</w:t>
            </w:r>
          </w:p>
        </w:tc>
        <w:tc>
          <w:tcPr>
            <w:tcW w:w="5180" w:type="dxa"/>
            <w:vAlign w:val="bottom"/>
          </w:tcPr>
          <w:p>
            <w:pPr>
              <w:ind w:left="760"/>
              <w:spacing w:after="0"/>
              <w:rPr>
                <w:sz w:val="20"/>
                <w:szCs w:val="20"/>
                <w:color w:val="auto"/>
              </w:rPr>
            </w:pPr>
            <w:r>
              <w:rPr>
                <w:rFonts w:ascii="Arial" w:cs="Arial" w:eastAsia="Arial" w:hAnsi="Arial"/>
                <w:sz w:val="14"/>
                <w:szCs w:val="14"/>
                <w:color w:val="auto"/>
              </w:rPr>
              <w:t>Wisconsin</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Eagle Connect Sh.p.k.</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Albania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Voice Star Sh.p.k.</w:t>
            </w:r>
          </w:p>
        </w:tc>
        <w:tc>
          <w:tcPr>
            <w:tcW w:w="5180" w:type="dxa"/>
            <w:vAlign w:val="bottom"/>
          </w:tcPr>
          <w:p>
            <w:pPr>
              <w:ind w:left="760"/>
              <w:spacing w:after="0"/>
              <w:rPr>
                <w:sz w:val="20"/>
                <w:szCs w:val="20"/>
                <w:color w:val="auto"/>
              </w:rPr>
            </w:pPr>
            <w:r>
              <w:rPr>
                <w:rFonts w:ascii="Arial" w:cs="Arial" w:eastAsia="Arial" w:hAnsi="Arial"/>
                <w:sz w:val="14"/>
                <w:szCs w:val="14"/>
                <w:color w:val="auto"/>
              </w:rPr>
              <w:t>Albania</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Consilience Software Australasia Pty Ltd</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Australia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Business Services (Australasia) PTY. LTD.</w:t>
            </w:r>
          </w:p>
        </w:tc>
        <w:tc>
          <w:tcPr>
            <w:tcW w:w="5180" w:type="dxa"/>
            <w:vAlign w:val="bottom"/>
          </w:tcPr>
          <w:p>
            <w:pPr>
              <w:ind w:left="760"/>
              <w:spacing w:after="0"/>
              <w:rPr>
                <w:sz w:val="20"/>
                <w:szCs w:val="20"/>
                <w:color w:val="auto"/>
              </w:rPr>
            </w:pPr>
            <w:r>
              <w:rPr>
                <w:rFonts w:ascii="Arial" w:cs="Arial" w:eastAsia="Arial" w:hAnsi="Arial"/>
                <w:sz w:val="14"/>
                <w:szCs w:val="14"/>
                <w:color w:val="auto"/>
              </w:rPr>
              <w:t>Australia</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Wireless Data Services PTY Limited</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Australia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Affiliated Computer Services Austria GmbH</w:t>
            </w:r>
          </w:p>
        </w:tc>
        <w:tc>
          <w:tcPr>
            <w:tcW w:w="5180" w:type="dxa"/>
            <w:vAlign w:val="bottom"/>
          </w:tcPr>
          <w:p>
            <w:pPr>
              <w:ind w:left="760"/>
              <w:spacing w:after="0"/>
              <w:rPr>
                <w:sz w:val="20"/>
                <w:szCs w:val="20"/>
                <w:color w:val="auto"/>
              </w:rPr>
            </w:pPr>
            <w:r>
              <w:rPr>
                <w:rFonts w:ascii="Arial" w:cs="Arial" w:eastAsia="Arial" w:hAnsi="Arial"/>
                <w:sz w:val="14"/>
                <w:szCs w:val="14"/>
                <w:color w:val="auto"/>
              </w:rPr>
              <w:t>Austria</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International (Barbados) Limited</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Barbados</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(Belgium)</w:t>
            </w:r>
          </w:p>
        </w:tc>
        <w:tc>
          <w:tcPr>
            <w:tcW w:w="5180" w:type="dxa"/>
            <w:vAlign w:val="bottom"/>
          </w:tcPr>
          <w:p>
            <w:pPr>
              <w:ind w:left="760"/>
              <w:spacing w:after="0"/>
              <w:rPr>
                <w:sz w:val="20"/>
                <w:szCs w:val="20"/>
                <w:color w:val="auto"/>
              </w:rPr>
            </w:pPr>
            <w:r>
              <w:rPr>
                <w:rFonts w:ascii="Arial" w:cs="Arial" w:eastAsia="Arial" w:hAnsi="Arial"/>
                <w:sz w:val="14"/>
                <w:szCs w:val="14"/>
                <w:color w:val="auto"/>
              </w:rPr>
              <w:t>Belgium</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Transportation Services Participacoes Ltda</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Brazil</w:t>
            </w:r>
          </w:p>
        </w:tc>
      </w:tr>
      <w:tr>
        <w:trPr>
          <w:trHeight w:val="182"/>
        </w:trPr>
        <w:tc>
          <w:tcPr>
            <w:tcW w:w="5900" w:type="dxa"/>
            <w:vAlign w:val="bottom"/>
          </w:tcPr>
          <w:p>
            <w:pPr>
              <w:ind w:left="20"/>
              <w:spacing w:after="0"/>
              <w:rPr>
                <w:sz w:val="20"/>
                <w:szCs w:val="20"/>
                <w:color w:val="auto"/>
              </w:rPr>
            </w:pPr>
            <w:r>
              <w:rPr>
                <w:rFonts w:ascii="Arial" w:cs="Arial" w:eastAsia="Arial" w:hAnsi="Arial"/>
                <w:sz w:val="14"/>
                <w:szCs w:val="14"/>
                <w:color w:val="auto"/>
              </w:rPr>
              <w:t>Conduent Servicos de Terceirizacao de</w:t>
            </w:r>
          </w:p>
        </w:tc>
        <w:tc>
          <w:tcPr>
            <w:tcW w:w="5180" w:type="dxa"/>
            <w:vAlign w:val="bottom"/>
          </w:tcPr>
          <w:p>
            <w:pPr>
              <w:ind w:left="760"/>
              <w:spacing w:after="0"/>
              <w:rPr>
                <w:sz w:val="20"/>
                <w:szCs w:val="20"/>
                <w:color w:val="auto"/>
              </w:rPr>
            </w:pPr>
            <w:r>
              <w:rPr>
                <w:rFonts w:ascii="Arial" w:cs="Arial" w:eastAsia="Arial" w:hAnsi="Arial"/>
                <w:sz w:val="14"/>
                <w:szCs w:val="14"/>
                <w:color w:val="auto"/>
              </w:rPr>
              <w:t>Brazil</w:t>
            </w:r>
          </w:p>
        </w:tc>
      </w:tr>
      <w:tr>
        <w:trPr>
          <w:trHeight w:val="178"/>
        </w:trPr>
        <w:tc>
          <w:tcPr>
            <w:tcW w:w="5900" w:type="dxa"/>
            <w:vAlign w:val="bottom"/>
          </w:tcPr>
          <w:p>
            <w:pPr>
              <w:ind w:left="20"/>
              <w:spacing w:after="0"/>
              <w:rPr>
                <w:sz w:val="20"/>
                <w:szCs w:val="20"/>
                <w:color w:val="auto"/>
              </w:rPr>
            </w:pPr>
            <w:r>
              <w:rPr>
                <w:rFonts w:ascii="Arial" w:cs="Arial" w:eastAsia="Arial" w:hAnsi="Arial"/>
                <w:sz w:val="14"/>
                <w:szCs w:val="14"/>
                <w:color w:val="auto"/>
              </w:rPr>
              <w:t>Processos de Negocios Ltda.</w:t>
            </w:r>
          </w:p>
        </w:tc>
        <w:tc>
          <w:tcPr>
            <w:tcW w:w="5180" w:type="dxa"/>
            <w:vAlign w:val="bottom"/>
          </w:tcPr>
          <w:p>
            <w:pPr>
              <w:spacing w:after="0"/>
              <w:rPr>
                <w:sz w:val="15"/>
                <w:szCs w:val="15"/>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Consultoria e Servicos de Recursos Humanos Ltda</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Brazil</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do Brasil Servicos de Call Center Ltda.</w:t>
            </w:r>
          </w:p>
        </w:tc>
        <w:tc>
          <w:tcPr>
            <w:tcW w:w="5180" w:type="dxa"/>
            <w:vAlign w:val="bottom"/>
          </w:tcPr>
          <w:p>
            <w:pPr>
              <w:ind w:left="760"/>
              <w:spacing w:after="0"/>
              <w:rPr>
                <w:sz w:val="20"/>
                <w:szCs w:val="20"/>
                <w:color w:val="auto"/>
              </w:rPr>
            </w:pPr>
            <w:r>
              <w:rPr>
                <w:rFonts w:ascii="Arial" w:cs="Arial" w:eastAsia="Arial" w:hAnsi="Arial"/>
                <w:sz w:val="14"/>
                <w:szCs w:val="14"/>
                <w:color w:val="auto"/>
              </w:rPr>
              <w:t>Brazil</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Canada, Inc./Services D’affaires Conduent Canada Inc.</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Canada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ACS Road Technology Services (Beijing) Co. Ltd.</w:t>
            </w:r>
          </w:p>
        </w:tc>
        <w:tc>
          <w:tcPr>
            <w:tcW w:w="5180" w:type="dxa"/>
            <w:vAlign w:val="bottom"/>
          </w:tcPr>
          <w:p>
            <w:pPr>
              <w:ind w:left="760"/>
              <w:spacing w:after="0"/>
              <w:rPr>
                <w:sz w:val="20"/>
                <w:szCs w:val="20"/>
                <w:color w:val="auto"/>
              </w:rPr>
            </w:pPr>
            <w:r>
              <w:rPr>
                <w:rFonts w:ascii="Arial" w:cs="Arial" w:eastAsia="Arial" w:hAnsi="Arial"/>
                <w:sz w:val="14"/>
                <w:szCs w:val="14"/>
                <w:color w:val="auto"/>
              </w:rPr>
              <w:t>China</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(Tianjin) Co., Ltd.</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China</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ML Colombia S.A.</w:t>
            </w:r>
          </w:p>
        </w:tc>
        <w:tc>
          <w:tcPr>
            <w:tcW w:w="5180" w:type="dxa"/>
            <w:vAlign w:val="bottom"/>
          </w:tcPr>
          <w:p>
            <w:pPr>
              <w:ind w:left="760"/>
              <w:spacing w:after="0"/>
              <w:rPr>
                <w:sz w:val="20"/>
                <w:szCs w:val="20"/>
                <w:color w:val="auto"/>
              </w:rPr>
            </w:pPr>
            <w:r>
              <w:rPr>
                <w:rFonts w:ascii="Arial" w:cs="Arial" w:eastAsia="Arial" w:hAnsi="Arial"/>
                <w:sz w:val="14"/>
                <w:szCs w:val="14"/>
                <w:color w:val="auto"/>
              </w:rPr>
              <w:t>Colombia</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Czech Republic s.r.o.</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Czech Republic</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Affiliated Computer Services (Fiji) Limited</w:t>
            </w:r>
          </w:p>
        </w:tc>
        <w:tc>
          <w:tcPr>
            <w:tcW w:w="5180" w:type="dxa"/>
            <w:vAlign w:val="bottom"/>
          </w:tcPr>
          <w:p>
            <w:pPr>
              <w:ind w:left="760"/>
              <w:spacing w:after="0"/>
              <w:rPr>
                <w:sz w:val="20"/>
                <w:szCs w:val="20"/>
                <w:color w:val="auto"/>
              </w:rPr>
            </w:pPr>
            <w:r>
              <w:rPr>
                <w:rFonts w:ascii="Arial" w:cs="Arial" w:eastAsia="Arial" w:hAnsi="Arial"/>
                <w:sz w:val="14"/>
                <w:szCs w:val="14"/>
                <w:color w:val="auto"/>
              </w:rPr>
              <w:t>Fiji</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Process Solutions (France) SAS</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France</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Conduent Business Solutions (France) SAS</w:t>
            </w:r>
          </w:p>
        </w:tc>
        <w:tc>
          <w:tcPr>
            <w:tcW w:w="5180" w:type="dxa"/>
            <w:vAlign w:val="bottom"/>
          </w:tcPr>
          <w:p>
            <w:pPr>
              <w:ind w:left="760"/>
              <w:spacing w:after="0"/>
              <w:rPr>
                <w:sz w:val="20"/>
                <w:szCs w:val="20"/>
                <w:color w:val="auto"/>
              </w:rPr>
            </w:pPr>
            <w:r>
              <w:rPr>
                <w:rFonts w:ascii="Arial" w:cs="Arial" w:eastAsia="Arial" w:hAnsi="Arial"/>
                <w:sz w:val="14"/>
                <w:szCs w:val="14"/>
                <w:color w:val="auto"/>
              </w:rPr>
              <w:t>France</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of Germany GmbH</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Germany</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ACS Holdings (Germany) GmbH</w:t>
            </w:r>
          </w:p>
        </w:tc>
        <w:tc>
          <w:tcPr>
            <w:tcW w:w="5180" w:type="dxa"/>
            <w:vAlign w:val="bottom"/>
          </w:tcPr>
          <w:p>
            <w:pPr>
              <w:ind w:left="760"/>
              <w:spacing w:after="0"/>
              <w:rPr>
                <w:sz w:val="20"/>
                <w:szCs w:val="20"/>
                <w:color w:val="auto"/>
              </w:rPr>
            </w:pPr>
            <w:r>
              <w:rPr>
                <w:rFonts w:ascii="Arial" w:cs="Arial" w:eastAsia="Arial" w:hAnsi="Arial"/>
                <w:sz w:val="14"/>
                <w:szCs w:val="14"/>
                <w:color w:val="auto"/>
              </w:rPr>
              <w:t>Germany</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Invoco Holding GmbH</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Germany</w:t>
            </w:r>
          </w:p>
        </w:tc>
      </w:tr>
      <w:tr>
        <w:trPr>
          <w:trHeight w:val="199"/>
        </w:trPr>
        <w:tc>
          <w:tcPr>
            <w:tcW w:w="5900" w:type="dxa"/>
            <w:vAlign w:val="bottom"/>
          </w:tcPr>
          <w:p>
            <w:pPr>
              <w:ind w:left="20"/>
              <w:spacing w:after="0"/>
              <w:rPr>
                <w:sz w:val="20"/>
                <w:szCs w:val="20"/>
                <w:color w:val="auto"/>
              </w:rPr>
            </w:pPr>
            <w:r>
              <w:rPr>
                <w:rFonts w:ascii="Arial" w:cs="Arial" w:eastAsia="Arial" w:hAnsi="Arial"/>
                <w:sz w:val="14"/>
                <w:szCs w:val="14"/>
                <w:color w:val="auto"/>
              </w:rPr>
              <w:t>Invoco Business Solutions GmbH</w:t>
            </w:r>
          </w:p>
        </w:tc>
        <w:tc>
          <w:tcPr>
            <w:tcW w:w="5180" w:type="dxa"/>
            <w:vAlign w:val="bottom"/>
          </w:tcPr>
          <w:p>
            <w:pPr>
              <w:ind w:left="760"/>
              <w:spacing w:after="0"/>
              <w:rPr>
                <w:sz w:val="20"/>
                <w:szCs w:val="20"/>
                <w:color w:val="auto"/>
              </w:rPr>
            </w:pPr>
            <w:r>
              <w:rPr>
                <w:rFonts w:ascii="Arial" w:cs="Arial" w:eastAsia="Arial" w:hAnsi="Arial"/>
                <w:sz w:val="14"/>
                <w:szCs w:val="14"/>
                <w:color w:val="auto"/>
              </w:rPr>
              <w:t>Germany</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Invoco Communication Center GmbH</w:t>
            </w:r>
          </w:p>
        </w:tc>
        <w:tc>
          <w:tcPr>
            <w:tcW w:w="5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Germany</w:t>
            </w:r>
          </w:p>
        </w:tc>
      </w:tr>
      <w:tr>
        <w:trPr>
          <w:trHeight w:val="193"/>
        </w:trPr>
        <w:tc>
          <w:tcPr>
            <w:tcW w:w="5900" w:type="dxa"/>
            <w:vAlign w:val="bottom"/>
          </w:tcPr>
          <w:p>
            <w:pPr>
              <w:ind w:left="20"/>
              <w:spacing w:after="0"/>
              <w:rPr>
                <w:sz w:val="20"/>
                <w:szCs w:val="20"/>
                <w:color w:val="auto"/>
              </w:rPr>
            </w:pPr>
            <w:r>
              <w:rPr>
                <w:rFonts w:ascii="Arial" w:cs="Arial" w:eastAsia="Arial" w:hAnsi="Arial"/>
                <w:sz w:val="14"/>
                <w:szCs w:val="14"/>
                <w:color w:val="auto"/>
              </w:rPr>
              <w:t>Invoco Customer Service GmbH</w:t>
            </w:r>
          </w:p>
        </w:tc>
        <w:tc>
          <w:tcPr>
            <w:tcW w:w="5180" w:type="dxa"/>
            <w:vAlign w:val="bottom"/>
          </w:tcPr>
          <w:p>
            <w:pPr>
              <w:ind w:left="760"/>
              <w:spacing w:after="0"/>
              <w:rPr>
                <w:sz w:val="20"/>
                <w:szCs w:val="20"/>
                <w:color w:val="auto"/>
              </w:rPr>
            </w:pPr>
            <w:r>
              <w:rPr>
                <w:rFonts w:ascii="Arial" w:cs="Arial" w:eastAsia="Arial" w:hAnsi="Arial"/>
                <w:sz w:val="14"/>
                <w:szCs w:val="14"/>
                <w:color w:val="auto"/>
              </w:rPr>
              <w:t>Germany</w:t>
            </w:r>
          </w:p>
        </w:tc>
      </w:tr>
    </w:tbl>
    <w:p>
      <w:pPr>
        <w:sectPr>
          <w:pgSz w:w="11900" w:h="16838" w:orient="portrait"/>
          <w:cols w:equalWidth="0" w:num="1">
            <w:col w:w="11460"/>
          </w:cols>
          <w:pgMar w:left="220" w:top="118"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0066CC"/>
        </w:rPr>
        <w:t>EXHIBIT 21.1</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Invoco Helpline GmbH</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Germany</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Invoco Marketing &amp; Vetrieb GmbH</w:t>
            </w:r>
          </w:p>
        </w:tc>
        <w:tc>
          <w:tcPr>
            <w:tcW w:w="5720" w:type="dxa"/>
            <w:vAlign w:val="bottom"/>
          </w:tcPr>
          <w:p>
            <w:pPr>
              <w:ind w:left="1300"/>
              <w:spacing w:after="0"/>
              <w:rPr>
                <w:sz w:val="20"/>
                <w:szCs w:val="20"/>
                <w:color w:val="auto"/>
              </w:rPr>
            </w:pPr>
            <w:r>
              <w:rPr>
                <w:rFonts w:ascii="Arial" w:cs="Arial" w:eastAsia="Arial" w:hAnsi="Arial"/>
                <w:sz w:val="14"/>
                <w:szCs w:val="14"/>
                <w:color w:val="auto"/>
              </w:rPr>
              <w:t>Germany</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Invoco Media Sales GmbH</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Germany</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Invoco Multimeida GmbH</w:t>
            </w:r>
          </w:p>
        </w:tc>
        <w:tc>
          <w:tcPr>
            <w:tcW w:w="5720" w:type="dxa"/>
            <w:vAlign w:val="bottom"/>
          </w:tcPr>
          <w:p>
            <w:pPr>
              <w:ind w:left="1300"/>
              <w:spacing w:after="0"/>
              <w:rPr>
                <w:sz w:val="20"/>
                <w:szCs w:val="20"/>
                <w:color w:val="auto"/>
              </w:rPr>
            </w:pPr>
            <w:r>
              <w:rPr>
                <w:rFonts w:ascii="Arial" w:cs="Arial" w:eastAsia="Arial" w:hAnsi="Arial"/>
                <w:sz w:val="14"/>
                <w:szCs w:val="14"/>
                <w:color w:val="auto"/>
              </w:rPr>
              <w:t>Germany</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Invoco Sales GmbH</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Germany</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Invoco Service Center GmbH</w:t>
            </w:r>
          </w:p>
        </w:tc>
        <w:tc>
          <w:tcPr>
            <w:tcW w:w="5720" w:type="dxa"/>
            <w:vAlign w:val="bottom"/>
          </w:tcPr>
          <w:p>
            <w:pPr>
              <w:ind w:left="1300"/>
              <w:spacing w:after="0"/>
              <w:rPr>
                <w:sz w:val="20"/>
                <w:szCs w:val="20"/>
                <w:color w:val="auto"/>
              </w:rPr>
            </w:pPr>
            <w:r>
              <w:rPr>
                <w:rFonts w:ascii="Arial" w:cs="Arial" w:eastAsia="Arial" w:hAnsi="Arial"/>
                <w:sz w:val="14"/>
                <w:szCs w:val="14"/>
                <w:color w:val="auto"/>
              </w:rPr>
              <w:t>Germany</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Invoco Services &amp; Sales GmbH</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Germany</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Invoco Technical Service GmbH</w:t>
            </w:r>
          </w:p>
        </w:tc>
        <w:tc>
          <w:tcPr>
            <w:tcW w:w="5720" w:type="dxa"/>
            <w:vAlign w:val="bottom"/>
          </w:tcPr>
          <w:p>
            <w:pPr>
              <w:ind w:left="1300"/>
              <w:spacing w:after="0"/>
              <w:rPr>
                <w:sz w:val="20"/>
                <w:szCs w:val="20"/>
                <w:color w:val="auto"/>
              </w:rPr>
            </w:pPr>
            <w:r>
              <w:rPr>
                <w:rFonts w:ascii="Arial" w:cs="Arial" w:eastAsia="Arial" w:hAnsi="Arial"/>
                <w:sz w:val="14"/>
                <w:szCs w:val="14"/>
                <w:color w:val="auto"/>
              </w:rPr>
              <w:t>Germany</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ACS-BPS (Ghana) Limited</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Ghana</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Business Services de Guatemala, Sociedad Anonima</w:t>
            </w:r>
          </w:p>
        </w:tc>
        <w:tc>
          <w:tcPr>
            <w:tcW w:w="5720" w:type="dxa"/>
            <w:vAlign w:val="bottom"/>
          </w:tcPr>
          <w:p>
            <w:pPr>
              <w:ind w:left="1300"/>
              <w:spacing w:after="0"/>
              <w:rPr>
                <w:sz w:val="20"/>
                <w:szCs w:val="20"/>
                <w:color w:val="auto"/>
              </w:rPr>
            </w:pPr>
            <w:r>
              <w:rPr>
                <w:rFonts w:ascii="Arial" w:cs="Arial" w:eastAsia="Arial" w:hAnsi="Arial"/>
                <w:sz w:val="14"/>
                <w:szCs w:val="14"/>
                <w:color w:val="auto"/>
              </w:rPr>
              <w:t>Guatemala</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China Solutions Hong Kong Limited</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Hong Kong</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Business Solutions (Hong Kong) Limited</w:t>
            </w:r>
          </w:p>
        </w:tc>
        <w:tc>
          <w:tcPr>
            <w:tcW w:w="5720" w:type="dxa"/>
            <w:vAlign w:val="bottom"/>
          </w:tcPr>
          <w:p>
            <w:pPr>
              <w:ind w:left="1300"/>
              <w:spacing w:after="0"/>
              <w:rPr>
                <w:sz w:val="20"/>
                <w:szCs w:val="20"/>
                <w:color w:val="auto"/>
              </w:rPr>
            </w:pPr>
            <w:r>
              <w:rPr>
                <w:rFonts w:ascii="Arial" w:cs="Arial" w:eastAsia="Arial" w:hAnsi="Arial"/>
                <w:sz w:val="14"/>
                <w:szCs w:val="14"/>
                <w:color w:val="auto"/>
              </w:rPr>
              <w:t>Hong Kong</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India LLP</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India</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Ireland Limited</w:t>
            </w:r>
          </w:p>
        </w:tc>
        <w:tc>
          <w:tcPr>
            <w:tcW w:w="5720" w:type="dxa"/>
            <w:vAlign w:val="bottom"/>
          </w:tcPr>
          <w:p>
            <w:pPr>
              <w:ind w:left="1300"/>
              <w:spacing w:after="0"/>
              <w:rPr>
                <w:sz w:val="20"/>
                <w:szCs w:val="20"/>
                <w:color w:val="auto"/>
              </w:rPr>
            </w:pPr>
            <w:r>
              <w:rPr>
                <w:rFonts w:ascii="Arial" w:cs="Arial" w:eastAsia="Arial" w:hAnsi="Arial"/>
                <w:sz w:val="14"/>
                <w:szCs w:val="14"/>
                <w:color w:val="auto"/>
              </w:rPr>
              <w:t>Ireland</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Italy S.r.l.</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Italy</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Nuova Karel Soluzioni S.r.l. unipersonale</w:t>
            </w:r>
          </w:p>
        </w:tc>
        <w:tc>
          <w:tcPr>
            <w:tcW w:w="5720" w:type="dxa"/>
            <w:vAlign w:val="bottom"/>
          </w:tcPr>
          <w:p>
            <w:pPr>
              <w:ind w:left="1300"/>
              <w:spacing w:after="0"/>
              <w:rPr>
                <w:sz w:val="20"/>
                <w:szCs w:val="20"/>
                <w:color w:val="auto"/>
              </w:rPr>
            </w:pPr>
            <w:r>
              <w:rPr>
                <w:rFonts w:ascii="Arial" w:cs="Arial" w:eastAsia="Arial" w:hAnsi="Arial"/>
                <w:sz w:val="14"/>
                <w:szCs w:val="14"/>
                <w:color w:val="auto"/>
              </w:rPr>
              <w:t>Italy</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Solutions Italia, S.p.A.</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Italy</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Solutions (Jamaica) Limited</w:t>
            </w:r>
          </w:p>
        </w:tc>
        <w:tc>
          <w:tcPr>
            <w:tcW w:w="5720" w:type="dxa"/>
            <w:vAlign w:val="bottom"/>
          </w:tcPr>
          <w:p>
            <w:pPr>
              <w:ind w:left="1300"/>
              <w:spacing w:after="0"/>
              <w:rPr>
                <w:sz w:val="20"/>
                <w:szCs w:val="20"/>
                <w:color w:val="auto"/>
              </w:rPr>
            </w:pPr>
            <w:r>
              <w:rPr>
                <w:rFonts w:ascii="Arial" w:cs="Arial" w:eastAsia="Arial" w:hAnsi="Arial"/>
                <w:sz w:val="14"/>
                <w:szCs w:val="14"/>
                <w:color w:val="auto"/>
              </w:rPr>
              <w:t>Jamaica</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Jamaica Limited</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Jamaica</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United Call Solutions (Jamaica) Limited</w:t>
            </w:r>
          </w:p>
        </w:tc>
        <w:tc>
          <w:tcPr>
            <w:tcW w:w="5720" w:type="dxa"/>
            <w:vAlign w:val="bottom"/>
          </w:tcPr>
          <w:p>
            <w:pPr>
              <w:ind w:left="1300"/>
              <w:spacing w:after="0"/>
              <w:rPr>
                <w:sz w:val="20"/>
                <w:szCs w:val="20"/>
                <w:color w:val="auto"/>
              </w:rPr>
            </w:pPr>
            <w:r>
              <w:rPr>
                <w:rFonts w:ascii="Arial" w:cs="Arial" w:eastAsia="Arial" w:hAnsi="Arial"/>
                <w:sz w:val="14"/>
                <w:szCs w:val="14"/>
                <w:color w:val="auto"/>
              </w:rPr>
              <w:t>Jamaica</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Holdings (Luxembourg) S.A.R.L.</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Luxembourg</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Business Services Malaysia Sdn. Bhd.</w:t>
            </w:r>
          </w:p>
        </w:tc>
        <w:tc>
          <w:tcPr>
            <w:tcW w:w="5720" w:type="dxa"/>
            <w:vAlign w:val="bottom"/>
          </w:tcPr>
          <w:p>
            <w:pPr>
              <w:ind w:left="1300"/>
              <w:spacing w:after="0"/>
              <w:rPr>
                <w:sz w:val="20"/>
                <w:szCs w:val="20"/>
                <w:color w:val="auto"/>
              </w:rPr>
            </w:pPr>
            <w:r>
              <w:rPr>
                <w:rFonts w:ascii="Arial" w:cs="Arial" w:eastAsia="Arial" w:hAnsi="Arial"/>
                <w:sz w:val="14"/>
                <w:szCs w:val="14"/>
                <w:color w:val="auto"/>
              </w:rPr>
              <w:t>Malaysia</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Malta Limited</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Malta</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de Mexico, S.A. de C.V.</w:t>
            </w:r>
          </w:p>
        </w:tc>
        <w:tc>
          <w:tcPr>
            <w:tcW w:w="5720" w:type="dxa"/>
            <w:vAlign w:val="bottom"/>
          </w:tcPr>
          <w:p>
            <w:pPr>
              <w:ind w:left="1300"/>
              <w:spacing w:after="0"/>
              <w:rPr>
                <w:sz w:val="20"/>
                <w:szCs w:val="20"/>
                <w:color w:val="auto"/>
              </w:rPr>
            </w:pPr>
            <w:r>
              <w:rPr>
                <w:rFonts w:ascii="Arial" w:cs="Arial" w:eastAsia="Arial" w:hAnsi="Arial"/>
                <w:sz w:val="14"/>
                <w:szCs w:val="14"/>
                <w:color w:val="auto"/>
              </w:rPr>
              <w:t>Mexico</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Solutions de Mexico, S. de R.L. de C.V.</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Mexico</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Affiliated Computer Services International B.V.</w:t>
            </w:r>
          </w:p>
        </w:tc>
        <w:tc>
          <w:tcPr>
            <w:tcW w:w="5720" w:type="dxa"/>
            <w:vAlign w:val="bottom"/>
          </w:tcPr>
          <w:p>
            <w:pPr>
              <w:ind w:left="1300"/>
              <w:spacing w:after="0"/>
              <w:rPr>
                <w:sz w:val="20"/>
                <w:szCs w:val="20"/>
                <w:color w:val="auto"/>
              </w:rPr>
            </w:pPr>
            <w:r>
              <w:rPr>
                <w:rFonts w:ascii="Arial" w:cs="Arial" w:eastAsia="Arial" w:hAnsi="Arial"/>
                <w:sz w:val="14"/>
                <w:szCs w:val="14"/>
                <w:color w:val="auto"/>
              </w:rPr>
              <w:t>Netherlands</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Continuum Global Solutions Holdings B.V.</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Netherlands</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Customer Helpline Holdings (Netherlands) B.V.</w:t>
            </w:r>
          </w:p>
        </w:tc>
        <w:tc>
          <w:tcPr>
            <w:tcW w:w="5720" w:type="dxa"/>
            <w:vAlign w:val="bottom"/>
          </w:tcPr>
          <w:p>
            <w:pPr>
              <w:ind w:left="1300"/>
              <w:spacing w:after="0"/>
              <w:rPr>
                <w:sz w:val="20"/>
                <w:szCs w:val="20"/>
                <w:color w:val="auto"/>
              </w:rPr>
            </w:pPr>
            <w:r>
              <w:rPr>
                <w:rFonts w:ascii="Arial" w:cs="Arial" w:eastAsia="Arial" w:hAnsi="Arial"/>
                <w:sz w:val="14"/>
                <w:szCs w:val="14"/>
                <w:color w:val="auto"/>
              </w:rPr>
              <w:t>Netherlands</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Wilhaave Groep B.V.</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Netherlands</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Unamic Holding B.V.</w:t>
            </w:r>
          </w:p>
        </w:tc>
        <w:tc>
          <w:tcPr>
            <w:tcW w:w="5720" w:type="dxa"/>
            <w:vAlign w:val="bottom"/>
          </w:tcPr>
          <w:p>
            <w:pPr>
              <w:ind w:left="1300"/>
              <w:spacing w:after="0"/>
              <w:rPr>
                <w:sz w:val="20"/>
                <w:szCs w:val="20"/>
                <w:color w:val="auto"/>
              </w:rPr>
            </w:pPr>
            <w:r>
              <w:rPr>
                <w:rFonts w:ascii="Arial" w:cs="Arial" w:eastAsia="Arial" w:hAnsi="Arial"/>
                <w:sz w:val="14"/>
                <w:szCs w:val="14"/>
                <w:color w:val="auto"/>
              </w:rPr>
              <w:t>Netherlands</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Unamic/HCN B.V.</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Netherlands</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Business Services (Netherlands) B.V.</w:t>
            </w:r>
          </w:p>
        </w:tc>
        <w:tc>
          <w:tcPr>
            <w:tcW w:w="5720" w:type="dxa"/>
            <w:vAlign w:val="bottom"/>
          </w:tcPr>
          <w:p>
            <w:pPr>
              <w:ind w:left="1300"/>
              <w:spacing w:after="0"/>
              <w:rPr>
                <w:sz w:val="20"/>
                <w:szCs w:val="20"/>
                <w:color w:val="auto"/>
              </w:rPr>
            </w:pPr>
            <w:r>
              <w:rPr>
                <w:rFonts w:ascii="Arial" w:cs="Arial" w:eastAsia="Arial" w:hAnsi="Arial"/>
                <w:sz w:val="14"/>
                <w:szCs w:val="14"/>
                <w:color w:val="auto"/>
              </w:rPr>
              <w:t>Netherlands</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Line Peru S.A.C.</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Peru</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ACS Solutions Peru S.A.</w:t>
            </w:r>
          </w:p>
        </w:tc>
        <w:tc>
          <w:tcPr>
            <w:tcW w:w="5720" w:type="dxa"/>
            <w:vAlign w:val="bottom"/>
          </w:tcPr>
          <w:p>
            <w:pPr>
              <w:ind w:left="1300"/>
              <w:spacing w:after="0"/>
              <w:rPr>
                <w:sz w:val="20"/>
                <w:szCs w:val="20"/>
                <w:color w:val="auto"/>
              </w:rPr>
            </w:pPr>
            <w:r>
              <w:rPr>
                <w:rFonts w:ascii="Arial" w:cs="Arial" w:eastAsia="Arial" w:hAnsi="Arial"/>
                <w:sz w:val="14"/>
                <w:szCs w:val="14"/>
                <w:color w:val="auto"/>
              </w:rPr>
              <w:t>Peru</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Philippines, Inc.</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Philippines</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Solutions Philippines, Inc.</w:t>
            </w:r>
          </w:p>
        </w:tc>
        <w:tc>
          <w:tcPr>
            <w:tcW w:w="5720" w:type="dxa"/>
            <w:vAlign w:val="bottom"/>
          </w:tcPr>
          <w:p>
            <w:pPr>
              <w:ind w:left="1300"/>
              <w:spacing w:after="0"/>
              <w:rPr>
                <w:sz w:val="20"/>
                <w:szCs w:val="20"/>
                <w:color w:val="auto"/>
              </w:rPr>
            </w:pPr>
            <w:r>
              <w:rPr>
                <w:rFonts w:ascii="Arial" w:cs="Arial" w:eastAsia="Arial" w:hAnsi="Arial"/>
                <w:sz w:val="14"/>
                <w:szCs w:val="14"/>
                <w:color w:val="auto"/>
              </w:rPr>
              <w:t>Philippines</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Solutions Poland Sp. Z.o.o.</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Poland</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Affiliated Computer Services of Poland Sp. z.o.o.</w:t>
            </w:r>
          </w:p>
        </w:tc>
        <w:tc>
          <w:tcPr>
            <w:tcW w:w="5720" w:type="dxa"/>
            <w:vAlign w:val="bottom"/>
          </w:tcPr>
          <w:p>
            <w:pPr>
              <w:ind w:left="1300"/>
              <w:spacing w:after="0"/>
              <w:rPr>
                <w:sz w:val="20"/>
                <w:szCs w:val="20"/>
                <w:color w:val="auto"/>
              </w:rPr>
            </w:pPr>
            <w:r>
              <w:rPr>
                <w:rFonts w:ascii="Arial" w:cs="Arial" w:eastAsia="Arial" w:hAnsi="Arial"/>
                <w:sz w:val="14"/>
                <w:szCs w:val="14"/>
                <w:color w:val="auto"/>
              </w:rPr>
              <w:t>Poland</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Puerto Rico, LLC</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Puerto Rico</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Business Solutions of Puerto Rico, Inc.</w:t>
            </w:r>
          </w:p>
        </w:tc>
        <w:tc>
          <w:tcPr>
            <w:tcW w:w="5720" w:type="dxa"/>
            <w:vAlign w:val="bottom"/>
          </w:tcPr>
          <w:p>
            <w:pPr>
              <w:ind w:left="1300"/>
              <w:spacing w:after="0"/>
              <w:rPr>
                <w:sz w:val="20"/>
                <w:szCs w:val="20"/>
                <w:color w:val="auto"/>
              </w:rPr>
            </w:pPr>
            <w:r>
              <w:rPr>
                <w:rFonts w:ascii="Arial" w:cs="Arial" w:eastAsia="Arial" w:hAnsi="Arial"/>
                <w:sz w:val="14"/>
                <w:szCs w:val="14"/>
                <w:color w:val="auto"/>
              </w:rPr>
              <w:t>Puerto Rico</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Romania S.r.l.</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Romania</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Europe Finance Limited Partnership</w:t>
            </w:r>
          </w:p>
        </w:tc>
        <w:tc>
          <w:tcPr>
            <w:tcW w:w="5720" w:type="dxa"/>
            <w:vAlign w:val="bottom"/>
          </w:tcPr>
          <w:p>
            <w:pPr>
              <w:ind w:left="1300"/>
              <w:spacing w:after="0"/>
              <w:rPr>
                <w:sz w:val="20"/>
                <w:szCs w:val="20"/>
                <w:color w:val="auto"/>
              </w:rPr>
            </w:pPr>
            <w:r>
              <w:rPr>
                <w:rFonts w:ascii="Arial" w:cs="Arial" w:eastAsia="Arial" w:hAnsi="Arial"/>
                <w:sz w:val="14"/>
                <w:szCs w:val="14"/>
                <w:color w:val="auto"/>
              </w:rPr>
              <w:t>Scotland</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Wireless Data Services (Asia Pacific) PTE Ltd.</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Singapore</w:t>
            </w: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Conduent (PTY) LTD</w:t>
            </w:r>
          </w:p>
        </w:tc>
        <w:tc>
          <w:tcPr>
            <w:tcW w:w="5720" w:type="dxa"/>
            <w:vAlign w:val="bottom"/>
          </w:tcPr>
          <w:p>
            <w:pPr>
              <w:ind w:left="1300"/>
              <w:spacing w:after="0"/>
              <w:rPr>
                <w:sz w:val="20"/>
                <w:szCs w:val="20"/>
                <w:color w:val="auto"/>
              </w:rPr>
            </w:pPr>
            <w:r>
              <w:rPr>
                <w:rFonts w:ascii="Arial" w:cs="Arial" w:eastAsia="Arial" w:hAnsi="Arial"/>
                <w:sz w:val="14"/>
                <w:szCs w:val="14"/>
                <w:color w:val="auto"/>
              </w:rPr>
              <w:t>South Africa</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S.L.</w:t>
            </w:r>
          </w:p>
        </w:tc>
        <w:tc>
          <w:tcPr>
            <w:tcW w:w="5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Spain</w:t>
            </w:r>
          </w:p>
        </w:tc>
      </w:tr>
    </w:tbl>
    <w:p>
      <w:pPr>
        <w:sectPr>
          <w:pgSz w:w="11900" w:h="16838" w:orient="portrait"/>
          <w:cols w:equalWidth="0" w:num="1">
            <w:col w:w="11460"/>
          </w:cols>
          <w:pgMar w:left="220" w:top="118"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0066CC"/>
        </w:rPr>
        <w:t>EXHIBIT 21.1</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Xerox Business Solutions Spain, S.L.</w:t>
            </w:r>
          </w:p>
        </w:tc>
        <w:tc>
          <w:tcPr>
            <w:tcW w:w="6100" w:type="dxa"/>
            <w:vAlign w:val="bottom"/>
            <w:shd w:val="clear" w:color="auto" w:fill="CCEEFF"/>
          </w:tcPr>
          <w:p>
            <w:pPr>
              <w:ind w:left="1680"/>
              <w:spacing w:after="0"/>
              <w:rPr>
                <w:sz w:val="20"/>
                <w:szCs w:val="20"/>
                <w:color w:val="auto"/>
              </w:rPr>
            </w:pPr>
            <w:r>
              <w:rPr>
                <w:rFonts w:ascii="Arial" w:cs="Arial" w:eastAsia="Arial" w:hAnsi="Arial"/>
                <w:sz w:val="14"/>
                <w:szCs w:val="14"/>
                <w:color w:val="auto"/>
              </w:rPr>
              <w:t>Spain</w:t>
            </w:r>
          </w:p>
        </w:tc>
      </w:tr>
      <w:tr>
        <w:trPr>
          <w:trHeight w:val="199"/>
        </w:trPr>
        <w:tc>
          <w:tcPr>
            <w:tcW w:w="4980" w:type="dxa"/>
            <w:vAlign w:val="bottom"/>
          </w:tcPr>
          <w:p>
            <w:pPr>
              <w:ind w:left="20"/>
              <w:spacing w:after="0"/>
              <w:rPr>
                <w:sz w:val="20"/>
                <w:szCs w:val="20"/>
                <w:color w:val="auto"/>
              </w:rPr>
            </w:pPr>
            <w:r>
              <w:rPr>
                <w:rFonts w:ascii="Arial" w:cs="Arial" w:eastAsia="Arial" w:hAnsi="Arial"/>
                <w:sz w:val="14"/>
                <w:szCs w:val="14"/>
                <w:color w:val="auto"/>
              </w:rPr>
              <w:t>Conduent Holdings (St. Lucia) Ltd.</w:t>
            </w:r>
          </w:p>
        </w:tc>
        <w:tc>
          <w:tcPr>
            <w:tcW w:w="6100" w:type="dxa"/>
            <w:vAlign w:val="bottom"/>
          </w:tcPr>
          <w:p>
            <w:pPr>
              <w:ind w:left="1680"/>
              <w:spacing w:after="0"/>
              <w:rPr>
                <w:sz w:val="20"/>
                <w:szCs w:val="20"/>
                <w:color w:val="auto"/>
              </w:rPr>
            </w:pPr>
            <w:r>
              <w:rPr>
                <w:rFonts w:ascii="Arial" w:cs="Arial" w:eastAsia="Arial" w:hAnsi="Arial"/>
                <w:sz w:val="14"/>
                <w:szCs w:val="14"/>
                <w:color w:val="auto"/>
              </w:rPr>
              <w:t>St. Lucia</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GmbH</w:t>
            </w:r>
          </w:p>
        </w:tc>
        <w:tc>
          <w:tcPr>
            <w:tcW w:w="6100" w:type="dxa"/>
            <w:vAlign w:val="bottom"/>
            <w:shd w:val="clear" w:color="auto" w:fill="CCEEFF"/>
          </w:tcPr>
          <w:p>
            <w:pPr>
              <w:ind w:left="1680"/>
              <w:spacing w:after="0"/>
              <w:rPr>
                <w:sz w:val="20"/>
                <w:szCs w:val="20"/>
                <w:color w:val="auto"/>
              </w:rPr>
            </w:pPr>
            <w:r>
              <w:rPr>
                <w:rFonts w:ascii="Arial" w:cs="Arial" w:eastAsia="Arial" w:hAnsi="Arial"/>
                <w:sz w:val="14"/>
                <w:szCs w:val="14"/>
                <w:color w:val="auto"/>
              </w:rPr>
              <w:t>Switzerland</w:t>
            </w:r>
          </w:p>
        </w:tc>
      </w:tr>
      <w:tr>
        <w:trPr>
          <w:trHeight w:val="199"/>
        </w:trPr>
        <w:tc>
          <w:tcPr>
            <w:tcW w:w="4980" w:type="dxa"/>
            <w:vAlign w:val="bottom"/>
          </w:tcPr>
          <w:p>
            <w:pPr>
              <w:ind w:left="20"/>
              <w:spacing w:after="0"/>
              <w:rPr>
                <w:sz w:val="20"/>
                <w:szCs w:val="20"/>
                <w:color w:val="auto"/>
              </w:rPr>
            </w:pPr>
            <w:r>
              <w:rPr>
                <w:rFonts w:ascii="Arial" w:cs="Arial" w:eastAsia="Arial" w:hAnsi="Arial"/>
                <w:sz w:val="14"/>
                <w:szCs w:val="14"/>
                <w:color w:val="auto"/>
              </w:rPr>
              <w:t>Conduent Business Solutions AG</w:t>
            </w:r>
          </w:p>
        </w:tc>
        <w:tc>
          <w:tcPr>
            <w:tcW w:w="6100" w:type="dxa"/>
            <w:vAlign w:val="bottom"/>
          </w:tcPr>
          <w:p>
            <w:pPr>
              <w:ind w:left="1680"/>
              <w:spacing w:after="0"/>
              <w:rPr>
                <w:sz w:val="20"/>
                <w:szCs w:val="20"/>
                <w:color w:val="auto"/>
              </w:rPr>
            </w:pPr>
            <w:r>
              <w:rPr>
                <w:rFonts w:ascii="Arial" w:cs="Arial" w:eastAsia="Arial" w:hAnsi="Arial"/>
                <w:sz w:val="14"/>
                <w:szCs w:val="14"/>
                <w:color w:val="auto"/>
              </w:rPr>
              <w:t>Switzerland</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Continuum Global Musteri Hizmetleri Limited Sirketi</w:t>
            </w:r>
          </w:p>
        </w:tc>
        <w:tc>
          <w:tcPr>
            <w:tcW w:w="6100" w:type="dxa"/>
            <w:vAlign w:val="bottom"/>
            <w:shd w:val="clear" w:color="auto" w:fill="CCEEFF"/>
          </w:tcPr>
          <w:p>
            <w:pPr>
              <w:ind w:left="1680"/>
              <w:spacing w:after="0"/>
              <w:rPr>
                <w:sz w:val="20"/>
                <w:szCs w:val="20"/>
                <w:color w:val="auto"/>
              </w:rPr>
            </w:pPr>
            <w:r>
              <w:rPr>
                <w:rFonts w:ascii="Arial" w:cs="Arial" w:eastAsia="Arial" w:hAnsi="Arial"/>
                <w:sz w:val="14"/>
                <w:szCs w:val="14"/>
                <w:color w:val="auto"/>
              </w:rPr>
              <w:t>Turkey</w:t>
            </w:r>
          </w:p>
        </w:tc>
      </w:tr>
      <w:tr>
        <w:trPr>
          <w:trHeight w:val="199"/>
        </w:trPr>
        <w:tc>
          <w:tcPr>
            <w:tcW w:w="4980" w:type="dxa"/>
            <w:vAlign w:val="bottom"/>
          </w:tcPr>
          <w:p>
            <w:pPr>
              <w:ind w:left="20"/>
              <w:spacing w:after="0"/>
              <w:rPr>
                <w:sz w:val="20"/>
                <w:szCs w:val="20"/>
                <w:color w:val="auto"/>
              </w:rPr>
            </w:pPr>
            <w:r>
              <w:rPr>
                <w:rFonts w:ascii="Arial" w:cs="Arial" w:eastAsia="Arial" w:hAnsi="Arial"/>
                <w:sz w:val="14"/>
                <w:szCs w:val="14"/>
                <w:color w:val="auto"/>
              </w:rPr>
              <w:t>Conduent Accounts Receivable Ltd.</w:t>
            </w:r>
          </w:p>
        </w:tc>
        <w:tc>
          <w:tcPr>
            <w:tcW w:w="6100" w:type="dxa"/>
            <w:vAlign w:val="bottom"/>
          </w:tcPr>
          <w:p>
            <w:pPr>
              <w:ind w:left="1680"/>
              <w:spacing w:after="0"/>
              <w:rPr>
                <w:sz w:val="20"/>
                <w:szCs w:val="20"/>
                <w:color w:val="auto"/>
              </w:rPr>
            </w:pPr>
            <w:r>
              <w:rPr>
                <w:rFonts w:ascii="Arial" w:cs="Arial" w:eastAsia="Arial" w:hAnsi="Arial"/>
                <w:sz w:val="14"/>
                <w:szCs w:val="14"/>
                <w:color w:val="auto"/>
              </w:rPr>
              <w:t>United Kingdom</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Process Solutions Limited</w:t>
            </w:r>
          </w:p>
        </w:tc>
        <w:tc>
          <w:tcPr>
            <w:tcW w:w="6100" w:type="dxa"/>
            <w:vAlign w:val="bottom"/>
            <w:shd w:val="clear" w:color="auto" w:fill="CCEEFF"/>
          </w:tcPr>
          <w:p>
            <w:pPr>
              <w:ind w:left="1680"/>
              <w:spacing w:after="0"/>
              <w:rPr>
                <w:sz w:val="20"/>
                <w:szCs w:val="20"/>
                <w:color w:val="auto"/>
              </w:rPr>
            </w:pPr>
            <w:r>
              <w:rPr>
                <w:rFonts w:ascii="Arial" w:cs="Arial" w:eastAsia="Arial" w:hAnsi="Arial"/>
                <w:sz w:val="14"/>
                <w:szCs w:val="14"/>
                <w:color w:val="auto"/>
              </w:rPr>
              <w:t>United Kingdom</w:t>
            </w:r>
          </w:p>
        </w:tc>
      </w:tr>
      <w:tr>
        <w:trPr>
          <w:trHeight w:val="199"/>
        </w:trPr>
        <w:tc>
          <w:tcPr>
            <w:tcW w:w="4980" w:type="dxa"/>
            <w:vAlign w:val="bottom"/>
          </w:tcPr>
          <w:p>
            <w:pPr>
              <w:ind w:left="20"/>
              <w:spacing w:after="0"/>
              <w:rPr>
                <w:sz w:val="20"/>
                <w:szCs w:val="20"/>
                <w:color w:val="auto"/>
              </w:rPr>
            </w:pPr>
            <w:r>
              <w:rPr>
                <w:rFonts w:ascii="Arial" w:cs="Arial" w:eastAsia="Arial" w:hAnsi="Arial"/>
                <w:sz w:val="14"/>
                <w:szCs w:val="14"/>
                <w:color w:val="auto"/>
              </w:rPr>
              <w:t>Conduent Parking Enforcement Solutions Limited</w:t>
            </w:r>
          </w:p>
        </w:tc>
        <w:tc>
          <w:tcPr>
            <w:tcW w:w="6100" w:type="dxa"/>
            <w:vAlign w:val="bottom"/>
          </w:tcPr>
          <w:p>
            <w:pPr>
              <w:ind w:left="1680"/>
              <w:spacing w:after="0"/>
              <w:rPr>
                <w:sz w:val="20"/>
                <w:szCs w:val="20"/>
                <w:color w:val="auto"/>
              </w:rPr>
            </w:pPr>
            <w:r>
              <w:rPr>
                <w:rFonts w:ascii="Arial" w:cs="Arial" w:eastAsia="Arial" w:hAnsi="Arial"/>
                <w:sz w:val="14"/>
                <w:szCs w:val="14"/>
                <w:color w:val="auto"/>
              </w:rPr>
              <w:t>United Kingdom</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Wireless Data Services Limited</w:t>
            </w:r>
          </w:p>
        </w:tc>
        <w:tc>
          <w:tcPr>
            <w:tcW w:w="6100" w:type="dxa"/>
            <w:vAlign w:val="bottom"/>
            <w:shd w:val="clear" w:color="auto" w:fill="CCEEFF"/>
          </w:tcPr>
          <w:p>
            <w:pPr>
              <w:ind w:left="1680"/>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1460"/>
          </w:cols>
          <w:pgMar w:left="220" w:top="118" w:right="2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0066CC"/>
        </w:rPr>
        <w:t>EXHIBIT 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CONSENT OF INDEPENDENT REGISTERED PUBLIC ACCOUNTING FIRM</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hereby consent to the incorporation by reference in the Registration Statements on Form S-8 (No. 333-215361) of Conduent Incorporated of our report dated February 26, 2020, relating to the financial statements, financial statement schedule, and the effectiveness of internal control over financial reporting, which appears in this Form 10-K.</w:t>
      </w:r>
    </w:p>
    <w:p>
      <w:pPr>
        <w:spacing w:after="0" w:line="301"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4"/>
          <w:szCs w:val="14"/>
          <w:color w:val="auto"/>
        </w:rPr>
        <w:t>/S/</w:t>
        <w:tab/>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6171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3561715" cy="69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PricewaterhouseCoopers LLP</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26, 2020</w:t>
      </w:r>
    </w:p>
    <w:p>
      <w:pPr>
        <w:sectPr>
          <w:pgSz w:w="11900" w:h="16838" w:orient="portrait"/>
          <w:cols w:equalWidth="0" w:num="1">
            <w:col w:w="11460"/>
          </w:cols>
          <w:pgMar w:left="220" w:top="118" w:right="2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0066CC"/>
        </w:rPr>
        <w:t>EXHIBIT 31(a)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CEO 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I, Clifford Skelton, certify that:</w:t>
      </w:r>
    </w:p>
    <w:p>
      <w:pPr>
        <w:spacing w:after="0" w:line="162" w:lineRule="exact"/>
        <w:rPr>
          <w:sz w:val="20"/>
          <w:szCs w:val="20"/>
          <w:color w:val="auto"/>
        </w:rPr>
      </w:pPr>
    </w:p>
    <w:p>
      <w:pPr>
        <w:ind w:left="520" w:hanging="514"/>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205" w:lineRule="exact"/>
        <w:rPr>
          <w:rFonts w:ascii="Arial" w:cs="Arial" w:eastAsia="Arial" w:hAnsi="Arial"/>
          <w:sz w:val="14"/>
          <w:szCs w:val="14"/>
          <w:color w:val="auto"/>
        </w:rPr>
      </w:pPr>
    </w:p>
    <w:p>
      <w:pPr>
        <w:ind w:left="520" w:right="40" w:hanging="514"/>
        <w:spacing w:after="0" w:line="273" w:lineRule="auto"/>
        <w:tabs>
          <w:tab w:leader="none" w:pos="51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4"/>
          <w:szCs w:val="14"/>
          <w:color w:val="auto"/>
        </w:rPr>
      </w:pPr>
    </w:p>
    <w:p>
      <w:pPr>
        <w:ind w:left="520" w:right="100" w:hanging="514"/>
        <w:spacing w:after="0" w:line="273" w:lineRule="auto"/>
        <w:tabs>
          <w:tab w:leader="none" w:pos="51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4"/>
          <w:szCs w:val="14"/>
          <w:color w:val="auto"/>
        </w:rPr>
      </w:pPr>
    </w:p>
    <w:p>
      <w:pPr>
        <w:ind w:left="520" w:right="280" w:hanging="514"/>
        <w:spacing w:after="0" w:line="273" w:lineRule="auto"/>
        <w:tabs>
          <w:tab w:leader="none" w:pos="51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4"/>
          <w:szCs w:val="14"/>
          <w:color w:val="auto"/>
        </w:rPr>
      </w:pPr>
    </w:p>
    <w:p>
      <w:pPr>
        <w:ind w:left="1040" w:right="380" w:hanging="517"/>
        <w:spacing w:after="0" w:line="264" w:lineRule="auto"/>
        <w:tabs>
          <w:tab w:leader="none" w:pos="1032" w:val="left"/>
        </w:tabs>
        <w:numPr>
          <w:ilvl w:val="1"/>
          <w:numId w:val="5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4"/>
          <w:szCs w:val="14"/>
          <w:color w:val="auto"/>
        </w:rPr>
      </w:pPr>
    </w:p>
    <w:p>
      <w:pPr>
        <w:ind w:left="1040" w:right="200" w:hanging="517"/>
        <w:spacing w:after="0" w:line="264" w:lineRule="auto"/>
        <w:tabs>
          <w:tab w:leader="none" w:pos="1032" w:val="left"/>
        </w:tabs>
        <w:numPr>
          <w:ilvl w:val="1"/>
          <w:numId w:val="5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4"/>
          <w:szCs w:val="14"/>
          <w:color w:val="auto"/>
        </w:rPr>
      </w:pPr>
    </w:p>
    <w:p>
      <w:pPr>
        <w:ind w:left="1040" w:right="540" w:hanging="517"/>
        <w:spacing w:after="0" w:line="273" w:lineRule="auto"/>
        <w:tabs>
          <w:tab w:leader="none" w:pos="1035" w:val="left"/>
        </w:tabs>
        <w:numPr>
          <w:ilvl w:val="1"/>
          <w:numId w:val="5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4"/>
          <w:szCs w:val="14"/>
          <w:color w:val="auto"/>
        </w:rPr>
      </w:pPr>
    </w:p>
    <w:p>
      <w:pPr>
        <w:ind w:left="1040" w:right="20" w:hanging="517"/>
        <w:spacing w:after="0" w:line="264" w:lineRule="auto"/>
        <w:tabs>
          <w:tab w:leader="none" w:pos="1032" w:val="left"/>
        </w:tabs>
        <w:numPr>
          <w:ilvl w:val="1"/>
          <w:numId w:val="5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4"/>
          <w:szCs w:val="14"/>
          <w:color w:val="auto"/>
        </w:rPr>
      </w:pPr>
    </w:p>
    <w:p>
      <w:pPr>
        <w:ind w:left="520" w:right="160" w:hanging="514"/>
        <w:spacing w:after="0" w:line="273" w:lineRule="auto"/>
        <w:tabs>
          <w:tab w:leader="none" w:pos="51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4"/>
          <w:szCs w:val="14"/>
          <w:color w:val="auto"/>
        </w:rPr>
      </w:pPr>
    </w:p>
    <w:p>
      <w:pPr>
        <w:ind w:left="1040" w:right="280" w:hanging="517"/>
        <w:spacing w:after="0" w:line="273" w:lineRule="auto"/>
        <w:tabs>
          <w:tab w:leader="none" w:pos="1032" w:val="left"/>
        </w:tabs>
        <w:numPr>
          <w:ilvl w:val="1"/>
          <w:numId w:val="5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4"/>
          <w:szCs w:val="14"/>
          <w:color w:val="auto"/>
        </w:rPr>
      </w:pPr>
    </w:p>
    <w:p>
      <w:pPr>
        <w:ind w:left="1040" w:right="520" w:hanging="517"/>
        <w:spacing w:after="0" w:line="273" w:lineRule="auto"/>
        <w:tabs>
          <w:tab w:leader="none" w:pos="1032" w:val="left"/>
        </w:tabs>
        <w:numPr>
          <w:ilvl w:val="1"/>
          <w:numId w:val="5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2020</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63029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3630295" cy="6985"/>
                    </a:xfrm>
                    <a:prstGeom prst="rect">
                      <a:avLst/>
                    </a:prstGeom>
                    <a:noFill/>
                  </pic:spPr>
                </pic:pic>
              </a:graphicData>
            </a:graphic>
          </wp:anchor>
        </w:drawing>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Clifford Skelton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Principal Executive Officer</w:t>
      </w:r>
    </w:p>
    <w:p>
      <w:pPr>
        <w:sectPr>
          <w:pgSz w:w="11900" w:h="16838" w:orient="portrait"/>
          <w:cols w:equalWidth="0" w:num="1">
            <w:col w:w="11460"/>
          </w:cols>
          <w:pgMar w:left="220" w:top="118" w:right="2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0066CC"/>
        </w:rPr>
        <w:t>EXHIBIT 31(b)</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CFO 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I, Brian Webb-Walsh, certify that:</w:t>
      </w:r>
    </w:p>
    <w:p>
      <w:pPr>
        <w:spacing w:after="0" w:line="162" w:lineRule="exact"/>
        <w:rPr>
          <w:sz w:val="20"/>
          <w:szCs w:val="20"/>
          <w:color w:val="auto"/>
        </w:rPr>
      </w:pPr>
    </w:p>
    <w:p>
      <w:pPr>
        <w:ind w:left="520" w:hanging="514"/>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205" w:lineRule="exact"/>
        <w:rPr>
          <w:rFonts w:ascii="Arial" w:cs="Arial" w:eastAsia="Arial" w:hAnsi="Arial"/>
          <w:sz w:val="14"/>
          <w:szCs w:val="14"/>
          <w:color w:val="auto"/>
        </w:rPr>
      </w:pPr>
    </w:p>
    <w:p>
      <w:pPr>
        <w:ind w:left="520" w:right="40" w:hanging="514"/>
        <w:spacing w:after="0" w:line="273" w:lineRule="auto"/>
        <w:tabs>
          <w:tab w:leader="none" w:pos="51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4"/>
          <w:szCs w:val="14"/>
          <w:color w:val="auto"/>
        </w:rPr>
      </w:pPr>
    </w:p>
    <w:p>
      <w:pPr>
        <w:ind w:left="520" w:right="100" w:hanging="514"/>
        <w:spacing w:after="0" w:line="273" w:lineRule="auto"/>
        <w:tabs>
          <w:tab w:leader="none" w:pos="51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4"/>
          <w:szCs w:val="14"/>
          <w:color w:val="auto"/>
        </w:rPr>
      </w:pPr>
    </w:p>
    <w:p>
      <w:pPr>
        <w:ind w:left="520" w:right="280" w:hanging="514"/>
        <w:spacing w:after="0" w:line="273" w:lineRule="auto"/>
        <w:tabs>
          <w:tab w:leader="none" w:pos="51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4"/>
          <w:szCs w:val="14"/>
          <w:color w:val="auto"/>
        </w:rPr>
      </w:pPr>
    </w:p>
    <w:p>
      <w:pPr>
        <w:ind w:left="1040" w:right="380" w:hanging="517"/>
        <w:spacing w:after="0" w:line="264" w:lineRule="auto"/>
        <w:tabs>
          <w:tab w:leader="none" w:pos="10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4"/>
          <w:szCs w:val="14"/>
          <w:color w:val="auto"/>
        </w:rPr>
      </w:pPr>
    </w:p>
    <w:p>
      <w:pPr>
        <w:ind w:left="1040" w:right="200" w:hanging="517"/>
        <w:spacing w:after="0" w:line="264" w:lineRule="auto"/>
        <w:tabs>
          <w:tab w:leader="none" w:pos="10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4"/>
          <w:szCs w:val="14"/>
          <w:color w:val="auto"/>
        </w:rPr>
      </w:pPr>
    </w:p>
    <w:p>
      <w:pPr>
        <w:ind w:left="1040" w:right="540" w:hanging="517"/>
        <w:spacing w:after="0" w:line="273" w:lineRule="auto"/>
        <w:tabs>
          <w:tab w:leader="none" w:pos="1035" w:val="left"/>
        </w:tabs>
        <w:numPr>
          <w:ilvl w:val="1"/>
          <w:numId w:val="5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4"/>
          <w:szCs w:val="14"/>
          <w:color w:val="auto"/>
        </w:rPr>
      </w:pPr>
    </w:p>
    <w:p>
      <w:pPr>
        <w:ind w:left="1040" w:right="20" w:hanging="517"/>
        <w:spacing w:after="0" w:line="264" w:lineRule="auto"/>
        <w:tabs>
          <w:tab w:leader="none" w:pos="10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4"/>
          <w:szCs w:val="14"/>
          <w:color w:val="auto"/>
        </w:rPr>
      </w:pPr>
    </w:p>
    <w:p>
      <w:pPr>
        <w:ind w:left="520" w:right="160" w:hanging="514"/>
        <w:spacing w:after="0" w:line="273" w:lineRule="auto"/>
        <w:tabs>
          <w:tab w:leader="none" w:pos="51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4"/>
          <w:szCs w:val="14"/>
          <w:color w:val="auto"/>
        </w:rPr>
      </w:pPr>
    </w:p>
    <w:p>
      <w:pPr>
        <w:ind w:left="1040" w:right="280" w:hanging="517"/>
        <w:spacing w:after="0" w:line="273" w:lineRule="auto"/>
        <w:tabs>
          <w:tab w:leader="none" w:pos="10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4"/>
          <w:szCs w:val="14"/>
          <w:color w:val="auto"/>
        </w:rPr>
      </w:pPr>
    </w:p>
    <w:p>
      <w:pPr>
        <w:ind w:left="1040" w:right="520" w:hanging="517"/>
        <w:spacing w:after="0" w:line="273" w:lineRule="auto"/>
        <w:tabs>
          <w:tab w:leader="none" w:pos="10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2020</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63029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3630295" cy="6985"/>
                    </a:xfrm>
                    <a:prstGeom prst="rect">
                      <a:avLst/>
                    </a:prstGeom>
                    <a:noFill/>
                  </pic:spPr>
                </pic:pic>
              </a:graphicData>
            </a:graphic>
          </wp:anchor>
        </w:drawing>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Brian Webb-Walsh</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Principal Financial Officer</w:t>
      </w:r>
    </w:p>
    <w:p>
      <w:pPr>
        <w:sectPr>
          <w:pgSz w:w="11900" w:h="16838" w:orient="portrait"/>
          <w:cols w:equalWidth="0" w:num="1">
            <w:col w:w="11460"/>
          </w:cols>
          <w:pgMar w:left="220" w:top="118"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0066CC"/>
        </w:rPr>
        <w:t>EXHIBIT 32</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CERTIFICATION OF CEO AND CFO PURSUANT TO 18 U.S.C. § 1350,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 ADOPTED PURSUANT TO § 906 OF THE SARBANES-OXLEY ACT OF 2002</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connection with the Form 10-K of Conduent Incorporated, a New York corporation (the “Company”), for the year ended December 31, 2017, as filed with the Securities and Exchange Commission on the date hereof (the “Report”), Clifford Skelton, Chief Executive Officer of the Company, and Brian Webb-Walsh, Chief Financial Officer of the Company, each hereby certifies, pursuant to 18 U.S.C. § 1350, as adopted pursuant to § 906 of the Sarbanes-Oxley Act of 2002, to the best of his/her knowledge, that:</w:t>
      </w:r>
    </w:p>
    <w:p>
      <w:pPr>
        <w:spacing w:after="0" w:line="136" w:lineRule="exact"/>
        <w:rPr>
          <w:sz w:val="20"/>
          <w:szCs w:val="20"/>
          <w:color w:val="auto"/>
        </w:rPr>
      </w:pPr>
    </w:p>
    <w:p>
      <w:pPr>
        <w:ind w:left="260" w:hanging="254"/>
        <w:spacing w:after="0"/>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63029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3630295" cy="6985"/>
                    </a:xfrm>
                    <a:prstGeom prst="rect">
                      <a:avLst/>
                    </a:prstGeom>
                    <a:noFill/>
                  </pic:spPr>
                </pic:pic>
              </a:graphicData>
            </a:graphic>
          </wp:anchor>
        </w:drawing>
      </w:r>
    </w:p>
    <w:p>
      <w:pPr>
        <w:spacing w:after="0" w:line="14" w:lineRule="exact"/>
        <w:rPr>
          <w:sz w:val="20"/>
          <w:szCs w:val="20"/>
          <w:color w:val="auto"/>
        </w:rPr>
      </w:pPr>
    </w:p>
    <w:p>
      <w:pPr>
        <w:jc w:val="center"/>
        <w:ind w:right="9940"/>
        <w:spacing w:after="0"/>
        <w:rPr>
          <w:sz w:val="20"/>
          <w:szCs w:val="20"/>
          <w:color w:val="auto"/>
        </w:rPr>
      </w:pPr>
      <w:r>
        <w:rPr>
          <w:rFonts w:ascii="Arial" w:cs="Arial" w:eastAsia="Arial" w:hAnsi="Arial"/>
          <w:sz w:val="11"/>
          <w:szCs w:val="11"/>
          <w:b w:val="1"/>
          <w:bCs w:val="1"/>
          <w:color w:val="auto"/>
        </w:rPr>
        <w:t>Clifford Skelton</w:t>
      </w:r>
    </w:p>
    <w:p>
      <w:pPr>
        <w:spacing w:after="0" w:line="17" w:lineRule="exact"/>
        <w:rPr>
          <w:sz w:val="20"/>
          <w:szCs w:val="20"/>
          <w:color w:val="auto"/>
        </w:rPr>
      </w:pPr>
    </w:p>
    <w:p>
      <w:pPr>
        <w:jc w:val="center"/>
        <w:ind w:right="9920"/>
        <w:spacing w:after="0"/>
        <w:rPr>
          <w:sz w:val="20"/>
          <w:szCs w:val="20"/>
          <w:color w:val="auto"/>
        </w:rPr>
      </w:pPr>
      <w:r>
        <w:rPr>
          <w:rFonts w:ascii="Arial" w:cs="Arial" w:eastAsia="Arial" w:hAnsi="Arial"/>
          <w:sz w:val="11"/>
          <w:szCs w:val="11"/>
          <w:b w:val="1"/>
          <w:bCs w:val="1"/>
          <w:color w:val="auto"/>
        </w:rPr>
        <w:t>Chief Executive Officer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26, 2020</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63029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3630295" cy="6985"/>
                    </a:xfrm>
                    <a:prstGeom prst="rect">
                      <a:avLst/>
                    </a:prstGeom>
                    <a:noFill/>
                  </pic:spPr>
                </pic:pic>
              </a:graphicData>
            </a:graphic>
          </wp:anchor>
        </w:drawing>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Brian Webb-Walsh</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Chief Financial Officer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26, 2020</w:t>
      </w:r>
    </w:p>
    <w:p>
      <w:pPr>
        <w:spacing w:after="0" w:line="31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460"/>
      </w:cols>
      <w:pgMar w:left="220" w:top="1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lvl w:ilvl="1">
      <w:lvlJc w:val="left"/>
      <w:lvlText w:val="◦"/>
      <w:numFmt w:val="bullet"/>
      <w:start w:val="1"/>
    </w:lvl>
  </w:abstractNum>
  <w:abstractNum w:abstractNumId="4">
    <w:nsid w:val="6CEAF087"/>
    <w:multiLevelType w:val="hybridMultilevel"/>
    <w:lvl w:ilvl="0">
      <w:lvlJc w:val="left"/>
      <w:lvlText w:val="•"/>
      <w:numFmt w:val="bullet"/>
      <w:start w:val="1"/>
    </w:lvl>
    <w:lvl w:ilvl="1">
      <w:lvlJc w:val="left"/>
      <w:lvlText w:val="◦"/>
      <w:numFmt w:val="bullet"/>
      <w:start w:val="1"/>
    </w:lvl>
  </w:abstractNum>
  <w:abstractNum w:abstractNumId="5">
    <w:nsid w:val="22221A70"/>
    <w:multiLevelType w:val="hybridMultilevel"/>
    <w:lvl w:ilvl="0">
      <w:lvlJc w:val="left"/>
      <w:lvlText w:val="•"/>
      <w:numFmt w:val="bullet"/>
      <w:start w:val="1"/>
    </w:lvl>
    <w:lvl w:ilvl="1">
      <w:lvlJc w:val="left"/>
      <w:lvlText w:val="◦"/>
      <w:numFmt w:val="bullet"/>
      <w:start w:val="1"/>
    </w:lvl>
  </w:abstractNum>
  <w:abstractNum w:abstractNumId="6">
    <w:nsid w:val="4516DDE9"/>
    <w:multiLevelType w:val="hybridMultilevel"/>
    <w:lvl w:ilvl="0">
      <w:lvlJc w:val="left"/>
      <w:lvlText w:val="•"/>
      <w:numFmt w:val="bullet"/>
      <w:start w:val="1"/>
    </w:lvl>
    <w:lvl w:ilvl="1">
      <w:lvlJc w:val="left"/>
      <w:lvlText w:val="◦"/>
      <w:numFmt w:val="bullet"/>
      <w:start w:val="1"/>
    </w:lvl>
  </w:abstractNum>
  <w:abstractNum w:abstractNumId="7">
    <w:nsid w:val="3006C83E"/>
    <w:multiLevelType w:val="hybridMultilevel"/>
    <w:lvl w:ilvl="0">
      <w:lvlJc w:val="left"/>
      <w:lvlText w:val="•"/>
      <w:numFmt w:val="bullet"/>
      <w:start w:val="1"/>
    </w:lvl>
    <w:lvl w:ilvl="1">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lowerRoman"/>
      <w:start w:val="2"/>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lowerRoman"/>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lvl w:ilvl="1">
      <w:lvlJc w:val="left"/>
      <w:lvlText w:val="•"/>
      <w:numFmt w:val="bullet"/>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2">
    <w:nsid w:val="1BA026FA"/>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6"/>
    </w:lvl>
  </w:abstractNum>
  <w:abstractNum w:abstractNumId="50">
    <w:nsid w:val="23F9C13C"/>
    <w:multiLevelType w:val="hybridMultilevel"/>
    <w:lvl w:ilvl="0">
      <w:lvlJc w:val="left"/>
      <w:lvlText w:val="%1."/>
      <w:numFmt w:val="decimal"/>
      <w:start w:val="10"/>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4"/>
    </w:lvl>
  </w:abstractNum>
  <w:abstractNum w:abstractNumId="54">
    <w:nsid w:val="1CF10FD8"/>
    <w:multiLevelType w:val="hybridMultilevel"/>
    <w:lvl w:ilvl="0">
      <w:lvlJc w:val="left"/>
      <w:lvlText w:val="%1."/>
      <w:numFmt w:val="decimal"/>
      <w:start w:val="6"/>
    </w:lvl>
  </w:abstractNum>
  <w:abstractNum w:abstractNumId="55">
    <w:nsid w:val="180115BE"/>
    <w:multiLevelType w:val="hybridMultilevel"/>
    <w:lvl w:ilvl="0">
      <w:lvlJc w:val="left"/>
      <w:lvlText w:val="%1."/>
      <w:numFmt w:val="decimal"/>
      <w:start w:val="10"/>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3" Type="http://schemas.openxmlformats.org/officeDocument/2006/relationships/image" Target="media/image135.png"/><Relationship Id="rId145" Type="http://schemas.openxmlformats.org/officeDocument/2006/relationships/image" Target="media/image136.png"/><Relationship Id="rId147" Type="http://schemas.openxmlformats.org/officeDocument/2006/relationships/image" Target="media/image137.png"/><Relationship Id="rId149" Type="http://schemas.openxmlformats.org/officeDocument/2006/relationships/image" Target="media/image138.png"/><Relationship Id="rId151" Type="http://schemas.openxmlformats.org/officeDocument/2006/relationships/image" Target="media/image139.png"/><Relationship Id="rId153" Type="http://schemas.openxmlformats.org/officeDocument/2006/relationships/image" Target="media/image140.png"/><Relationship Id="rId155" Type="http://schemas.openxmlformats.org/officeDocument/2006/relationships/image" Target="media/image141.png"/><Relationship Id="rId157"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2"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7" Type="http://schemas.openxmlformats.org/officeDocument/2006/relationships/image" Target="media/image148.png"/><Relationship Id="rId169" Type="http://schemas.openxmlformats.org/officeDocument/2006/relationships/image" Target="media/image149.png"/><Relationship Id="rId171" Type="http://schemas.openxmlformats.org/officeDocument/2006/relationships/image" Target="media/image150.png"/><Relationship Id="rId173" Type="http://schemas.openxmlformats.org/officeDocument/2006/relationships/image" Target="media/image151.png"/><Relationship Id="rId175" Type="http://schemas.openxmlformats.org/officeDocument/2006/relationships/image" Target="media/image152.png"/><Relationship Id="rId177" Type="http://schemas.openxmlformats.org/officeDocument/2006/relationships/image" Target="media/image153.png"/><Relationship Id="rId179" Type="http://schemas.openxmlformats.org/officeDocument/2006/relationships/image" Target="media/image154.png"/><Relationship Id="rId181" Type="http://schemas.openxmlformats.org/officeDocument/2006/relationships/image" Target="media/image155.png"/><Relationship Id="rId183" Type="http://schemas.openxmlformats.org/officeDocument/2006/relationships/image" Target="media/image156.png"/><Relationship Id="rId185"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90" Type="http://schemas.openxmlformats.org/officeDocument/2006/relationships/image" Target="media/image160.png"/><Relationship Id="rId192" Type="http://schemas.openxmlformats.org/officeDocument/2006/relationships/image" Target="media/image161.png"/><Relationship Id="rId194" Type="http://schemas.openxmlformats.org/officeDocument/2006/relationships/image" Target="media/image162.png"/><Relationship Id="rId196" Type="http://schemas.openxmlformats.org/officeDocument/2006/relationships/image" Target="media/image163.png"/><Relationship Id="rId198" Type="http://schemas.openxmlformats.org/officeDocument/2006/relationships/image" Target="media/image164.png"/><Relationship Id="rId200" Type="http://schemas.openxmlformats.org/officeDocument/2006/relationships/image" Target="media/image165.png"/><Relationship Id="rId202" Type="http://schemas.openxmlformats.org/officeDocument/2006/relationships/image" Target="media/image166.png"/><Relationship Id="rId204" Type="http://schemas.openxmlformats.org/officeDocument/2006/relationships/image" Target="media/image167.png"/><Relationship Id="rId206" Type="http://schemas.openxmlformats.org/officeDocument/2006/relationships/image" Target="media/image168.png"/><Relationship Id="rId208"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3"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142" Type="http://schemas.openxmlformats.org/officeDocument/2006/relationships/hyperlink" Target="http://www.sec.gov/Archives/edgar/data/1677703/000119312517000332/d260662dex21.htm" TargetMode="External"/><Relationship Id="rId144" Type="http://schemas.openxmlformats.org/officeDocument/2006/relationships/hyperlink" Target="http://www.sec.gov/Archives/edgar/data/1677703/000119312516803247/d275811dex31.htm" TargetMode="External"/><Relationship Id="rId146" Type="http://schemas.openxmlformats.org/officeDocument/2006/relationships/hyperlink" Target="http://www.sec.gov/Archives/edgar/data/1677703/000119312516803247/d275811dex32.htm" TargetMode="External"/><Relationship Id="rId148" Type="http://schemas.openxmlformats.org/officeDocument/2006/relationships/hyperlink" Target="http://www.sec.gov/Archives/edgar/data/1677703/000119312516789083/d280613dex41.htm" TargetMode="External"/><Relationship Id="rId150" Type="http://schemas.openxmlformats.org/officeDocument/2006/relationships/hyperlink" Target="http://www.sec.gov/Archives/edgar/data/1677703/000167770318000033/conduent-63018xex41a.htm" TargetMode="External"/><Relationship Id="rId152" Type="http://schemas.openxmlformats.org/officeDocument/2006/relationships/hyperlink" Target="http://www.sec.gov/Archives/edgar/data/1677703/000167770318000033/conduent-63018xex41b.htm" TargetMode="External"/><Relationship Id="rId154" Type="http://schemas.openxmlformats.org/officeDocument/2006/relationships/hyperlink" Target="http://www.sec.gov/Archives/edgar/data/1677703/000167770318000033/conduent-63018xex41c.htm" TargetMode="External"/><Relationship Id="rId156" Type="http://schemas.openxmlformats.org/officeDocument/2006/relationships/hyperlink" Target="http://www.sec.gov/Archives/edgar/data/1677703/000167770318000033/conduent-63018xex41d.htm" TargetMode="External"/><Relationship Id="rId158" Type="http://schemas.openxmlformats.org/officeDocument/2006/relationships/hyperlink" Target="http://www.sec.gov/Archives/edgar/data/1677703/000095015718000819/ex4-1.htm" TargetMode="External"/><Relationship Id="rId161" Type="http://schemas.openxmlformats.org/officeDocument/2006/relationships/hyperlink" Target="http://www.sec.gov/Archives/edgar/data/1677703/000119312516789083/d280613dex101.htm" TargetMode="External"/><Relationship Id="rId163" Type="http://schemas.openxmlformats.org/officeDocument/2006/relationships/hyperlink" Target="http://www.sec.gov/Archives/edgar/data/1677703/000119312517120009/d265985dex101.htm" TargetMode="External"/><Relationship Id="rId166" Type="http://schemas.openxmlformats.org/officeDocument/2006/relationships/hyperlink" Target="http://www.sec.gov/Archives/edgar/data/1677703/000119312517307127/d471128dex101.htm" TargetMode="External"/><Relationship Id="rId168" Type="http://schemas.openxmlformats.org/officeDocument/2006/relationships/hyperlink" Target="http://www.sec.gov/Archives/edgar/data/1677703/000095015718000775/ex10-1.htm" TargetMode="External"/><Relationship Id="rId170" Type="http://schemas.openxmlformats.org/officeDocument/2006/relationships/hyperlink" Target="http://www.sec.gov/Archives/edgar/data/1677703/000167770317000006/conduent-123116xex101bfirs.htm" TargetMode="External"/><Relationship Id="rId172" Type="http://schemas.openxmlformats.org/officeDocument/2006/relationships/hyperlink" Target="http://www.sec.gov/Archives/edgar/data/1677703/000119312517000332/d260662dex102.htm" TargetMode="External"/><Relationship Id="rId174" Type="http://schemas.openxmlformats.org/officeDocument/2006/relationships/hyperlink" Target="http://www.sec.gov/Archives/edgar/data/1677703/000119312517000332/d260662dex103.htm" TargetMode="External"/><Relationship Id="rId176" Type="http://schemas.openxmlformats.org/officeDocument/2006/relationships/hyperlink" Target="http://www.sec.gov/Archives/edgar/data/1677703/000119312517000332/d260662dex104.htm" TargetMode="External"/><Relationship Id="rId178" Type="http://schemas.openxmlformats.org/officeDocument/2006/relationships/hyperlink" Target="http://www.sec.gov/Archives/edgar/data/1677703/000119312517000332/d260662dex106.htm" TargetMode="External"/><Relationship Id="rId180" Type="http://schemas.openxmlformats.org/officeDocument/2006/relationships/hyperlink" Target="http://www.sec.gov/Archives/edgar/data/1677703/000119312516682067/d208500dex106.htm" TargetMode="External"/><Relationship Id="rId182" Type="http://schemas.openxmlformats.org/officeDocument/2006/relationships/hyperlink" Target="http://www.sec.gov/Archives/edgar/data/1677703/000119312516751179/d208500dex1014.htm" TargetMode="External"/><Relationship Id="rId184" Type="http://schemas.openxmlformats.org/officeDocument/2006/relationships/hyperlink" Target="http://www.sec.gov/Archives/edgar/data/1677703/000095015718001231/ex10-1.htm" TargetMode="External"/><Relationship Id="rId186" Type="http://schemas.openxmlformats.org/officeDocument/2006/relationships/hyperlink" Target="http://www.sec.gov/Archives/edgar/data/1677703/000119312516807430/d314499dex43.htm" TargetMode="External"/><Relationship Id="rId189" Type="http://schemas.openxmlformats.org/officeDocument/2006/relationships/hyperlink" Target="http://www.sec.gov/Archives/edgar/data/1677703/000167770318000022/conduent-33118xex106avii.htm" TargetMode="External"/><Relationship Id="rId191" Type="http://schemas.openxmlformats.org/officeDocument/2006/relationships/hyperlink" Target="http://www.sec.gov/Archives/edgar/data/1677703/000167770318000022/conduent-33118xex106aviii.htm" TargetMode="External"/><Relationship Id="rId193" Type="http://schemas.openxmlformats.org/officeDocument/2006/relationships/hyperlink" Target="http://www.sec.gov/Archives/edgar/data/1677703/000167770319000007/cndt-123118xex106aix.htm" TargetMode="External"/><Relationship Id="rId195" Type="http://schemas.openxmlformats.org/officeDocument/2006/relationships/hyperlink" Target="http://www.sec.gov/Archives/edgar/data/1677703/000167770319000007/cndt123118-ex106ax.htm" TargetMode="External"/><Relationship Id="rId197" Type="http://schemas.openxmlformats.org/officeDocument/2006/relationships/hyperlink" Target="http://www.sec.gov/Archives/edgar/data/1677703/000119312516807430/d314499dex44.htm" TargetMode="External"/><Relationship Id="rId199" Type="http://schemas.openxmlformats.org/officeDocument/2006/relationships/hyperlink" Target="http://www.sec.gov/Archives/edgar/data/1677703/000167770317000006/conduent-123116xex106biifo.htm" TargetMode="External"/><Relationship Id="rId201" Type="http://schemas.openxmlformats.org/officeDocument/2006/relationships/hyperlink" Target="http://www.sec.gov/Archives/edgar/data/1677703/000119312517270610/d447586dex101.htm" TargetMode="External"/><Relationship Id="rId203" Type="http://schemas.openxmlformats.org/officeDocument/2006/relationships/hyperlink" Target="http://www.sec.gov/Archives/edgar/data/108772/000119312516620753/d211957dex992.htm" TargetMode="External"/><Relationship Id="rId205" Type="http://schemas.openxmlformats.org/officeDocument/2006/relationships/hyperlink" Target="http://www.sec.gov/Archives/edgar/data/1677703/000095015719000696/ex10-1.htm" TargetMode="External"/><Relationship Id="rId207" Type="http://schemas.openxmlformats.org/officeDocument/2006/relationships/hyperlink" Target="http://www.sec.gov/Archives/edgar/data/1677703/000119312519158341/d731398dex106h.htm" TargetMode="External"/><Relationship Id="rId209" Type="http://schemas.openxmlformats.org/officeDocument/2006/relationships/hyperlink" Target="http://www.sec.gov/Archives/edgar/data/1677703/000119312519215375/d787721dex99106j.htm" TargetMode="External"/><Relationship Id="rId212" Type="http://schemas.openxmlformats.org/officeDocument/2006/relationships/hyperlink" Target="http://www.sec.gov/Archives/edgar/data/1677703/000119312516743089/d208500dex1012.htm" TargetMode="External"/><Relationship Id="rId214" Type="http://schemas.openxmlformats.org/officeDocument/2006/relationships/hyperlink" Target="http://www.sec.gov/Archives/edgar/data/1677703/000119312516743089/d208500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2020-02-27T05:20:35Z</dcterms:created>
  <dcterms:modified xsi:type="dcterms:W3CDTF">2020-02-27T05:20:35Z</dcterms:modified>
</cp:coreProperties>
</file>