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68"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14"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95"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87"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43"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0"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pacing w:after="0" w:line="2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49"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1"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spacing w:after="0" w:line="12" w:lineRule="exact"/>
        <w:rPr>
          <w:sz w:val="24"/>
          <w:szCs w:val="24"/>
          <w:color w:val="auto"/>
        </w:rPr>
      </w:pPr>
    </w:p>
    <w:p>
      <w:pPr>
        <w:ind w:right="300"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 w:lineRule="exact"/>
        <w:rPr>
          <w:sz w:val="24"/>
          <w:szCs w:val="24"/>
          <w:color w:val="auto"/>
        </w:rPr>
      </w:pPr>
    </w:p>
    <w:p>
      <w:pPr>
        <w:ind w:right="320" w:firstLine="162"/>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9" w:lineRule="exact"/>
        <w:rPr>
          <w:sz w:val="24"/>
          <w:szCs w:val="24"/>
          <w:color w:val="auto"/>
        </w:rPr>
      </w:pPr>
    </w:p>
    <w:p>
      <w:pPr>
        <w:ind w:right="20"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00"/>
        <w:spacing w:after="0" w:line="181" w:lineRule="exact"/>
        <w:tabs>
          <w:tab w:leader="none" w:pos="2040" w:val="left"/>
          <w:tab w:leader="none" w:pos="2500" w:val="left"/>
          <w:tab w:leader="none" w:pos="3820" w:val="left"/>
          <w:tab w:leader="none" w:pos="4300" w:val="left"/>
          <w:tab w:leader="none" w:pos="5960" w:val="left"/>
          <w:tab w:leader="none" w:pos="6460" w:val="left"/>
          <w:tab w:leader="none" w:pos="8420" w:val="left"/>
          <w:tab w:leader="none" w:pos="894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6" w:lineRule="exact"/>
        <w:rPr>
          <w:sz w:val="24"/>
          <w:szCs w:val="24"/>
          <w:color w:val="auto"/>
        </w:rPr>
      </w:pPr>
    </w:p>
    <w:p>
      <w:pPr>
        <w:ind w:right="160" w:firstLine="162"/>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w w:val="98"/>
              </w:rPr>
              <w:t>Class</w:t>
            </w:r>
          </w:p>
        </w:tc>
        <w:tc>
          <w:tcPr>
            <w:tcW w:w="124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rPr>
              <w:t>Outstanding at July 31, 2021</w:t>
            </w:r>
          </w:p>
        </w:tc>
      </w:tr>
      <w:tr>
        <w:trPr>
          <w:trHeight w:val="205"/>
        </w:trPr>
        <w:tc>
          <w:tcPr>
            <w:tcW w:w="184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590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142"/>
              <w:spacing w:after="0"/>
              <w:rPr>
                <w:sz w:val="20"/>
                <w:szCs w:val="20"/>
                <w:color w:val="auto"/>
              </w:rPr>
            </w:pPr>
            <w:r>
              <w:rPr>
                <w:rFonts w:ascii="Arial" w:cs="Arial" w:eastAsia="Arial" w:hAnsi="Arial"/>
                <w:sz w:val="16"/>
                <w:szCs w:val="16"/>
                <w:color w:val="auto"/>
              </w:rPr>
              <w:t>212,651,045</w:t>
            </w:r>
          </w:p>
        </w:tc>
      </w:tr>
      <w:tr>
        <w:trPr>
          <w:trHeight w:val="413"/>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Q2 2021 Form 10-Q</w:t>
            </w:r>
          </w:p>
        </w:tc>
      </w:tr>
      <w:tr>
        <w:trPr>
          <w:trHeight w:val="694"/>
        </w:trPr>
        <w:tc>
          <w:tcPr>
            <w:tcW w:w="1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3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forward-looking. In addition, all statements regarding the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8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changes in the volatility of our stock price and the risk of litigation following a decline in the price of our stock; the impact of the ongoing COVID-19 pandemic; and other factors that are set forth in the “Risk Factors” section, the “Legal Proceedings” section, the “Management's Discussion and Analysis of Financial Condition and Results of Operations” section and other sections of this Quarterly Report on Form 10-Q as well as in our 2020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as a result of new information, subsequent events or otherwise.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 w:name="page3"/>
    <w:bookmarkEnd w:id="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1269BC"/>
              </w:rPr>
              <w:t>June 30, 2021</w:t>
            </w:r>
          </w:p>
        </w:tc>
        <w:tc>
          <w:tcPr>
            <w:tcW w:w="8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8620" w:type="dxa"/>
            <w:vAlign w:val="bottom"/>
          </w:tcPr>
          <w:p>
            <w:pPr>
              <w:ind w:left="34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73"/>
        </w:trPr>
        <w:tc>
          <w:tcPr>
            <w:tcW w:w="1260" w:type="dxa"/>
            <w:vAlign w:val="bottom"/>
            <w:tcBorders>
              <w:bottom w:val="single" w:sz="8" w:color="CCEEFF"/>
            </w:tcBorders>
          </w:tcPr>
          <w:p>
            <w:pPr>
              <w:spacing w:after="0"/>
              <w:rPr>
                <w:sz w:val="24"/>
                <w:szCs w:val="24"/>
                <w:color w:val="auto"/>
              </w:rPr>
            </w:pPr>
          </w:p>
        </w:tc>
        <w:tc>
          <w:tcPr>
            <w:tcW w:w="86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Page</w:t>
            </w:r>
          </w:p>
        </w:tc>
      </w:tr>
      <w:tr>
        <w:trPr>
          <w:trHeight w:val="20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340" w:type="dxa"/>
            <w:vAlign w:val="bottom"/>
            <w:shd w:val="clear" w:color="auto" w:fill="CCEEFF"/>
          </w:tcPr>
          <w:p>
            <w:pPr>
              <w:spacing w:after="0"/>
              <w:rPr>
                <w:sz w:val="18"/>
                <w:szCs w:val="18"/>
                <w:color w:val="auto"/>
              </w:rPr>
            </w:pPr>
          </w:p>
        </w:tc>
      </w:tr>
      <w:tr>
        <w:trPr>
          <w:trHeight w:val="230"/>
        </w:trPr>
        <w:tc>
          <w:tcPr>
            <w:tcW w:w="126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20" w:type="dxa"/>
            <w:vAlign w:val="bottom"/>
          </w:tcPr>
          <w:p>
            <w:pPr>
              <w:ind w:left="80"/>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(Loss)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(Loss)</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r>
      <w:tr>
        <w:trPr>
          <w:trHeight w:val="230"/>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34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r>
      <w:tr>
        <w:trPr>
          <w:trHeight w:val="230"/>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Shareholders' Equity</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134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r>
      <w:tr>
        <w:trPr>
          <w:trHeight w:val="229"/>
        </w:trPr>
        <w:tc>
          <w:tcPr>
            <w:tcW w:w="1260" w:type="dxa"/>
            <w:vAlign w:val="bottom"/>
            <w:shd w:val="clear" w:color="auto" w:fill="CCEEFF"/>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24</w:t>
              </w:r>
            </w:hyperlink>
          </w:p>
        </w:tc>
      </w:tr>
      <w:tr>
        <w:trPr>
          <w:trHeight w:val="230"/>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34">
              <w:r>
                <w:rPr>
                  <w:rFonts w:ascii="Arial" w:cs="Arial" w:eastAsia="Arial" w:hAnsi="Arial"/>
                  <w:sz w:val="18"/>
                  <w:szCs w:val="18"/>
                  <w:color w:val="0000FF"/>
                </w:rPr>
                <w:t>Capital Resources and Liquidity</w:t>
              </w:r>
            </w:hyperlink>
          </w:p>
        </w:tc>
        <w:tc>
          <w:tcPr>
            <w:tcW w:w="1340" w:type="dxa"/>
            <w:vAlign w:val="bottom"/>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33</w:t>
              </w:r>
            </w:hyperlink>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34">
              <w:r>
                <w:rPr>
                  <w:rFonts w:ascii="Arial" w:cs="Arial" w:eastAsia="Arial" w:hAnsi="Arial"/>
                  <w:sz w:val="18"/>
                  <w:szCs w:val="18"/>
                  <w:color w:val="0000FF"/>
                </w:rPr>
                <w:t>Market Risk Management</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29"/>
        </w:trPr>
        <w:tc>
          <w:tcPr>
            <w:tcW w:w="1260" w:type="dxa"/>
            <w:vAlign w:val="bottom"/>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620" w:type="dxa"/>
            <w:vAlign w:val="bottom"/>
          </w:tcPr>
          <w:p>
            <w:pPr>
              <w:ind w:left="80"/>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340" w:type="dxa"/>
            <w:vAlign w:val="bottom"/>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34</w:t>
              </w:r>
            </w:hyperlink>
          </w:p>
        </w:tc>
      </w:tr>
      <w:tr>
        <w:trPr>
          <w:trHeight w:val="230"/>
        </w:trPr>
        <w:tc>
          <w:tcPr>
            <w:tcW w:w="1260" w:type="dxa"/>
            <w:vAlign w:val="bottom"/>
            <w:shd w:val="clear" w:color="auto" w:fill="CCEEFF"/>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34</w:t>
              </w:r>
            </w:hyperlink>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 Other Information</w:t>
              </w:r>
            </w:hyperlink>
          </w:p>
        </w:tc>
        <w:tc>
          <w:tcPr>
            <w:tcW w:w="1340" w:type="dxa"/>
            <w:vAlign w:val="bottom"/>
            <w:shd w:val="clear" w:color="auto" w:fill="CCEEFF"/>
          </w:tcPr>
          <w:p>
            <w:pPr>
              <w:spacing w:after="0"/>
              <w:rPr>
                <w:sz w:val="19"/>
                <w:szCs w:val="19"/>
                <w:color w:val="auto"/>
              </w:rPr>
            </w:pPr>
          </w:p>
        </w:tc>
      </w:tr>
      <w:tr>
        <w:trPr>
          <w:trHeight w:val="162"/>
        </w:trPr>
        <w:tc>
          <w:tcPr>
            <w:tcW w:w="1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9"/>
        </w:trPr>
        <w:tc>
          <w:tcPr>
            <w:tcW w:w="1260" w:type="dxa"/>
            <w:vAlign w:val="bottom"/>
            <w:shd w:val="clear" w:color="auto" w:fill="CCEEFF"/>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35</w:t>
              </w:r>
            </w:hyperlink>
          </w:p>
        </w:tc>
      </w:tr>
      <w:tr>
        <w:trPr>
          <w:trHeight w:val="230"/>
        </w:trPr>
        <w:tc>
          <w:tcPr>
            <w:tcW w:w="1260" w:type="dxa"/>
            <w:vAlign w:val="bottom"/>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1A.</w:t>
              </w:r>
            </w:hyperlink>
          </w:p>
        </w:tc>
        <w:tc>
          <w:tcPr>
            <w:tcW w:w="8620" w:type="dxa"/>
            <w:vAlign w:val="bottom"/>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340" w:type="dxa"/>
            <w:vAlign w:val="bottom"/>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35</w:t>
              </w:r>
            </w:hyperlink>
          </w:p>
        </w:tc>
      </w:tr>
      <w:tr>
        <w:trPr>
          <w:trHeight w:val="230"/>
        </w:trPr>
        <w:tc>
          <w:tcPr>
            <w:tcW w:w="1260" w:type="dxa"/>
            <w:vAlign w:val="bottom"/>
            <w:shd w:val="clear" w:color="auto" w:fill="CCEEFF"/>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35</w:t>
              </w:r>
            </w:hyperlink>
          </w:p>
        </w:tc>
      </w:tr>
      <w:tr>
        <w:trPr>
          <w:trHeight w:val="230"/>
        </w:trPr>
        <w:tc>
          <w:tcPr>
            <w:tcW w:w="1260" w:type="dxa"/>
            <w:vAlign w:val="bottom"/>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8620" w:type="dxa"/>
            <w:vAlign w:val="bottom"/>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1340" w:type="dxa"/>
            <w:vAlign w:val="bottom"/>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r>
      <w:tr>
        <w:trPr>
          <w:trHeight w:val="229"/>
        </w:trPr>
        <w:tc>
          <w:tcPr>
            <w:tcW w:w="1260" w:type="dxa"/>
            <w:vAlign w:val="bottom"/>
            <w:shd w:val="clear" w:color="auto" w:fill="CCEEFF"/>
          </w:tcPr>
          <w:p>
            <w:pPr>
              <w:ind w:left="2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Signatures</w:t>
              </w:r>
            </w:hyperlink>
          </w:p>
        </w:tc>
        <w:tc>
          <w:tcPr>
            <w:tcW w:w="86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37</w:t>
              </w:r>
            </w:hyperlink>
          </w:p>
        </w:tc>
      </w:tr>
    </w:tbl>
    <w:p>
      <w:pPr>
        <w:spacing w:after="0" w:line="32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22"/>
          <w:szCs w:val="22"/>
          <w:b w:val="1"/>
          <w:bCs w:val="1"/>
          <w:color w:val="0066CC"/>
        </w:rPr>
      </w:pPr>
      <w:hyperlink w:anchor="page3">
        <w:r>
          <w:rPr>
            <w:rFonts w:ascii="Arial" w:cs="Arial" w:eastAsia="Arial" w:hAnsi="Arial"/>
            <w:sz w:val="22"/>
            <w:szCs w:val="22"/>
            <w:b w:val="1"/>
            <w:bCs w:val="1"/>
            <w:color w:val="0066CC"/>
          </w:rPr>
          <w:t>PART I — FINANCIAL INFORMATION</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4"/>
                <w:szCs w:val="14"/>
                <w:color w:val="auto"/>
              </w:rPr>
              <w:t>Six Months Ended</w:t>
            </w: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gridSpan w:val="2"/>
          </w:tcPr>
          <w:p>
            <w:pPr>
              <w:spacing w:after="0" w:line="129" w:lineRule="exact"/>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2"/>
                <w:szCs w:val="12"/>
                <w:color w:val="auto"/>
              </w:rPr>
            </w:pPr>
          </w:p>
        </w:tc>
        <w:tc>
          <w:tcPr>
            <w:tcW w:w="88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1,627</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costs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1,080</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2,044</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2,182</w:t>
            </w:r>
          </w:p>
        </w:tc>
      </w:tr>
      <w:tr>
        <w:trPr>
          <w:trHeight w:val="142"/>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162"/>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(0.50)</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ind w:lef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20" w:type="dxa"/>
            <w:vAlign w:val="bottom"/>
          </w:tcPr>
          <w:p>
            <w:pPr>
              <w:jc w:val="right"/>
              <w:ind w:right="34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ind w:left="160"/>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benefit plans, net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6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15"/>
                <w:szCs w:val="15"/>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450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151</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1,577</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246</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237</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1,420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207</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2,924</w:t>
            </w:r>
          </w:p>
        </w:tc>
      </w:tr>
      <w:tr>
        <w:trPr>
          <w:trHeight w:val="196"/>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11)</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3,899</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1,190</w:t>
            </w: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212,556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212,074</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Six Months Ended</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from investments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divestitures and sales of fixed assets, net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Restructuring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69"/>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revolving credit facility and other loans</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150</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Premium on debt redemption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r>
      <w:tr>
        <w:trPr>
          <w:trHeight w:val="183"/>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40" w:right="140" w:hanging="332"/>
        <w:spacing w:after="0" w:line="279"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$6 million and $9 million of restricted cash as of June 30, 2021 and 2020,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ind w:left="669"/>
              <w:spacing w:after="0"/>
              <w:rPr>
                <w:sz w:val="20"/>
                <w:szCs w:val="20"/>
                <w:color w:val="auto"/>
              </w:rPr>
            </w:pPr>
            <w:r>
              <w:rPr>
                <w:rFonts w:ascii="Arial" w:cs="Arial" w:eastAsia="Arial" w:hAnsi="Arial"/>
                <w:sz w:val="14"/>
                <w:szCs w:val="14"/>
                <w:color w:val="auto"/>
              </w:rPr>
              <w:t>Three Months Ended June 30, 2021</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69"/>
              <w:spacing w:after="0"/>
              <w:rPr>
                <w:sz w:val="20"/>
                <w:szCs w:val="20"/>
                <w:color w:val="auto"/>
              </w:rPr>
            </w:pPr>
            <w:r>
              <w:rPr>
                <w:rFonts w:ascii="Arial" w:cs="Arial" w:eastAsia="Arial" w:hAnsi="Arial"/>
                <w:sz w:val="14"/>
                <w:szCs w:val="14"/>
                <w:color w:val="auto"/>
              </w:rPr>
              <w:t>Three Months Ended June 30, 2020</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Comprehensive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49"/>
              <w:spacing w:after="0"/>
              <w:rPr>
                <w:sz w:val="20"/>
                <w:szCs w:val="20"/>
                <w:color w:val="auto"/>
              </w:rPr>
            </w:pPr>
            <w:r>
              <w:rPr>
                <w:rFonts w:ascii="Arial" w:cs="Arial" w:eastAsia="Arial" w:hAnsi="Arial"/>
                <w:sz w:val="14"/>
                <w:szCs w:val="14"/>
                <w:color w:val="auto"/>
              </w:rPr>
              <w:t>Six Months Ended June 30, 2021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$40/share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49"/>
              <w:spacing w:after="0"/>
              <w:rPr>
                <w:sz w:val="20"/>
                <w:szCs w:val="20"/>
                <w:color w:val="auto"/>
              </w:rPr>
            </w:pPr>
            <w:r>
              <w:rPr>
                <w:rFonts w:ascii="Arial" w:cs="Arial" w:eastAsia="Arial" w:hAnsi="Arial"/>
                <w:sz w:val="14"/>
                <w:szCs w:val="14"/>
                <w:color w:val="auto"/>
              </w:rPr>
              <w:t>Six Months Ended June 30, 2020</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$40/share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2380" w:right="2060" w:hanging="2372"/>
        <w:spacing w:after="0" w:line="664" w:lineRule="auto"/>
        <w:tabs>
          <w:tab w:leader="none" w:pos="3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10 – Accumulated Other Comprehensive Loss for the components of AOCL. The accompanying notes are an integral part of these Condensed Consolidated Financial Statements.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NOTES TO CONDENSED CONSOLIDATED FINANCIAL STATEMENTS (UNAUDITED)</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2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one of the largest business process services companies in the world, Conduent delivers mission-critical services and solutions on behalf of businesses and governments – creating exceptional outcomes for its clients and the millions of people who count on them. Through people, process, expertise in transaction-intensive processing and technology such as analytics and automation, Conduent's services and solutions create value by improving efficiencies, reducing costs and enabling revenue growth. A majority of Fortune 100 companies and over 500 government entities depend on Conduent every day to manage their business processes and essential interactions with their end-users. The Company's portfolio includes industry-focused solutions in attractive growth markets such as healthcare and transportation, as well as solutions that serve multiple industries such as transaction processing, customer care, human resource solutions and payment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2020.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2021, the impact of the COVID-19 pandemic, the mitigating impact of the rollout of a vaccine for it and emerging cases of new variants of the virus continue to unfold.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265"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The Company's significant accounting policies are described in Note 1–Basis of Presentation and Summary of Significant Accounting Policies in the Company's Annual Report on Form 10-K for the year ended December 31, 2020. Summarized below are the applicable accounting pronouncements adopted or to be adopted subsequent to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1269BC"/>
        </w:rPr>
        <w:t>I</w:t>
      </w:r>
      <w:r>
        <w:rPr>
          <w:rFonts w:ascii="Arial" w:cs="Arial" w:eastAsia="Arial" w:hAnsi="Arial"/>
          <w:sz w:val="18"/>
          <w:szCs w:val="18"/>
          <w:b w:val="1"/>
          <w:bCs w:val="1"/>
          <w:color w:val="1269BD"/>
        </w:rPr>
        <w:t>ncome Taxes:</w:t>
      </w:r>
      <w:r>
        <w:rPr>
          <w:rFonts w:ascii="Arial" w:cs="Arial" w:eastAsia="Arial" w:hAnsi="Arial"/>
          <w:sz w:val="18"/>
          <w:szCs w:val="18"/>
          <w:b w:val="1"/>
          <w:bCs w:val="1"/>
          <w:color w:val="1269BC"/>
        </w:rPr>
        <w:t xml:space="preserve"> </w:t>
      </w:r>
      <w:r>
        <w:rPr>
          <w:rFonts w:ascii="Arial" w:cs="Arial" w:eastAsia="Arial" w:hAnsi="Arial"/>
          <w:sz w:val="18"/>
          <w:szCs w:val="18"/>
          <w:color w:val="000000"/>
        </w:rPr>
        <w:t>In December 2019, the Financial Accounting Standards Board (FASB) issued final guidance that simplified the accounting for</w:t>
      </w:r>
      <w:r>
        <w:rPr>
          <w:rFonts w:ascii="Arial" w:cs="Arial" w:eastAsia="Arial" w:hAnsi="Arial"/>
          <w:sz w:val="18"/>
          <w:szCs w:val="18"/>
          <w:b w:val="1"/>
          <w:bCs w:val="1"/>
          <w:color w:val="1269BC"/>
        </w:rPr>
        <w:t xml:space="preserve"> </w:t>
      </w:r>
      <w:r>
        <w:rPr>
          <w:rFonts w:ascii="Arial" w:cs="Arial" w:eastAsia="Arial" w:hAnsi="Arial"/>
          <w:sz w:val="18"/>
          <w:szCs w:val="18"/>
          <w:color w:val="000000"/>
        </w:rPr>
        <w:t>income taxes by eliminating some exceptions to the general approach in Accounting Standards Codification (ASC) 740, Income Taxes. This final guidance was effective for fiscal years beginning January 1, 2021. The Company adopted the final income taxes guidance as of January 1, 2021. The adoption did not have any material impact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1269BD"/>
        </w:rPr>
        <w:t xml:space="preserve">Reference Rate Reform: </w:t>
      </w:r>
      <w:r>
        <w:rPr>
          <w:rFonts w:ascii="Arial" w:cs="Arial" w:eastAsia="Arial" w:hAnsi="Arial"/>
          <w:sz w:val="18"/>
          <w:szCs w:val="18"/>
          <w:color w:val="000000"/>
        </w:rPr>
        <w:t>In March 2020, the FASB issued updated guidance relating to the accounting for the discontinuation of the London</w:t>
      </w:r>
      <w:r>
        <w:rPr>
          <w:rFonts w:ascii="Arial" w:cs="Arial" w:eastAsia="Arial" w:hAnsi="Arial"/>
          <w:sz w:val="18"/>
          <w:szCs w:val="18"/>
          <w:b w:val="1"/>
          <w:bCs w:val="1"/>
          <w:color w:val="1269BD"/>
        </w:rPr>
        <w:t xml:space="preserve"> </w:t>
      </w:r>
      <w:r>
        <w:rPr>
          <w:rFonts w:ascii="Arial" w:cs="Arial" w:eastAsia="Arial" w:hAnsi="Arial"/>
          <w:sz w:val="18"/>
          <w:szCs w:val="18"/>
          <w:color w:val="000000"/>
        </w:rPr>
        <w:t>Inter-bank Offered Rate (LIBOR), referred to as reference rate reform. This guidance provides optional practical expedients and exceptions for applying U.S. GAAP to contracts, hedging relationships and other transactions affected by reference rate reform if certain criteria are met. T</w:t>
      </w:r>
      <w:r>
        <w:rPr>
          <w:rFonts w:ascii="Arial" w:cs="Arial" w:eastAsia="Arial" w:hAnsi="Arial"/>
          <w:sz w:val="18"/>
          <w:szCs w:val="18"/>
          <w:color w:val="212529"/>
        </w:rPr>
        <w:t>his guidance is applicable to contract modifications that replace a reference LIBOR rate affected by reference rate reform. The amendments</w:t>
      </w:r>
      <w:r>
        <w:rPr>
          <w:rFonts w:ascii="Arial" w:cs="Arial" w:eastAsia="Arial" w:hAnsi="Arial"/>
          <w:sz w:val="18"/>
          <w:szCs w:val="18"/>
          <w:color w:val="000000"/>
        </w:rPr>
        <w:t xml:space="preserve"> </w:t>
      </w:r>
      <w:r>
        <w:rPr>
          <w:rFonts w:ascii="Arial" w:cs="Arial" w:eastAsia="Arial" w:hAnsi="Arial"/>
          <w:sz w:val="18"/>
          <w:szCs w:val="18"/>
          <w:color w:val="212529"/>
        </w:rPr>
        <w:t xml:space="preserve">may be applied through December 31, 2022. </w:t>
      </w:r>
      <w:r>
        <w:rPr>
          <w:rFonts w:ascii="Arial" w:cs="Arial" w:eastAsia="Arial" w:hAnsi="Arial"/>
          <w:sz w:val="18"/>
          <w:szCs w:val="18"/>
          <w:color w:val="000000"/>
        </w:rPr>
        <w:t>The Company is currently evaluating the impact of this guidance on its Condensed</w:t>
      </w:r>
      <w:r>
        <w:rPr>
          <w:rFonts w:ascii="Arial" w:cs="Arial" w:eastAsia="Arial" w:hAnsi="Arial"/>
          <w:sz w:val="18"/>
          <w:szCs w:val="18"/>
          <w:color w:val="212529"/>
        </w:rPr>
        <w:t xml:space="preserve"> </w:t>
      </w:r>
      <w:r>
        <w:rPr>
          <w:rFonts w:ascii="Arial" w:cs="Arial" w:eastAsia="Arial" w:hAnsi="Arial"/>
          <w:sz w:val="18"/>
          <w:szCs w:val="18"/>
          <w:color w:val="000000"/>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0" w:name="page11"/>
    <w:bookmarkEnd w:id="1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4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 Industries: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healthcare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resource and learning services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 Industries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Government Services: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 Services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Roadway charging &amp; management services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21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75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6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13"/>
                <w:szCs w:val="13"/>
                <w:color w:val="auto"/>
              </w:rPr>
            </w:pPr>
          </w:p>
        </w:tc>
        <w:tc>
          <w:tcPr>
            <w:tcW w:w="1600" w:type="dxa"/>
            <w:vAlign w:val="bottom"/>
          </w:tcPr>
          <w:p>
            <w:pPr>
              <w:jc w:val="right"/>
              <w:ind w:right="188"/>
              <w:spacing w:after="0" w:line="13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tcPr>
          <w:p>
            <w:pPr>
              <w:spacing w:after="0" w:line="189"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 (Unearned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57"/>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30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Revenues of $30 million and $88 million were recognized during the three and six months ended June 30, 2021, respectively, related to the Company's unearned income at December 31, 2020. Revenues of $22 million and $64 million were recognized during the three and six months ended June 30, 2020, respectively, related to the Company's unearned income at December 31, 2019. The Company had no material asset impairment charges related to contract assets for the three and six months ended June 30, 2021 or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7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June 30, 2021 was approximately $1.3 billion. The Company expects to recognize approximately 76% of this revenue over the next two years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26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reportable segments correspond to how we organize and manage the business, as defined by the Company's Chief Executive Officer, who is also the Company's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231" w:lineRule="exact"/>
        <w:rPr>
          <w:sz w:val="20"/>
          <w:szCs w:val="20"/>
          <w:color w:val="auto"/>
        </w:rPr>
      </w:pPr>
    </w:p>
    <w:p>
      <w:pPr>
        <w:ind w:right="900"/>
        <w:spacing w:after="0" w:line="254" w:lineRule="auto"/>
        <w:rPr>
          <w:sz w:val="20"/>
          <w:szCs w:val="20"/>
          <w:color w:val="auto"/>
        </w:rPr>
      </w:pPr>
      <w:r>
        <w:rPr>
          <w:rFonts w:ascii="Arial" w:cs="Arial" w:eastAsia="Arial" w:hAnsi="Arial"/>
          <w:sz w:val="18"/>
          <w:szCs w:val="18"/>
          <w:color w:val="auto"/>
        </w:rPr>
        <w:t>The Company's financial performance is based on Segment Profit/(Loss) and Segment Adjusted Earnings Before Income Taxes, Depreciation and Amortization (EBITDA) for its three reportable segments (Commercial Industries, Government Services and Transportation), Other and Unallocated Costs. The Company's CODM does not evaluate operating segments using discrete asset information.</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0066CC"/>
        </w:rPr>
        <w:t xml:space="preserve">Commercial Industries: </w:t>
      </w:r>
      <w:r>
        <w:rPr>
          <w:rFonts w:ascii="Arial" w:cs="Arial" w:eastAsia="Arial" w:hAnsi="Arial"/>
          <w:sz w:val="18"/>
          <w:szCs w:val="18"/>
          <w:color w:val="000000"/>
        </w:rPr>
        <w:t>The Commercial Industries segment provides business process services and customized solutions to clients in a</w:t>
      </w:r>
      <w:r>
        <w:rPr>
          <w:rFonts w:ascii="Arial" w:cs="Arial" w:eastAsia="Arial" w:hAnsi="Arial"/>
          <w:sz w:val="18"/>
          <w:szCs w:val="18"/>
          <w:b w:val="1"/>
          <w:bCs w:val="1"/>
          <w:color w:val="0066CC"/>
        </w:rPr>
        <w:t xml:space="preserve"> </w:t>
      </w:r>
      <w:r>
        <w:rPr>
          <w:rFonts w:ascii="Arial" w:cs="Arial" w:eastAsia="Arial" w:hAnsi="Arial"/>
          <w:sz w:val="18"/>
          <w:szCs w:val="18"/>
          <w:color w:val="000000"/>
        </w:rPr>
        <w:t>variety of industries. Across the Commercial Industries segment, the Company operates on its clients’ behalf to deliver mission-critical solutions and services to reduce costs, improve efficiencies and enable revenue growth for the Company's clients and their consumers and employees.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0066CC"/>
        </w:rPr>
        <w:t xml:space="preserve">Government Services: </w:t>
      </w:r>
      <w:r>
        <w:rPr>
          <w:rFonts w:ascii="Arial" w:cs="Arial" w:eastAsia="Arial" w:hAnsi="Arial"/>
          <w:sz w:val="18"/>
          <w:szCs w:val="18"/>
          <w:color w:val="000000"/>
        </w:rPr>
        <w:t>The Government Services segment provides government-centric business process services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and local and foreign governments for public assistance program administration, transaction processing and payment services. The solutions in this segment help governments respond to changing rules for eligibility and increasing citizen expectations.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2" w:name="page13"/>
    <w:bookmarkEnd w:id="1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and support, as well as revenue-generating services, to government clients.</w:t>
      </w:r>
      <w:r>
        <w:rPr>
          <w:rFonts w:ascii="Arial" w:cs="Arial" w:eastAsia="Arial" w:hAnsi="Arial"/>
          <w:sz w:val="18"/>
          <w:szCs w:val="18"/>
          <w:b w:val="1"/>
          <w:bCs w:val="1"/>
          <w:color w:val="0066CC"/>
        </w:rPr>
        <w:t xml:space="preserve"> </w:t>
      </w:r>
      <w:r>
        <w:rPr>
          <w:rFonts w:ascii="Arial" w:cs="Arial" w:eastAsia="Arial" w:hAnsi="Arial"/>
          <w:sz w:val="18"/>
          <w:szCs w:val="18"/>
          <w:color w:val="000000"/>
        </w:rPr>
        <w:t>On behalf of government agencies and 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the Company's Student Loan business, which the Company exited in the third quarter of 2018.</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color w:val="auto"/>
              </w:rPr>
              <w:t>June 30,</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Services</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color w:val="auto"/>
              </w:rPr>
              <w:t>Six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color w:val="auto"/>
              </w:rPr>
              <w:t>June 30,</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Services</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1"/>
                <w:szCs w:val="11"/>
                <w:color w:val="auto"/>
              </w:rPr>
            </w:pPr>
          </w:p>
        </w:tc>
        <w:tc>
          <w:tcPr>
            <w:tcW w:w="1360" w:type="dxa"/>
            <w:vAlign w:val="bottom"/>
            <w:gridSpan w:val="3"/>
          </w:tcPr>
          <w:p>
            <w:pPr>
              <w:jc w:val="right"/>
              <w:ind w:right="48"/>
              <w:spacing w:after="0" w:line="110" w:lineRule="exact"/>
              <w:rPr>
                <w:sz w:val="20"/>
                <w:szCs w:val="20"/>
                <w:color w:val="auto"/>
              </w:rPr>
            </w:pPr>
            <w:r>
              <w:rPr>
                <w:rFonts w:ascii="Arial" w:cs="Arial" w:eastAsia="Arial" w:hAnsi="Arial"/>
                <w:sz w:val="12"/>
                <w:szCs w:val="12"/>
                <w:color w:val="auto"/>
              </w:rPr>
              <w:t>June 30,</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28"/>
              <w:spacing w:after="0" w:line="110" w:lineRule="exact"/>
              <w:rPr>
                <w:sz w:val="20"/>
                <w:szCs w:val="20"/>
                <w:color w:val="auto"/>
              </w:rPr>
            </w:pPr>
            <w:r>
              <w:rPr>
                <w:rFonts w:ascii="Arial" w:cs="Arial" w:eastAsia="Arial" w:hAnsi="Arial"/>
                <w:sz w:val="12"/>
                <w:szCs w:val="12"/>
                <w:color w:val="auto"/>
              </w:rPr>
              <w:t>June 30,</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50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costs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Pre-tax Income (Loss)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CA MMIS charge (credit)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1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5 – Restructuring Programs and Related Costs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$8 million and $6 million for the three months ended June 30, 2021 and 2020, respectively, and $15 million and $ 8 million for the six months ended June 30, 2021 and 2020,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23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we have either a formal severance plan or a history of consistently providing severance benefits representing a substantive plan, we recognize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six months ended June 30, 2021 and 2020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2"/>
          </w:tcPr>
          <w:p>
            <w:pPr>
              <w:jc w:val="center"/>
              <w:ind w:right="46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2020</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June 30, 2021</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color w:val="auto"/>
              </w:rPr>
              <w:t>Severance and Related</w:t>
            </w:r>
          </w:p>
        </w:tc>
        <w:tc>
          <w:tcPr>
            <w:tcW w:w="10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400" w:type="dxa"/>
            <w:vAlign w:val="bottom"/>
            <w:gridSpan w:val="2"/>
          </w:tcPr>
          <w:p>
            <w:pPr>
              <w:jc w:val="center"/>
              <w:ind w:right="480"/>
              <w:spacing w:after="0" w:line="110" w:lineRule="exact"/>
              <w:rPr>
                <w:sz w:val="20"/>
                <w:szCs w:val="20"/>
                <w:color w:val="auto"/>
              </w:rPr>
            </w:pPr>
            <w:r>
              <w:rPr>
                <w:rFonts w:ascii="Arial" w:cs="Arial" w:eastAsia="Arial" w:hAnsi="Arial"/>
                <w:sz w:val="12"/>
                <w:szCs w:val="12"/>
                <w:color w:val="auto"/>
              </w:rPr>
              <w:t>Costs</w:t>
            </w:r>
          </w:p>
        </w:tc>
        <w:tc>
          <w:tcPr>
            <w:tcW w:w="100" w:type="dxa"/>
            <w:vAlign w:val="bottom"/>
          </w:tcPr>
          <w:p>
            <w:pPr>
              <w:spacing w:after="0"/>
              <w:rPr>
                <w:sz w:val="11"/>
                <w:szCs w:val="11"/>
                <w:color w:val="auto"/>
              </w:rPr>
            </w:pPr>
          </w:p>
        </w:tc>
        <w:tc>
          <w:tcPr>
            <w:tcW w:w="166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2019</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tcPr>
          <w:p>
            <w:pPr>
              <w:spacing w:after="0" w:line="18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June 30, 2020</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the Company recorded professional support costs associated with the implementation of certain strategic transformation programs of $1 million and $2 million for the three months ended June 30, 2021 and 2020, respectively, and $2 million and $4 million for the six months ended June 30, 2021 and 2020, respectively.</w:t>
      </w:r>
    </w:p>
    <w:p>
      <w:pPr>
        <w:spacing w:after="0" w:line="22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right"/>
              <w:ind w:right="728"/>
              <w:spacing w:after="0"/>
              <w:rPr>
                <w:sz w:val="20"/>
                <w:szCs w:val="20"/>
                <w:color w:val="auto"/>
              </w:rPr>
            </w:pPr>
            <w:r>
              <w:rPr>
                <w:rFonts w:ascii="Arial" w:cs="Arial" w:eastAsia="Arial" w:hAnsi="Arial"/>
                <w:sz w:val="14"/>
                <w:szCs w:val="14"/>
                <w:color w:val="auto"/>
              </w:rPr>
              <w:t>Six Months Ended</w:t>
            </w: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2021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2020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Industries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940" w:type="dxa"/>
            <w:vAlign w:val="bottom"/>
          </w:tcPr>
          <w:p>
            <w:pPr>
              <w:spacing w:after="0"/>
              <w:rPr>
                <w:sz w:val="16"/>
                <w:szCs w:val="16"/>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9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9"/>
                <w:szCs w:val="9"/>
                <w:color w:val="auto"/>
              </w:rPr>
              <w:t>(1)</w:t>
            </w: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Net Restructuring Charges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ind w:left="340" w:right="360" w:hanging="332"/>
        <w:spacing w:after="0" w:line="27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Debt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5"/>
                <w:szCs w:val="15"/>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15"/>
                <w:szCs w:val="15"/>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December 2022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December 2023</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816</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2024</w:t>
            </w:r>
          </w:p>
        </w:tc>
        <w:tc>
          <w:tcPr>
            <w:tcW w:w="2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Finance lease obligations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loans</w:t>
            </w: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Principal debt balance</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issuance costs and unamortized discounts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of June 30, 2021, the Company had no outstanding borrowings under its $750 million Senior Revolving Credit Facility (Revolver). However, the Company has utilized $7 million of the Revolver to issue letters of credit. The net Revolver available to be drawn upon as of June 30, 2021 was $743 million. On May 1, 2021, the Company redeemed all the previously outstanding $34 million 10.50% Senior Notes due 2024 and incurred $2 million of loss on extinguishment of debt.</w:t>
      </w:r>
    </w:p>
    <w:p>
      <w:pPr>
        <w:spacing w:after="0" w:line="2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At June 30, 2021 and December 31, 2020, the Company was in compliance with all debt covenants related to the borrowings in the table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Financial Instruments</w:t>
      </w:r>
    </w:p>
    <w:p>
      <w:pPr>
        <w:spacing w:after="0" w:line="26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June 30, 2021 and December 31, 2020, the Company had outstanding forward exchange contracts with gross notional values of $143 million and $180 million, respectively. At June 30, 2021, approximately 71% of these contracts mature within three months, 11% in three to six months, 14% in six to twelve months and 4% in greater than twelve months. Most of these foreign currency derivative contracts are designated as cash flow hedges and did not have a material impact on the Company's balance sheet, income statement or cash flows for the periods presented.</w:t>
      </w:r>
    </w:p>
    <w:p>
      <w:pPr>
        <w:spacing w:after="0" w:line="2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Refer to Note 8 – Fair Value of Financial Assets and Liabilities for additional information regarding the fair value of the Company's foreign exchange forward contracts.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Fair Value of Financial Assets and Liabilities</w:t>
      </w:r>
    </w:p>
    <w:p>
      <w:pPr>
        <w:spacing w:after="0" w:line="26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4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6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13"/>
                <w:szCs w:val="13"/>
                <w:color w:val="auto"/>
              </w:rPr>
            </w:pPr>
          </w:p>
        </w:tc>
        <w:tc>
          <w:tcPr>
            <w:tcW w:w="1660" w:type="dxa"/>
            <w:vAlign w:val="bottom"/>
          </w:tcPr>
          <w:p>
            <w:pPr>
              <w:jc w:val="right"/>
              <w:ind w:right="228"/>
              <w:spacing w:after="0" w:line="13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June 30, 2021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color w:val="auto"/>
              </w:rPr>
              <w:t>December 31, 2020</w:t>
            </w: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520" w:type="dxa"/>
            <w:vAlign w:val="bottom"/>
          </w:tcPr>
          <w:p>
            <w:pPr>
              <w:spacing w:after="0"/>
              <w:rPr>
                <w:sz w:val="12"/>
                <w:szCs w:val="12"/>
                <w:color w:val="auto"/>
              </w:rPr>
            </w:pPr>
          </w:p>
        </w:tc>
        <w:tc>
          <w:tcPr>
            <w:tcW w:w="980" w:type="dxa"/>
            <w:vAlign w:val="bottom"/>
            <w:gridSpan w:val="2"/>
          </w:tcPr>
          <w:p>
            <w:pPr>
              <w:jc w:val="center"/>
              <w:ind w:right="540"/>
              <w:spacing w:after="0" w:line="147"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31"/>
              <w:spacing w:after="0" w:line="147" w:lineRule="exact"/>
              <w:rPr>
                <w:sz w:val="20"/>
                <w:szCs w:val="20"/>
                <w:color w:val="auto"/>
              </w:rPr>
            </w:pPr>
            <w:r>
              <w:rPr>
                <w:rFonts w:ascii="Arial" w:cs="Arial" w:eastAsia="Arial" w:hAnsi="Arial"/>
                <w:sz w:val="14"/>
                <w:szCs w:val="14"/>
                <w:color w:val="auto"/>
              </w:rPr>
              <w:t>Fair</w:t>
            </w:r>
          </w:p>
        </w:tc>
      </w:tr>
      <w:tr>
        <w:trPr>
          <w:trHeight w:val="130"/>
        </w:trPr>
        <w:tc>
          <w:tcPr>
            <w:tcW w:w="20" w:type="dxa"/>
            <w:vAlign w:val="bottom"/>
          </w:tcPr>
          <w:p>
            <w:pPr>
              <w:spacing w:after="0"/>
              <w:rPr>
                <w:sz w:val="11"/>
                <w:szCs w:val="11"/>
                <w:color w:val="auto"/>
              </w:rPr>
            </w:pPr>
          </w:p>
        </w:tc>
        <w:tc>
          <w:tcPr>
            <w:tcW w:w="56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11"/>
                <w:szCs w:val="11"/>
                <w:color w:val="auto"/>
              </w:rPr>
            </w:pPr>
          </w:p>
        </w:tc>
        <w:tc>
          <w:tcPr>
            <w:tcW w:w="110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520" w:type="dxa"/>
            <w:vAlign w:val="bottom"/>
          </w:tcPr>
          <w:p>
            <w:pPr>
              <w:spacing w:after="0"/>
              <w:rPr>
                <w:sz w:val="11"/>
                <w:szCs w:val="11"/>
                <w:color w:val="auto"/>
              </w:rPr>
            </w:pPr>
          </w:p>
        </w:tc>
        <w:tc>
          <w:tcPr>
            <w:tcW w:w="980" w:type="dxa"/>
            <w:vAlign w:val="bottom"/>
            <w:gridSpan w:val="2"/>
          </w:tcPr>
          <w:p>
            <w:pPr>
              <w:jc w:val="center"/>
              <w:ind w:right="540"/>
              <w:spacing w:after="0" w:line="110" w:lineRule="exact"/>
              <w:rPr>
                <w:sz w:val="20"/>
                <w:szCs w:val="20"/>
                <w:color w:val="auto"/>
              </w:rPr>
            </w:pPr>
            <w:r>
              <w:rPr>
                <w:rFonts w:ascii="Arial" w:cs="Arial" w:eastAsia="Arial" w:hAnsi="Arial"/>
                <w:sz w:val="12"/>
                <w:szCs w:val="12"/>
                <w:color w:val="auto"/>
              </w:rPr>
              <w:t>Value</w:t>
            </w:r>
          </w:p>
        </w:tc>
        <w:tc>
          <w:tcPr>
            <w:tcW w:w="240" w:type="dxa"/>
            <w:vAlign w:val="bottom"/>
          </w:tcPr>
          <w:p>
            <w:pPr>
              <w:spacing w:after="0"/>
              <w:rPr>
                <w:sz w:val="11"/>
                <w:szCs w:val="11"/>
                <w:color w:val="auto"/>
              </w:rPr>
            </w:pPr>
          </w:p>
        </w:tc>
        <w:tc>
          <w:tcPr>
            <w:tcW w:w="112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360" w:type="dxa"/>
            <w:vAlign w:val="bottom"/>
          </w:tcPr>
          <w:p>
            <w:pPr>
              <w:spacing w:after="0"/>
              <w:rPr>
                <w:sz w:val="11"/>
                <w:szCs w:val="11"/>
                <w:color w:val="auto"/>
              </w:rPr>
            </w:pPr>
          </w:p>
        </w:tc>
        <w:tc>
          <w:tcPr>
            <w:tcW w:w="104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ind w:left="640"/>
              <w:spacing w:after="0"/>
              <w:rPr>
                <w:sz w:val="20"/>
                <w:szCs w:val="20"/>
                <w:color w:val="auto"/>
              </w:rPr>
            </w:pPr>
            <w:r>
              <w:rPr>
                <w:rFonts w:ascii="Arial" w:cs="Arial" w:eastAsia="Arial" w:hAnsi="Arial"/>
                <w:sz w:val="14"/>
                <w:szCs w:val="14"/>
                <w:color w:val="auto"/>
              </w:rPr>
              <w:t>1,340</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1,420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1,378</w:t>
            </w:r>
          </w:p>
        </w:tc>
      </w:tr>
    </w:tbl>
    <w:p>
      <w:pPr>
        <w:spacing w:after="0" w:line="3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based on the current rates offered to the Company for debt of similar maturities (Level 2).</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Employee Benefit Plans</w:t>
      </w:r>
    </w:p>
    <w:p>
      <w:pPr>
        <w:spacing w:after="0" w:line="26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has post-retirement savings and investment plans in several countries, including the U.S., U.K. and Canada.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Historically, the Company matched a portion of employee contributions. Beginning in 2019, the Company suspended its match to the 401(k) plan for all U.S. salaried employees and extended the suspension to all U.S. hourly employees in the second quarter of 2020. However, the Company match was reinstated for all U.S. employees in November of 2020.</w:t>
      </w:r>
    </w:p>
    <w:p>
      <w:pPr>
        <w:spacing w:after="0" w:line="235"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Company recognized an expense related to its defined contribution plans of $ 5 million and $0 million for the three months ended June 30, 2021 and 2020, respectively. The Company recognized an expense related to its defined contribution plans of $10 million and $1 million for the six months ended June 30, 2021 and 2020, respectively. The balance sheet and income statement impacts of any remaining defined benefit plans are immaterial for all periods presented in these Consolidated Condensed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Accumulated Other Comprehensive Loss (AOCL)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3" w:lineRule="exact"/>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4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20"/>
                <w:szCs w:val="20"/>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ind w:left="8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June 30, 2020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Contingencies and Litigation</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June 30, 2021. Litigation is inherently unpredictable, and it is not possible to predict the ultimate outcome of these matters and such outcome in any such matters could be in excess of any amounts accrued and could be material to the Company's results of operations, cash flows or financial position in any reporting period.</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condensed consolidated financial position or liquidity. As of June 30, 2021, the Company had accrued its estimate of liability incurred under its indemnification arrangements and guarantees.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u w:val="single" w:color="auto"/>
          <w:color w:val="1269BC"/>
        </w:rPr>
        <w:t>Employees’ Retirement System of the Puerto Rico Electric Power Authority et al v. Conduent Inc.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our financial guidance and business and operations was filed against us, our former Chief Executive Officer, and our former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We intend to defend the litigation vigorously. The Company maintains insurance that may cover any costs arising out of this litigation up to the insurance limits, and subject to meeting certain deductibles and to other terms and conditions thereof.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0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Skyview Capital LLC and Continuum Global Solutions, LLC v. Conduent Business Services,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February 3, 2020, plaintiffs filed</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a lawsuit in the Superior Court of New York County, New York. The lawsuit relates to the sale of a portion of Conduent Business Service, LLC's (CBS) select standalone customer care call center business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Conduent denies all of the plaintiffs' allegations, believes that it has strong defenses to all of plaintiffs’ claims and it intends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u w:val="single" w:color="auto"/>
          <w:color w:val="1269BC"/>
        </w:rPr>
        <w:t>Dennis Nasrawi v. Buck Consultants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October 8, 2009, plaintiffs filed a lawsuit in the Superior Court of California, Stanislaus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County, and on November 24, 2009, the case was removed to the U.S. Court for the Eastern District of California, Fresno Division. Plaintiffs allege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has been stayed pending the outcome of parallel litigation the plaintiffs are pursuing against StanCERA. The parallel litigation was tried before the bench in June 2018, and on January 24, 2019, the court found in favor of StanCERA, holding that it had not breached its fiduciary duty to plaintiffs. On April 26, 2019, plaintiffs in the parallel litigation filed an appeal. Nasrawi remains stayed until the parallel litigation is finally concluded. Absent the court finding that StanCERA breached its fiduciary duty, plaintiffs’ claim against Buck for aiding and abetting said breach would not appear viable. Buck will continue to aggressively defend these lawsuits. In August 2018, Conduent sold Buck; however, the Company retained this liability after the sale.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Conduent Business Services, LLC v. Cognizant Business Services Corporation:</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April 12, 2017, Conduent Business Service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(CBS) filed a lawsuit against 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Matters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an inquiry the Illinois Attorney General's Office recently commenced, the Company has resolved the investigations the CFPB and several state agencies commenced and continues to work with the Department and the U.S. Department of Justice to resolve all outstanding issues, including a number of operational projects that XES discovered and disclosed since 2014. The Company cannot provide assurance that the CFPB, another regulator, a financial institution on behalf of which the Company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contracts, primarily in the Company's Government Services and Transportation segments, require the Company to provide a surety bond or a letter of credit as a guarantee of performance. As of June 30, 2021, the Company had $620 million of outstanding surety bonds used to secure its performance of contractual obligations with its clients and $95 million of outstanding letters of credit issued to secure the Company's performance of contractual obligations to its clients as well as other corporate obligations. In general, the Company would only be liable for the amount of these guarantees in the event of default in the Company's performance of its obligations under each contract. The Company believes it has sufficient capacity in the surety markets and liquidity from its cash flow and its various credit arrangements (including its Revolver) to allow it to respond to future requests for proposals that require such credit support.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12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27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1" w:name="page22"/>
    <w:bookmarkEnd w:id="2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13 – Earnings (Loss) per Share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color w:val="auto"/>
              </w:rPr>
              <w:t>Six Months Ended</w:t>
            </w: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60" w:type="dxa"/>
            <w:vAlign w:val="bottom"/>
            <w:gridSpan w:val="2"/>
          </w:tcPr>
          <w:p>
            <w:pPr>
              <w:spacing w:after="0" w:line="129" w:lineRule="exact"/>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212,450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210,261</w:t>
            </w: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220,165</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209,129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212,344</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210,261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r>
      <w:tr>
        <w:trPr>
          <w:trHeight w:val="189"/>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(0.50)</w:t>
            </w:r>
          </w:p>
        </w:tc>
      </w:tr>
      <w:tr>
        <w:trPr>
          <w:trHeight w:val="108"/>
        </w:trPr>
        <w:tc>
          <w:tcPr>
            <w:tcW w:w="20" w:type="dxa"/>
            <w:vAlign w:val="bottom"/>
            <w:shd w:val="clear" w:color="auto" w:fill="CCEEFF"/>
          </w:tcPr>
          <w:p>
            <w:pPr>
              <w:spacing w:after="0"/>
              <w:rPr>
                <w:sz w:val="9"/>
                <w:szCs w:val="9"/>
                <w:color w:val="auto"/>
              </w:rPr>
            </w:pPr>
          </w:p>
        </w:tc>
        <w:tc>
          <w:tcPr>
            <w:tcW w:w="424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bl>
    <w:p>
      <w:pPr>
        <w:spacing w:after="0" w:line="18" w:lineRule="exact"/>
        <w:rPr>
          <w:sz w:val="20"/>
          <w:szCs w:val="20"/>
          <w:color w:val="auto"/>
        </w:rPr>
      </w:pPr>
    </w:p>
    <w:p>
      <w:pPr>
        <w:ind w:left="20" w:right="340"/>
        <w:spacing w:after="0" w:line="227"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16,444</w:t>
            </w:r>
          </w:p>
        </w:tc>
      </w:tr>
      <w:tr>
        <w:trPr>
          <w:trHeight w:val="18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r>
      <w:tr>
        <w:trPr>
          <w:trHeight w:val="20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8,155</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21,837</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19,176</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2" w:name="page23"/>
    <w:bookmarkEnd w:id="2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Supplementary Financial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15"/>
                <w:szCs w:val="15"/>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Current Liabilities</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8"/>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Long-term Liabilities</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line="189" w:lineRule="exact"/>
              <w:rPr>
                <w:sz w:val="20"/>
                <w:szCs w:val="20"/>
                <w:color w:val="auto"/>
              </w:rPr>
            </w:pPr>
            <w:r>
              <w:rPr>
                <w:rFonts w:ascii="Arial" w:cs="Arial" w:eastAsia="Arial" w:hAnsi="Arial"/>
                <w:sz w:val="14"/>
                <w:szCs w:val="14"/>
                <w:color w:val="auto"/>
              </w:rPr>
              <w:t>Deferred payroll tax related to the CARES Act</w:t>
            </w:r>
            <w:r>
              <w:rPr>
                <w:rFonts w:ascii="Arial" w:cs="Arial" w:eastAsia="Arial" w:hAnsi="Arial"/>
                <w:sz w:val="18"/>
                <w:szCs w:val="18"/>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8"/>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right="120" w:hanging="332"/>
        <w:spacing w:after="0" w:line="258" w:lineRule="auto"/>
        <w:tabs>
          <w:tab w:leader="none" w:pos="327"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CARES Act allowed for deferred payment of the employer-paid portion of social security taxes through the end of 2020, with 50% due on December 31, 2021 and the remainder due on December 31, 2022. The current portion of this liability is included in Accrued compensation and benefits costs.</w:t>
      </w:r>
    </w:p>
    <w:p>
      <w:pPr>
        <w:spacing w:after="0" w:line="39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3" w:name="page24"/>
    <w:bookmarkEnd w:id="2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Related Party Transactions</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In addition, we have a receivable related to certain income tax matters with our former parent company, Xerox Corporation. Revenue and purchases from these entities were included in Revenue and Costs of services / Selling, General and administrative, respectively, on the Company's Condensed Consolidated Statements of Income (Loss).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1"/>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receivable and payable balances with related party entities were not material as of June 30, 2021 and 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Goodwill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50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color w:val="auto"/>
              </w:rPr>
              <w:t>Commercial Industries</w:t>
            </w: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translation</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goodwill</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w:t>
            </w:r>
          </w:p>
        </w:tc>
      </w:tr>
      <w:tr>
        <w:trPr>
          <w:trHeight w:val="189"/>
        </w:trPr>
        <w:tc>
          <w:tcPr>
            <w:tcW w:w="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impairment</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first and second quarters of 2021, the Company performed its ongoing assessment to consider whether events or circumstances had occurred that could more likely than not reduce the fair value of a reporting unit below its carrying value. After evaluating and weighing all relevant events and circumstances, the Company concluded that it is not more likely than not that the fair values of any of its reporting units were less than their carrying values. Consequently, the Company determined that it was not necessary to perform an interim impairment test for any of its reporting units.</w:t>
      </w:r>
    </w:p>
    <w:p>
      <w:pPr>
        <w:spacing w:after="0" w:line="2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To the extent the COVID-19 pandemic continues to disrupt the economic environment, such as a decline in the performance of the reporting units or loss of a significant contract or multiple significant contracts, the fair value of one or more of the reporting units could fall below their carrying value, resulting in a goodwill impairment charge.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40"/>
        <w:spacing w:after="0" w:line="274"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Conduent Incorporated and its consolidated subsidiaries. MD&amp;A is provided as a supplement to, and should be read in conjunction with, our Condensed Consolidated Financial Statements and the accompanying Notes.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Overview</w:t>
      </w:r>
    </w:p>
    <w:p>
      <w:pPr>
        <w:spacing w:after="0" w:line="2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Headquartered in Florham Park, New Jersey, we have a team of approximately 59,000 associates as of June 30, 2021, servicing customers from service centers in 23 countries.</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49" w:lineRule="exact"/>
        <w:rPr>
          <w:sz w:val="20"/>
          <w:szCs w:val="20"/>
          <w:color w:val="auto"/>
        </w:rPr>
      </w:pPr>
    </w:p>
    <w:p>
      <w:pPr>
        <w:ind w:left="340" w:hanging="332"/>
        <w:spacing w:after="0" w:line="291"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3051F2"/>
        </w:rPr>
        <w:t xml:space="preserve">Commercial Industries </w:t>
      </w:r>
      <w:r>
        <w:rPr>
          <w:rFonts w:ascii="Arial" w:cs="Arial" w:eastAsia="Arial" w:hAnsi="Arial"/>
          <w:sz w:val="17"/>
          <w:szCs w:val="17"/>
          <w:color w:val="000000"/>
        </w:rPr>
        <w:t>– Our Commercial Industries segment provides business process services and customized solutions to clients</w:t>
      </w:r>
      <w:r>
        <w:rPr>
          <w:rFonts w:ascii="Arial" w:cs="Arial" w:eastAsia="Arial" w:hAnsi="Arial"/>
          <w:sz w:val="17"/>
          <w:szCs w:val="17"/>
          <w:b w:val="1"/>
          <w:bCs w:val="1"/>
          <w:color w:val="3051F2"/>
        </w:rPr>
        <w:t xml:space="preserve"> </w:t>
      </w:r>
      <w:r>
        <w:rPr>
          <w:rFonts w:ascii="Arial" w:cs="Arial" w:eastAsia="Arial" w:hAnsi="Arial"/>
          <w:sz w:val="17"/>
          <w:szCs w:val="17"/>
          <w:color w:val="000000"/>
        </w:rPr>
        <w:t>in a variety of industries. Across the Commercial Industries segment, we operate on our clients’ behalf to deliver mission-critical solutions and services to reduce costs, improve efficiencies and enable revenue growth for our clients and their consumers and employees.</w:t>
      </w:r>
    </w:p>
    <w:p>
      <w:pPr>
        <w:spacing w:after="0" w:line="98" w:lineRule="exact"/>
        <w:rPr>
          <w:rFonts w:ascii="Arial" w:cs="Arial" w:eastAsia="Arial" w:hAnsi="Arial"/>
          <w:sz w:val="17"/>
          <w:szCs w:val="17"/>
          <w:color w:val="auto"/>
        </w:rPr>
      </w:pPr>
    </w:p>
    <w:p>
      <w:pPr>
        <w:ind w:left="340" w:right="3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Services </w:t>
      </w:r>
      <w:r>
        <w:rPr>
          <w:rFonts w:ascii="Arial" w:cs="Arial" w:eastAsia="Arial" w:hAnsi="Arial"/>
          <w:sz w:val="18"/>
          <w:szCs w:val="18"/>
          <w:color w:val="000000"/>
        </w:rPr>
        <w:t>– Our Government Services segment provides government-centric business process services to U.S. federal,</w:t>
      </w:r>
      <w:r>
        <w:rPr>
          <w:rFonts w:ascii="Arial" w:cs="Arial" w:eastAsia="Arial" w:hAnsi="Arial"/>
          <w:sz w:val="18"/>
          <w:szCs w:val="18"/>
          <w:b w:val="1"/>
          <w:bCs w:val="1"/>
          <w:color w:val="3051F2"/>
        </w:rPr>
        <w:t xml:space="preserve"> </w:t>
      </w:r>
      <w:r>
        <w:rPr>
          <w:rFonts w:ascii="Arial" w:cs="Arial" w:eastAsia="Arial" w:hAnsi="Arial"/>
          <w:sz w:val="18"/>
          <w:szCs w:val="18"/>
          <w:color w:val="000000"/>
        </w:rPr>
        <w:t>state and local and 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26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continue to transform our business through an intense focus on growth, quality, and efficiency – utilizing a programmatic and project management approach. Beginning in the first quarter of 2020 and through the second quarter of 2021, we have expanded the focus of our project portfolio to include both efficiency and growth initiatives, aimed to position the company to pivot to revenue growth and margin expansion over time.</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During the three and six months ended June 30, 2021, our strategy is showing results, including the following:</w:t>
      </w:r>
    </w:p>
    <w:p>
      <w:pPr>
        <w:spacing w:after="0" w:line="231" w:lineRule="exact"/>
        <w:rPr>
          <w:sz w:val="20"/>
          <w:szCs w:val="20"/>
          <w:color w:val="auto"/>
        </w:rPr>
      </w:pPr>
    </w:p>
    <w:p>
      <w:pPr>
        <w:ind w:left="340" w:right="1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of $1,026 million and $2,054 million for the three and six months ended June 30, 2021, respectively, was an increase of 1.0% and a decrease of less than 1.0%, respectively, a significantly improved trend compared with the same periods last year.</w:t>
      </w: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Positive net income of $12 million and $1 million for the three and six months ended June 30, 2021, respectively, as compared to net loss of $51 million and $100 million for the same periods in the prior year.</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new business signings results:</w:t>
      </w:r>
    </w:p>
    <w:p>
      <w:pPr>
        <w:spacing w:after="0" w:line="200" w:lineRule="exact"/>
        <w:rPr>
          <w:sz w:val="20"/>
          <w:szCs w:val="20"/>
          <w:color w:val="auto"/>
        </w:rPr>
      </w:pPr>
    </w:p>
    <w:p>
      <w:pPr>
        <w:spacing w:after="0" w:line="2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5" w:name="page26"/>
    <w:bookmarkEnd w:id="2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360" w:hanging="324"/>
        <w:spacing w:after="0" w:line="250"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New business total contract value (TCV) signings of $775 million for the three months ended June 30, 2021, representing an increase of 24% compared to that of the prior year period.</w:t>
      </w:r>
    </w:p>
    <w:p>
      <w:pPr>
        <w:ind w:left="980" w:right="220" w:hanging="324"/>
        <w:spacing w:after="0" w:line="250"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Annual recurring revenue signings of $115 million for the three months ended June 30, 2021, an increase of 10% compared to that of the prior year period.</w:t>
      </w:r>
    </w:p>
    <w:p>
      <w:pPr>
        <w:ind w:left="340" w:right="16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shown year-over-year operational progress, including an improvement to technology platform uptime, improvements in associate satisfaction survey results and increases in performance incentives from customers.</w:t>
      </w:r>
    </w:p>
    <w:p>
      <w:pPr>
        <w:spacing w:after="0" w:line="1" w:lineRule="exact"/>
        <w:rPr>
          <w:rFonts w:ascii="Arial" w:cs="Arial" w:eastAsia="Arial" w:hAnsi="Arial"/>
          <w:sz w:val="18"/>
          <w:szCs w:val="18"/>
          <w:color w:val="auto"/>
        </w:rPr>
      </w:pPr>
    </w:p>
    <w:p>
      <w:pPr>
        <w:ind w:left="320" w:hanging="312"/>
        <w:spacing w:after="0" w:line="230" w:lineRule="auto"/>
        <w:tabs>
          <w:tab w:leader="none" w:pos="3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redeemed the remainder of its previously outstanding $34 million Senior Notes.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COVID-19 Pandemic</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Throughout the COVID-19 pandemic, we have continued to provide critical and best-in-class services to our customers and their end-users, while ensuring the health and safety of our greatest assets - our associates. To address the potential impact to our business over the near-term, our Business Continuity team established a proactive plan in the first quarter of 2020 that has continued into the second quarter of 2021, which includes:</w:t>
      </w:r>
    </w:p>
    <w:p>
      <w:pPr>
        <w:spacing w:after="0" w:line="231" w:lineRule="exact"/>
        <w:rPr>
          <w:sz w:val="20"/>
          <w:szCs w:val="20"/>
          <w:color w:val="auto"/>
        </w:rPr>
      </w:pPr>
    </w:p>
    <w:p>
      <w:pPr>
        <w:ind w:left="340" w:right="560" w:hanging="332"/>
        <w:spacing w:after="0" w:line="261"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our associates with a number of specific initiatives, including making improvements to our policies to extend short-term disability, providing extra supplemental sick leave coverage and introducing a hardship leave policy.</w:t>
      </w:r>
    </w:p>
    <w:p>
      <w:pPr>
        <w:spacing w:after="0" w:line="224" w:lineRule="exact"/>
        <w:rPr>
          <w:rFonts w:ascii="Arial" w:cs="Arial" w:eastAsia="Arial" w:hAnsi="Arial"/>
          <w:sz w:val="18"/>
          <w:szCs w:val="18"/>
          <w:color w:val="auto"/>
        </w:rPr>
      </w:pPr>
    </w:p>
    <w:p>
      <w:pPr>
        <w:ind w:left="340" w:right="20" w:hanging="332"/>
        <w:spacing w:after="0" w:line="256"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end of 2020, approximately 75% of our workforce had been shifted to work-from-home. In 2021, we have started a slow and measured approach to bringing associates back to Conduent offices, as appropriate. This is an ongoing phased process and is based on the specific COVID-19 conditions in certain geographies, as well as business requirements.</w:t>
      </w:r>
    </w:p>
    <w:p>
      <w:pPr>
        <w:spacing w:after="0" w:line="228"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sanitation and social distancing for required on-site essential associates.</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the world increasingly becomes vaccinated, we will evolve our approach to various initiatives or take additional actions to meet the needs of our employees, customers and their end-users and the Company to continue to provide our mission-critical services and solutions.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6" w:name="page27"/>
    <w:bookmarkEnd w:id="2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Financial Review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1,080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4"/>
                <w:szCs w:val="2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2,182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for the three months ended June 30, 2021 increased by 1%, compared to the prior year period, primarily due to lesser impacts of the COVID-19 pandemic across our Transportation and Commercial Industries segments, increased volumes in our Government Services Solutions offering within our Government Services segment, primarily increased payments activity because of Federal stimulus, and the ramp of new business. These increases were partially offset by lost business from prior years.</w:t>
      </w:r>
    </w:p>
    <w:p>
      <w:pPr>
        <w:spacing w:after="0" w:line="2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for the six months ended June 30, 2021 decreased by less than 1%, compared to the prior year period, primarily due to lost business from prior years and the effect of the COVID-19 pandemic across our Commercial Industries and our Transportation segments, which had only a minimal impact on the first quarter of 2020. These unfavorable impacts were partially offset by increased volumes in our Government Services Solutions service offering within our Government Services segment, primarily increased payments activity because of Federal stimulus, and the ramp of new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Cost of services for the three months ended June 30, 2021 decreased, compared to the prior year period, driven by lost business from prior years as well as increased operational efficiency, which led to reductions in information technology, labor and real estate costs.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Cost of services for the six months ended June 30, 2021 decreased, compared to the prior year period, driven by lost business from prior years and lower volumes as well as increased operational efficiency, which led to reductions in information technology, labor and real estate costs. Also contributing to the decline were lower costs to support volume loss resulting from the effect of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26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SG&amp;A for the three and six months ended June 30, 2021 increased, compared to the prior year periods, driven by an increase in certain employee-related costs and growth in the sales organization and higher recruiting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Depreciation and amortization for the three and six months ended June 30, 2021 decreased, compared to the prior year periods, primarily due to a portion of certain customer relationship intangible assets being fully amortized in the first quarter of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engage in a series of restructuring programs related to optimizing our employee base, reducing our real estate</w:t>
      </w:r>
    </w:p>
    <w:p>
      <w:pPr>
        <w:spacing w:after="0" w:line="9"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580" w:type="dxa"/>
            <w:vAlign w:val="bottom"/>
            <w:gridSpan w:val="4"/>
          </w:tcPr>
          <w:p>
            <w:pPr>
              <w:jc w:val="right"/>
              <w:ind w:right="368"/>
              <w:spacing w:after="0" w:line="139"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tcPr>
          <w:p>
            <w:pPr>
              <w:jc w:val="right"/>
              <w:spacing w:after="0" w:line="139" w:lineRule="exact"/>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8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104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2021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48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w:t>
            </w:r>
          </w:p>
        </w:tc>
        <w:tc>
          <w:tcPr>
            <w:tcW w:w="1040" w:type="dxa"/>
            <w:vAlign w:val="bottom"/>
          </w:tcPr>
          <w:p>
            <w:pPr>
              <w:spacing w:after="0"/>
              <w:rPr>
                <w:sz w:val="16"/>
                <w:szCs w:val="16"/>
                <w:color w:val="auto"/>
              </w:rPr>
            </w:pPr>
          </w:p>
        </w:tc>
        <w:tc>
          <w:tcPr>
            <w:tcW w:w="380" w:type="dxa"/>
            <w:vAlign w:val="bottom"/>
          </w:tcPr>
          <w:p>
            <w:pPr>
              <w:jc w:val="center"/>
              <w:ind w:left="10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asset impairment and other costs</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Total net current period charges</w:t>
            </w:r>
          </w:p>
        </w:tc>
        <w:tc>
          <w:tcPr>
            <w:tcW w:w="1040" w:type="dxa"/>
            <w:vAlign w:val="bottom"/>
          </w:tcPr>
          <w:p>
            <w:pPr>
              <w:spacing w:after="0"/>
              <w:rPr>
                <w:sz w:val="15"/>
                <w:szCs w:val="15"/>
                <w:color w:val="auto"/>
              </w:rPr>
            </w:pPr>
          </w:p>
        </w:tc>
        <w:tc>
          <w:tcPr>
            <w:tcW w:w="380" w:type="dxa"/>
            <w:vAlign w:val="bottom"/>
          </w:tcPr>
          <w:p>
            <w:pPr>
              <w:jc w:val="center"/>
              <w:ind w:left="1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Restructuring and related costs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Refer to Note 5 – Restructuring Programs and Related Costs to the Condensed Consolidated Financial Statements for additional information regarding our restructuring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Interest expense represents interest on long-term debt and the amortization of debt issuance costs. The decreases in Interest expense for the three and six months ended June 30, 2021, compared to the prior year periods, was driven primarily by lower interest rates, a lower Term Loan A principal balance and the May 1, 2021 repayment of the previously outstanding $ 34 million Senior Notes. Additionally, the three and six months ended June 30, 2020 included interest expense attributable to the drawdown on our Senior Revolving Credit Facility (Revolver) in March 2020, which was repaid in December 2020. Refer to Note 6 – Debt in the Condensed Consolidated Financial Statements for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These costs consist of professional fees and other costs related to certain consummated and non-consummated transactions considered by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Costs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litigation costs for the three and six months ended June 30, 2021 primarily consist of reserves for various matters that are subject to litigation; the three and six months ended June 30, 2020 amount also included costs related to certain reimbursement matters with our former parent company, Xerox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 Contingencies and Litigation to the Condensed Consolidated Financial Statements for additional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8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effective tax rate for the three months ended June 30, 2021 was 38.2%, compared to 20.3% for the three months ended June 30, 2020. The June 30, 2021 rate was higher than the U.S. statutory rate of 21%, primarily due to geographic mix of income, other non-deductible permanent differences, valuation allowances and tax audit reserves, partially offset by tax credits. The June 30, 2020 rate was slightly lower than the U.S. statutory rate of 21%, primarily due to the geographic mix of income.</w:t>
      </w:r>
    </w:p>
    <w:p>
      <w:pPr>
        <w:spacing w:after="0" w:line="216"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auto"/>
        </w:rPr>
        <w:t>Excluding the impact of discrete tax adjustments, amortization of intangible assets and restructuring costs, the normalized effective tax rate for the three months ended June 30, 2021 was 25.7%. The normalized effective tax rate for the three months ended June 30, 2020 was</w:t>
      </w:r>
    </w:p>
    <w:p>
      <w:pPr>
        <w:ind w:right="420"/>
        <w:spacing w:after="0" w:line="235" w:lineRule="auto"/>
        <w:rPr>
          <w:sz w:val="20"/>
          <w:szCs w:val="20"/>
          <w:color w:val="auto"/>
        </w:rPr>
      </w:pPr>
      <w:r>
        <w:rPr>
          <w:rFonts w:ascii="Arial" w:cs="Arial" w:eastAsia="Arial" w:hAnsi="Arial"/>
          <w:sz w:val="18"/>
          <w:szCs w:val="18"/>
          <w:color w:val="auto"/>
        </w:rPr>
        <w:t>32.5%, predominately due to excluding the impact of amortization and restructuring costs. The normalized effective tax rate for the three months ended June 30, 2021 was lower than the three months ended June 30, 2020 rate predominantly due to earnings mix.</w:t>
      </w:r>
    </w:p>
    <w:p>
      <w:pPr>
        <w:spacing w:after="0" w:line="21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effective tax rate for the six months ended June 30, 2021 was 94.3% compared with 13.0% for the six months ended June 30, 2020. The June 30, 2021 rate was higher than the U.S. statutory rate of 21% primarily due to geographic mix of income, other non-deductible permanent differences, valuation allowances, and tax audit reserve partially offset by tax credits. The June 30, 2020 rate was lower than the U.S. statutory rate of 21% primarily due to the geographic mix of income, valuation allowances, and tax charges recognized on the vesting of employee equity awards partially offset by tax credits.</w:t>
      </w:r>
    </w:p>
    <w:p>
      <w:pPr>
        <w:spacing w:after="0" w:line="21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Excluding the impact of discrete tax adjustments, amortization of intangible assets and restructuring, the normalized effective tax rate for the six months ended June 30, 2021 was 24.7%. The normalized effective tax rate for the six months ended June 30, 2020 was 32.8%, predominantly due to excluding the impact of valuation allowances, vesting of equity awards, charges for amortization of intangible assets and restructuring. The normalized effective tax rate for the six months ended June 30, 2021 was lower than the six months ended June 30, 2020 rate predominantly due to earnings mix.</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it is reasonably possible that unrecognized tax benefits of approximately $14 million will reverse within 12 months due to an anticipated audit settlement.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25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Industries,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Services,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our Student Loan business, which the Company exited in the third quarter of 2018.</w:t>
      </w:r>
    </w:p>
    <w:p>
      <w:pPr>
        <w:spacing w:after="0" w:line="2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continue to modernize a significant portion of our infrastructure with new systems and processes and consolidate our data centers as part of our transformation initiatives. There is a risk, however, that our modernization efforts and data center consolidations could materially and adversely disrupt our operations. In addition, the Company’s COVID-19 response has also resulted in diversion of management's time and delayed investments from strategic, transformational and technology initiatives which had been planned. See Part I, Item 1A – Risk Factors of our Annual Report on Form 10-K for the year ended December 31, 2020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tcPr>
          <w:p>
            <w:pPr>
              <w:jc w:val="right"/>
              <w:ind w:right="248"/>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6"/>
                <w:szCs w:val="16"/>
                <w:color w:val="auto"/>
              </w:rPr>
            </w:pP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jc w:val="center"/>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jc w:val="center"/>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6"/>
                <w:szCs w:val="16"/>
                <w:color w:val="auto"/>
              </w:rPr>
            </w:pP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3"/>
          </w:tcPr>
          <w:p>
            <w:pPr>
              <w:jc w:val="right"/>
              <w:ind w:right="348"/>
              <w:spacing w:after="0"/>
              <w:rPr>
                <w:sz w:val="20"/>
                <w:szCs w:val="20"/>
                <w:color w:val="auto"/>
              </w:rPr>
            </w:pPr>
            <w:r>
              <w:rPr>
                <w:rFonts w:ascii="Arial" w:cs="Arial" w:eastAsia="Arial" w:hAnsi="Arial"/>
                <w:sz w:val="14"/>
                <w:szCs w:val="14"/>
                <w:color w:val="auto"/>
              </w:rPr>
              <w:t>Six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5"/>
                <w:szCs w:val="15"/>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6"/>
                <w:szCs w:val="16"/>
                <w:color w:val="auto"/>
              </w:rPr>
            </w:pP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270"/>
        </w:trPr>
        <w:tc>
          <w:tcPr>
            <w:tcW w:w="66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jc w:val="center"/>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jc w:val="center"/>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6"/>
                <w:szCs w:val="16"/>
                <w:color w:val="auto"/>
              </w:rPr>
            </w:pP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Industries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Commercial Industries revenue for the three months ended June 30, 2021 decreased, compared to the prior year period, due to lost business from prior years, partially offset by higher volumes as the impacts from COVID-19 were lesser in the second quarter of 2021 as many regions began to loosen restrictions.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Commercial Industries revenue for the six months ended June 30, 2021 decreased, compared to the prior year period, due to COVID-19 related volume declines in our Business Operations Solutions service offering and reduced revenue from our HSA offering "Benefit Wallet" (within our HRLS business) as a result of Federal Reserve initiated interest rate reductions, as well as lost business from prior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Increases in the Commercial Industries segment profit and adjusted EBITDA margin for the three months ended June 30, 2021, compared to the prior year period, were mainly driven by the result of progress in our efficiency initiatives and one-time contract exit costs in the second quarter of 2020.</w:t>
      </w:r>
    </w:p>
    <w:p>
      <w:pPr>
        <w:spacing w:after="0" w:line="21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Commercial Industries segment profit decreased and adjusted EBITDA margin increased for the six months ended June 30, 2021, compared to the prior year period, mainly driven by overall revenue declines, partially offset by the result of progress in our efficiency initiatives and one-time contract exit costs in the second quarter of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Services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Government Services revenue for the three months ended June 30, 2021 increased, compared to the prior year period, primarily driven by COVID-19 related volume increases. These increases were partially offset by lost business from prior years. The increased volumes from the COVID-19 pandemic were largely driven by the increases in the Supplemental Nutrition Assistance Program (SNAP) volumes and Pandemic SNAP volumes.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Government Services revenue for the six months ended June 30, 2021 increased, compared to the prior year period, primarily driven by COVID-19 related volume increases. These increases were partially offset by lost business from prior years. The increased volumes from the COVID-19 pandemic was largely driven by the increases in the Supplemental Nutrition Assistance Program (SNAP) volumes and Pandemic SNAP volumes, an increase in the number of citizens to which we distribute unemployment insurance benefits, and additional unemployment insurance benefit distributions as a result of Federal stimulus. Within the unemployment benefit business, we generate revenue based on the amount of spending by card 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Increases in the Government Services segment profit and adjusted EBITDA margin for the three and six months ended June 30, 2021, compared to the prior year period, were mainly driven by increased COVID-19 related volume increases at strong margins and expense reductions resulting from progress in our efficiency initiatives.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Transportation revenue for the three and six months ended June 30, 2021 increased, compared to the prior year period, primarily driven by the impact of loosening of numerous COVID-19 related restrictions, particularly in the United States, and the ramp of new business, partially offset by lost business from prior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Transportation segment profit and adjusted EBITDA margin decreased for the three months ended June 30, 2021, compared to the prior year period, mainly driven by unfavorable revenue mix in the quarter and short term cost savings in the prior year. Transportation segment profit and adjusted EBITDA margin increased for the six months ended June 30, 2021, compared to the prior year period, mainly driven by progress in our efficiency initiatives and beneficial revenue mix.</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(Loss) and Adjusted EBITDA</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segment profit in the 2020 period was primarily due to an adjustment to the then remaining California Medicaid Management Information System settlement liability of $7 million as a result of the contract expiring in March 2020. This benefit was excluded from adjusted EBITDA for segment reporting purposes due to its non-recurring nature.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2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Unallocated Costs for the three and six months ended June 30, 2021 increased, compared to the prior year period. This was primarily driven by increases in certain employee costs, partially offset by progress in our efficiency initiatives.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Metrics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w:t>
      </w:r>
    </w:p>
    <w:p>
      <w:pPr>
        <w:spacing w:after="0" w:line="21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For the three months ended June 30, 2021, the Company signed $775 million of new business, representing a 24% increase compared to the prior year period. This increase was driven by the signing of large contracts in the Transportation and Governments segments. Renewal TCV for the three months ended June 30, 2021 was $825 million, a decrease of 10% compared to the prior year period, primarily as a result of fewer renewal opportunities in the quarter. The Company continues to scale the centralized Sales and Account Management functions to deliver on our growth objectives.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six months ended June 30, 2021, the Company signed $1,131 million of new business, representing a 19% increase compared to the prior year period. Renewal TCV for the six months ended June 30, 2021 was $1,098 million, a decrease of 23% compared to the prior year period, primarily as a result of fewer renewal opportunities in the quarter.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488"/>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2021 vs. 2020</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jc w:val="center"/>
              <w:ind w:left="468"/>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2021 vs.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Annual recurring revenue signings</w:t>
            </w:r>
            <w:r>
              <w:rPr>
                <w:rFonts w:ascii="Arial" w:cs="Arial" w:eastAsia="Arial" w:hAnsi="Arial"/>
                <w:sz w:val="9"/>
                <w:szCs w:val="9"/>
                <w:color w:val="auto"/>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9"/>
                <w:szCs w:val="9"/>
                <w:color w:val="auto"/>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3" w:name="page34"/>
    <w:bookmarkEnd w:id="3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total new business pipeline at the end of June 30, 2021 and 2020 was $21.0 billion and $ 22.0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Capital Resources and Liquidity</w:t>
      </w:r>
    </w:p>
    <w:p>
      <w:pPr>
        <w:spacing w:after="0" w:line="26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As of June 30, 2021 and December 31, 2020, total cash and cash equivalents were $397 million and $ 450 million, respectively. The Company also has a $750 million Revolver for its various cash needs, of which $7 million was used for letters of credit. The net amount available to be drawn upon under our Revolver as of June 30, 2021, was $743 million.</w:t>
      </w:r>
    </w:p>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June 30, 2021, our total debt outstanding was $1.4 billion of which $89 million was due within one year. Refer to Note 6 – Debt in the Condensed Consolidated Financial Statements for additional debt information.</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order to provide financial flexibility and finance certain investments and projects, we may continue to utilize external financing arrangements. However, we believe that our cash on hand, projected cash flow from operations, sound balance sheet and revolving line of credit will continue to provide sufficient financial resources to meet our expected business obligations for at least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1040" w:type="dxa"/>
            <w:vAlign w:val="bottom"/>
          </w:tcPr>
          <w:p>
            <w:pPr>
              <w:jc w:val="right"/>
              <w:ind w:right="68"/>
              <w:spacing w:after="0" w:line="129" w:lineRule="exact"/>
              <w:rPr>
                <w:sz w:val="20"/>
                <w:szCs w:val="20"/>
                <w:color w:val="auto"/>
              </w:rPr>
            </w:pPr>
            <w:r>
              <w:rPr>
                <w:rFonts w:ascii="Arial" w:cs="Arial" w:eastAsia="Arial" w:hAnsi="Arial"/>
                <w:sz w:val="14"/>
                <w:szCs w:val="14"/>
                <w:color w:val="auto"/>
              </w:rPr>
              <w:t>2021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2020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Better (Worse)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net improvement in cash used in operating activities of $221 million, compared to the prior year period, was primarily related to the absence of the 2020 Texas Litigation payment of $118 million, improved collections of Accounts receivable and other working capital timing of $126 million, partly offset by higher cash used on product software and deferred contract costs for new business activities of $9 million and higher income tax net payments of $14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27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increase in cash used in investing activities of $11 million was primarily due to increased spending related to modernizing our infrastructure and productivity tools.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274"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increase in cash used in financing activities was primarily related to the absence of the March 2020 $150 million draw down from our $750 million revolving credit facility, which was subsequently repaid in December 2020. Additionally, we repaid the previously outstanding $34 million of Senior Notes on May 1, 2021 and made higher scheduled payments on Term loans of $18 million in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4" w:name="page35"/>
    <w:bookmarkEnd w:id="3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Market Risk Management</w:t>
      </w:r>
    </w:p>
    <w:p>
      <w:pPr>
        <w:spacing w:after="0" w:line="2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Recent market and economic events, including the effects of the COVID-19 pandemic, have not caused us to materially modify nor change our financial risk management strategies with respect to our exposures to foreign currency risk. Refer to Note 7 – Financial Instruments in the Condensed Consolidated Financial Statements for additional discussion on our financial risk management.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2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information set forth under the “Market Risk Management” section in Item 2 of this Form 10-Q is hereby incorporated by reference in answer to this Item. During the reporting period, there have been no material changes to the quantitative and qualitative disclosures regarding our market risk set forth in our Annual Report on Form 10-K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243"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274"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21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274" w:lineRule="exact"/>
        <w:rPr>
          <w:sz w:val="20"/>
          <w:szCs w:val="20"/>
          <w:color w:val="auto"/>
        </w:rPr>
      </w:pPr>
    </w:p>
    <w:p>
      <w:pPr>
        <w:ind w:left="340" w:right="2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26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set forth under Note 11 – Contingencies and Litigation in the Condensed Consolidated Financial Statements of this Form 10-Q is incorporated herein by reference in answer to this Item.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2020. There have been no material changes to our risk factors as previously reported in our Annual Report on Form-10-K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24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June 30, 2021</w:t>
      </w:r>
    </w:p>
    <w:p>
      <w:pPr>
        <w:spacing w:after="0" w:line="274"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During the quarter ended June 30, 2021, the Company did not issue any securities in transactions that were not registered under the Securities Act of 1933, as amended.</w:t>
      </w:r>
    </w:p>
    <w:p>
      <w:pPr>
        <w:spacing w:after="0" w:line="20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June 30, 2021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6" w:name="page37"/>
    <w:bookmarkEnd w:id="3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Borders>
              <w:bottom w:val="single" w:sz="8" w:color="0000FF"/>
            </w:tcBorders>
            <w:gridSpan w:val="11"/>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5"/>
        </w:trPr>
        <w:tc>
          <w:tcPr>
            <w:tcW w:w="1440" w:type="dxa"/>
            <w:vAlign w:val="bottom"/>
          </w:tcPr>
          <w:p>
            <w:pPr>
              <w:spacing w:after="0"/>
              <w:rPr>
                <w:sz w:val="13"/>
                <w:szCs w:val="13"/>
                <w:color w:val="auto"/>
              </w:rPr>
            </w:pPr>
          </w:p>
        </w:tc>
        <w:tc>
          <w:tcPr>
            <w:tcW w:w="44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2016.</w:t>
              </w:r>
            </w:hyperlink>
          </w:p>
        </w:tc>
        <w:tc>
          <w:tcPr>
            <w:tcW w:w="3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50"/>
        </w:trPr>
        <w:tc>
          <w:tcPr>
            <w:tcW w:w="1440" w:type="dxa"/>
            <w:vAlign w:val="bottom"/>
          </w:tcPr>
          <w:p>
            <w:pPr>
              <w:spacing w:after="0"/>
              <w:rPr>
                <w:sz w:val="21"/>
                <w:szCs w:val="21"/>
                <w:color w:val="auto"/>
              </w:rPr>
            </w:pPr>
          </w:p>
        </w:tc>
        <w:tc>
          <w:tcPr>
            <w:tcW w:w="9400" w:type="dxa"/>
            <w:vAlign w:val="bottom"/>
            <w:gridSpan w:val="11"/>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7080" w:type="dxa"/>
            <w:vAlign w:val="bottom"/>
            <w:tcBorders>
              <w:bottom w:val="single" w:sz="8" w:color="0000FF"/>
            </w:tcBorders>
            <w:gridSpan w:val="8"/>
          </w:tcPr>
          <w:p>
            <w:pPr>
              <w:spacing w:after="0" w:line="189"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Amended and Restated By-Laws of Registrant as amended through December 31, 2016.</w:t>
              </w:r>
            </w:hyperlink>
          </w:p>
        </w:tc>
        <w:tc>
          <w:tcPr>
            <w:tcW w:w="2320" w:type="dxa"/>
            <w:vAlign w:val="bottom"/>
            <w:gridSpan w:val="3"/>
          </w:tcPr>
          <w:p>
            <w:pPr>
              <w:spacing w:after="0"/>
              <w:rPr>
                <w:sz w:val="16"/>
                <w:szCs w:val="16"/>
                <w:color w:val="auto"/>
              </w:rPr>
            </w:pPr>
          </w:p>
        </w:tc>
      </w:tr>
      <w:tr>
        <w:trPr>
          <w:trHeight w:val="250"/>
        </w:trPr>
        <w:tc>
          <w:tcPr>
            <w:tcW w:w="1440" w:type="dxa"/>
            <w:vAlign w:val="bottom"/>
          </w:tcPr>
          <w:p>
            <w:pPr>
              <w:spacing w:after="0"/>
              <w:rPr>
                <w:sz w:val="21"/>
                <w:szCs w:val="21"/>
                <w:color w:val="auto"/>
              </w:rPr>
            </w:pPr>
          </w:p>
        </w:tc>
        <w:tc>
          <w:tcPr>
            <w:tcW w:w="9400" w:type="dxa"/>
            <w:vAlign w:val="bottom"/>
            <w:gridSpan w:val="11"/>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10.6(a)(ix)</w:t>
            </w:r>
          </w:p>
        </w:tc>
        <w:tc>
          <w:tcPr>
            <w:tcW w:w="9400" w:type="dxa"/>
            <w:vAlign w:val="bottom"/>
            <w:gridSpan w:val="11"/>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Registrant’s 2021 Performance Incentive Plan</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0"/>
        </w:trPr>
        <w:tc>
          <w:tcPr>
            <w:tcW w:w="1440" w:type="dxa"/>
            <w:vAlign w:val="bottom"/>
          </w:tcPr>
          <w:p>
            <w:pPr>
              <w:spacing w:after="0"/>
              <w:rPr>
                <w:sz w:val="21"/>
                <w:szCs w:val="21"/>
                <w:color w:val="auto"/>
              </w:rPr>
            </w:pPr>
          </w:p>
        </w:tc>
        <w:tc>
          <w:tcPr>
            <w:tcW w:w="9400" w:type="dxa"/>
            <w:vAlign w:val="bottom"/>
            <w:gridSpan w:val="11"/>
          </w:tcPr>
          <w:p>
            <w:pPr>
              <w:spacing w:after="0"/>
              <w:rPr>
                <w:sz w:val="20"/>
                <w:szCs w:val="20"/>
                <w:color w:val="auto"/>
              </w:rPr>
            </w:pPr>
            <w:r>
              <w:rPr>
                <w:rFonts w:ascii="Arial" w:cs="Arial" w:eastAsia="Arial" w:hAnsi="Arial"/>
                <w:sz w:val="18"/>
                <w:szCs w:val="18"/>
                <w:color w:val="auto"/>
              </w:rPr>
              <w:t>Incorporated by reference to Annex A to Registrant's Proxy Filing on Schedule 14 dated April 9, 2021.</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10.6(a)(x)</w:t>
            </w:r>
          </w:p>
        </w:tc>
        <w:tc>
          <w:tcPr>
            <w:tcW w:w="5920" w:type="dxa"/>
            <w:vAlign w:val="bottom"/>
            <w:tcBorders>
              <w:bottom w:val="single" w:sz="8" w:color="0000FF"/>
            </w:tcBorders>
            <w:gridSpan w:val="6"/>
          </w:tcPr>
          <w:p>
            <w:pPr>
              <w:spacing w:after="0" w:line="189" w:lineRule="exact"/>
              <w:rPr>
                <w:rFonts w:ascii="Arial" w:cs="Arial" w:eastAsia="Arial" w:hAnsi="Arial"/>
                <w:sz w:val="18"/>
                <w:szCs w:val="18"/>
                <w:color w:val="0000FF"/>
                <w:w w:val="99"/>
              </w:rPr>
            </w:pPr>
            <w:hyperlink w:anchor="page66">
              <w:r>
                <w:rPr>
                  <w:rFonts w:ascii="Arial" w:cs="Arial" w:eastAsia="Arial" w:hAnsi="Arial"/>
                  <w:sz w:val="18"/>
                  <w:szCs w:val="18"/>
                  <w:color w:val="0000FF"/>
                  <w:w w:val="99"/>
                </w:rPr>
                <w:t>Form of Restricted Stock Unit Award Agreement 2021 under the 2021 PIP.</w:t>
              </w:r>
            </w:hyperlink>
          </w:p>
        </w:tc>
        <w:tc>
          <w:tcPr>
            <w:tcW w:w="3480" w:type="dxa"/>
            <w:vAlign w:val="bottom"/>
            <w:gridSpan w:val="5"/>
          </w:tcPr>
          <w:p>
            <w:pPr>
              <w:spacing w:after="0"/>
              <w:rPr>
                <w:sz w:val="16"/>
                <w:szCs w:val="16"/>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10.6(a)(xi)</w:t>
            </w:r>
          </w:p>
        </w:tc>
        <w:tc>
          <w:tcPr>
            <w:tcW w:w="940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Form of Performance Stock Unit Award Agreement 2021 (Revenue Metric) under the 2021 PIP.</w:t>
              </w:r>
            </w:hyperlink>
          </w:p>
        </w:tc>
      </w:tr>
      <w:tr>
        <w:trPr>
          <w:trHeight w:val="20"/>
        </w:trPr>
        <w:tc>
          <w:tcPr>
            <w:tcW w:w="144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10.6(a)(xii)</w:t>
            </w:r>
          </w:p>
        </w:tc>
        <w:tc>
          <w:tcPr>
            <w:tcW w:w="9400" w:type="dxa"/>
            <w:vAlign w:val="bottom"/>
            <w:gridSpan w:val="11"/>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Form of Performance Stock Unit Award Agreement 2021 (Share Hurdle Metric) under the 2021 PIP.</w:t>
              </w:r>
            </w:hyperlink>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10.6(a)(xiii)</w:t>
            </w:r>
          </w:p>
        </w:tc>
        <w:tc>
          <w:tcPr>
            <w:tcW w:w="7900" w:type="dxa"/>
            <w:vAlign w:val="bottom"/>
            <w:tcBorders>
              <w:top w:val="single" w:sz="8" w:color="0000FF"/>
            </w:tcBorders>
            <w:gridSpan w:val="1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Form of Agreement For Non-Employee Directors under 2021 PIP.</w:t>
              </w:r>
            </w:hyperlink>
          </w:p>
        </w:tc>
        <w:tc>
          <w:tcPr>
            <w:tcW w:w="150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479"/>
        </w:trPr>
        <w:tc>
          <w:tcPr>
            <w:tcW w:w="1440" w:type="dxa"/>
            <w:vAlign w:val="bottom"/>
          </w:tcPr>
          <w:p>
            <w:pPr>
              <w:spacing w:after="0"/>
              <w:rPr>
                <w:sz w:val="20"/>
                <w:szCs w:val="20"/>
                <w:color w:val="auto"/>
              </w:rPr>
            </w:pPr>
            <w:r>
              <w:rPr>
                <w:rFonts w:ascii="Arial" w:cs="Arial" w:eastAsia="Arial" w:hAnsi="Arial"/>
                <w:sz w:val="18"/>
                <w:szCs w:val="18"/>
                <w:color w:val="auto"/>
              </w:rPr>
              <w:t>10.6(h)</w:t>
            </w:r>
          </w:p>
        </w:tc>
        <w:tc>
          <w:tcPr>
            <w:tcW w:w="9400" w:type="dxa"/>
            <w:vAlign w:val="bottom"/>
            <w:gridSpan w:val="11"/>
          </w:tcPr>
          <w:p>
            <w:pPr>
              <w:spacing w:after="0"/>
              <w:rPr>
                <w:rFonts w:ascii="Arial" w:cs="Arial" w:eastAsia="Arial" w:hAnsi="Arial"/>
                <w:sz w:val="18"/>
                <w:szCs w:val="18"/>
                <w:color w:val="0000FF"/>
              </w:rPr>
            </w:pPr>
            <w:hyperlink r:id="rId49">
              <w:r>
                <w:rPr>
                  <w:rFonts w:ascii="Arial" w:cs="Arial" w:eastAsia="Arial" w:hAnsi="Arial"/>
                  <w:sz w:val="18"/>
                  <w:szCs w:val="18"/>
                  <w:color w:val="0000FF"/>
                </w:rPr>
                <w:t>Letter Agreement dated May 5, 2021, between Registrant and Stephen Wood</w:t>
              </w:r>
            </w:hyperlink>
          </w:p>
        </w:tc>
      </w:tr>
      <w:tr>
        <w:trPr>
          <w:trHeight w:val="20"/>
        </w:trPr>
        <w:tc>
          <w:tcPr>
            <w:tcW w:w="1440" w:type="dxa"/>
            <w:vAlign w:val="bottom"/>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250"/>
        </w:trPr>
        <w:tc>
          <w:tcPr>
            <w:tcW w:w="1440" w:type="dxa"/>
            <w:vAlign w:val="bottom"/>
          </w:tcPr>
          <w:p>
            <w:pPr>
              <w:spacing w:after="0"/>
              <w:rPr>
                <w:sz w:val="21"/>
                <w:szCs w:val="21"/>
                <w:color w:val="auto"/>
              </w:rPr>
            </w:pPr>
          </w:p>
        </w:tc>
        <w:tc>
          <w:tcPr>
            <w:tcW w:w="9400" w:type="dxa"/>
            <w:vAlign w:val="bottom"/>
            <w:gridSpan w:val="11"/>
          </w:tcPr>
          <w:p>
            <w:pPr>
              <w:spacing w:after="0"/>
              <w:rPr>
                <w:sz w:val="20"/>
                <w:szCs w:val="20"/>
                <w:color w:val="auto"/>
              </w:rPr>
            </w:pPr>
            <w:r>
              <w:rPr>
                <w:rFonts w:ascii="Arial" w:cs="Arial" w:eastAsia="Arial" w:hAnsi="Arial"/>
                <w:sz w:val="18"/>
                <w:szCs w:val="18"/>
                <w:color w:val="auto"/>
              </w:rPr>
              <w:t>Incorporated by reference to Exhibit 10.1 to Registrant's Current Report on Form 8-K dated May 4, 2021.</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31(a)</w:t>
            </w:r>
          </w:p>
        </w:tc>
        <w:tc>
          <w:tcPr>
            <w:tcW w:w="53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Certification of CEO pursuant to Rule 13a-14(a) or Rule 15d-14(a).</w:t>
              </w:r>
            </w:hyperlink>
          </w:p>
        </w:tc>
        <w:tc>
          <w:tcPr>
            <w:tcW w:w="4100" w:type="dxa"/>
            <w:vAlign w:val="bottom"/>
            <w:gridSpan w:val="6"/>
          </w:tcPr>
          <w:p>
            <w:pPr>
              <w:spacing w:after="0"/>
              <w:rPr>
                <w:sz w:val="24"/>
                <w:szCs w:val="24"/>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31(b)</w:t>
            </w:r>
          </w:p>
        </w:tc>
        <w:tc>
          <w:tcPr>
            <w:tcW w:w="9400" w:type="dxa"/>
            <w:vAlign w:val="bottom"/>
            <w:gridSpan w:val="11"/>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Certification of CFO pursuant to Rule 13a-14(a) or Rule 15d-14(a).</w:t>
              </w:r>
            </w:hyperlink>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40" w:lineRule="exact"/>
        <w:rPr>
          <w:sz w:val="20"/>
          <w:szCs w:val="20"/>
          <w:color w:val="auto"/>
        </w:rPr>
      </w:pPr>
    </w:p>
    <w:p>
      <w:pPr>
        <w:ind w:left="1460" w:right="200" w:hanging="1434"/>
        <w:spacing w:after="0" w:line="227" w:lineRule="auto"/>
        <w:tabs>
          <w:tab w:leader="none" w:pos="1460" w:val="left"/>
        </w:tabs>
        <w:numPr>
          <w:ilvl w:val="0"/>
          <w:numId w:val="18"/>
        </w:numPr>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Certification of CEO and CFO pursuant to 18 U.S.C. Section 1350, as adopted pursuant to Section 906 of the Sarbanes-</w:t>
        </w:r>
      </w:hyperlink>
      <w:hyperlink w:anchor="page79">
        <w:r>
          <w:rPr>
            <w:rFonts w:ascii="Arial" w:cs="Arial" w:eastAsia="Arial" w:hAnsi="Arial"/>
            <w:sz w:val="18"/>
            <w:szCs w:val="18"/>
            <w:u w:val="single" w:color="auto"/>
            <w:color w:val="0000FF"/>
          </w:rPr>
          <w:t>Oxley Act of 2002.</w:t>
        </w:r>
      </w:hyperlink>
    </w:p>
    <w:p>
      <w:pPr>
        <w:spacing w:after="0" w:line="252"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17"/>
        </w:trPr>
        <w:tc>
          <w:tcPr>
            <w:tcW w:w="108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7" w:name="page38"/>
    <w:bookmarkEnd w:id="3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28886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1"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52" w:right="359" w:bottom="1440" w:gutter="0" w:footer="0" w:header="0"/>
        </w:sectPr>
      </w:pPr>
    </w:p>
    <w:bookmarkStart w:id="38" w:name="page39"/>
    <w:bookmarkEnd w:id="38"/>
    <w:p>
      <w:pPr>
        <w:jc w:val="right"/>
        <w:ind w:right="20"/>
        <w:spacing w:after="0"/>
        <w:rPr>
          <w:sz w:val="20"/>
          <w:szCs w:val="20"/>
          <w:color w:val="auto"/>
        </w:rPr>
      </w:pPr>
      <w:r>
        <w:rPr>
          <w:rFonts w:ascii="Arial" w:cs="Arial" w:eastAsia="Arial" w:hAnsi="Arial"/>
          <w:sz w:val="18"/>
          <w:szCs w:val="18"/>
          <w:color w:val="auto"/>
        </w:rPr>
        <w:t>Exhibit 10.6(a)(xi)</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jc w:val="center"/>
        <w:ind w:right="2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3" w:lineRule="exact"/>
        <w:rPr>
          <w:sz w:val="20"/>
          <w:szCs w:val="20"/>
          <w:color w:val="auto"/>
        </w:rPr>
      </w:pPr>
    </w:p>
    <w:p>
      <w:pPr>
        <w:jc w:val="both"/>
        <w:ind w:left="180" w:right="20"/>
        <w:spacing w:after="0" w:line="262"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22" w:lineRule="exact"/>
        <w:rPr>
          <w:sz w:val="20"/>
          <w:szCs w:val="20"/>
          <w:color w:val="auto"/>
        </w:rPr>
      </w:pPr>
    </w:p>
    <w:p>
      <w:pPr>
        <w:jc w:val="both"/>
        <w:ind w:left="180" w:right="2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has authorized the execution and delivery of this Agreement.</w:t>
      </w:r>
    </w:p>
    <w:p>
      <w:pPr>
        <w:spacing w:after="0" w:line="139" w:lineRule="exact"/>
        <w:rPr>
          <w:sz w:val="20"/>
          <w:szCs w:val="20"/>
          <w:color w:val="auto"/>
        </w:rPr>
      </w:pPr>
    </w:p>
    <w:p>
      <w:pPr>
        <w:jc w:val="both"/>
        <w:ind w:left="180" w:right="20"/>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22" w:lineRule="exact"/>
        <w:rPr>
          <w:sz w:val="20"/>
          <w:szCs w:val="20"/>
          <w:color w:val="auto"/>
        </w:rPr>
      </w:pPr>
    </w:p>
    <w:p>
      <w:pPr>
        <w:jc w:val="both"/>
        <w:ind w:left="180" w:right="2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the applicable number of Performance Restricted Stock Units granted pursuant hereto, and the value of a share of Common Stock on the Date of Grant (the “</w:t>
      </w:r>
      <w:r>
        <w:rPr>
          <w:rFonts w:ascii="Arial" w:cs="Arial" w:eastAsia="Arial" w:hAnsi="Arial"/>
          <w:sz w:val="18"/>
          <w:szCs w:val="18"/>
          <w:b w:val="1"/>
          <w:bCs w:val="1"/>
          <w:i w:val="1"/>
          <w:iCs w:val="1"/>
          <w:color w:val="auto"/>
        </w:rPr>
        <w:t>Share Base Price</w:t>
      </w:r>
      <w:r>
        <w:rPr>
          <w:rFonts w:ascii="Arial" w:cs="Arial" w:eastAsia="Arial" w:hAnsi="Arial"/>
          <w:sz w:val="18"/>
          <w:szCs w:val="18"/>
          <w:color w:val="auto"/>
        </w:rPr>
        <w:t>”). The Award Summary is incorporated herein in its entirety.</w:t>
      </w:r>
    </w:p>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AWARDS</w:t>
      </w:r>
    </w:p>
    <w:p>
      <w:pPr>
        <w:spacing w:after="0" w:line="193" w:lineRule="exact"/>
        <w:rPr>
          <w:sz w:val="20"/>
          <w:szCs w:val="20"/>
          <w:color w:val="auto"/>
        </w:rPr>
      </w:pPr>
    </w:p>
    <w:p>
      <w:pPr>
        <w:jc w:val="both"/>
        <w:ind w:left="180" w:right="20" w:hanging="10"/>
        <w:spacing w:after="0" w:line="256" w:lineRule="auto"/>
        <w:tabs>
          <w:tab w:leader="none" w:pos="55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TERMS OF THE PERFORMANCE SHARE UNITS</w:t>
      </w:r>
    </w:p>
    <w:p>
      <w:pPr>
        <w:spacing w:after="0" w:line="193" w:lineRule="exact"/>
        <w:rPr>
          <w:sz w:val="20"/>
          <w:szCs w:val="20"/>
          <w:color w:val="auto"/>
        </w:rPr>
      </w:pPr>
    </w:p>
    <w:p>
      <w:pPr>
        <w:jc w:val="both"/>
        <w:ind w:left="180" w:right="20" w:hanging="10"/>
        <w:spacing w:after="0" w:line="253" w:lineRule="auto"/>
        <w:tabs>
          <w:tab w:leader="none" w:pos="55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each applicable Vesting Date (as defined below) (or such earlier date provided in Section 8) in connection with the PRSUs, the Company shall deliver to the Employee, in such manner as the Company shall determine, a number of shares of Common Stock equal to the number of vested PRSUs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9" w:lineRule="exact"/>
        <w:rPr>
          <w:rFonts w:ascii="Arial" w:cs="Arial" w:eastAsia="Arial" w:hAnsi="Arial"/>
          <w:sz w:val="18"/>
          <w:szCs w:val="18"/>
          <w:color w:val="auto"/>
        </w:rPr>
      </w:pPr>
    </w:p>
    <w:p>
      <w:pPr>
        <w:jc w:val="both"/>
        <w:ind w:left="180" w:right="20" w:hanging="10"/>
        <w:spacing w:after="0" w:line="25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a performance-based vesting condition (the “</w:t>
      </w:r>
      <w:r>
        <w:rPr>
          <w:rFonts w:ascii="Arial" w:cs="Arial" w:eastAsia="Arial" w:hAnsi="Arial"/>
          <w:sz w:val="18"/>
          <w:szCs w:val="18"/>
          <w:b w:val="1"/>
          <w:bCs w:val="1"/>
          <w:i w:val="1"/>
          <w:iCs w:val="1"/>
          <w:color w:val="auto"/>
        </w:rPr>
        <w:t>Revenue Hurdle Condition</w:t>
      </w:r>
      <w:r>
        <w:rPr>
          <w:rFonts w:ascii="Arial" w:cs="Arial" w:eastAsia="Arial" w:hAnsi="Arial"/>
          <w:sz w:val="18"/>
          <w:szCs w:val="18"/>
          <w:color w:val="auto"/>
        </w:rPr>
        <w:t>”) which will be satisfied based on the achievement of revenue hurdle conditions specified below. The PRSUs are divided into three equal tranches (the “</w:t>
      </w:r>
      <w:r>
        <w:rPr>
          <w:rFonts w:ascii="Arial" w:cs="Arial" w:eastAsia="Arial" w:hAnsi="Arial"/>
          <w:sz w:val="18"/>
          <w:szCs w:val="18"/>
          <w:b w:val="1"/>
          <w:bCs w:val="1"/>
          <w:i w:val="1"/>
          <w:i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Vesting Tranche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Second Vesting Tranche</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Third Vesting Tranche</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Vesting Tranche</w:t>
      </w:r>
      <w:r>
        <w:rPr>
          <w:rFonts w:ascii="Arial" w:cs="Arial" w:eastAsia="Arial" w:hAnsi="Arial"/>
          <w:sz w:val="18"/>
          <w:szCs w:val="18"/>
          <w:color w:val="auto"/>
        </w:rPr>
        <w:t>”), with each 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Tranche covering 1/3 of the PRSUs. The “</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 for each applicable Vesting Tranche shall be December 31 of each applicable year, as set forth in the table below, and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for each applicable Vesting Tranche shall be the date set forth in the table below.</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40" w:type="dxa"/>
            <w:vAlign w:val="bottom"/>
            <w:tcBorders>
              <w:right w:val="single" w:sz="8" w:color="auto"/>
            </w:tcBorders>
          </w:tcPr>
          <w:p>
            <w:pPr>
              <w:spacing w:after="0"/>
              <w:rPr>
                <w:sz w:val="22"/>
                <w:szCs w:val="22"/>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Portion of</w:t>
            </w:r>
          </w:p>
        </w:tc>
        <w:tc>
          <w:tcPr>
            <w:tcW w:w="344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Revenue Hurdle Condition</w:t>
            </w:r>
          </w:p>
        </w:tc>
        <w:tc>
          <w:tcPr>
            <w:tcW w:w="2000" w:type="dxa"/>
            <w:vAlign w:val="bottom"/>
            <w:tcBorders>
              <w:top w:val="single" w:sz="8" w:color="auto"/>
              <w:right w:val="single" w:sz="8" w:color="auto"/>
            </w:tcBorders>
          </w:tcPr>
          <w:p>
            <w:pPr>
              <w:spacing w:after="0"/>
              <w:rPr>
                <w:sz w:val="22"/>
                <w:szCs w:val="22"/>
                <w:color w:val="auto"/>
              </w:rPr>
            </w:pPr>
          </w:p>
        </w:tc>
        <w:tc>
          <w:tcPr>
            <w:tcW w:w="2000" w:type="dxa"/>
            <w:vAlign w:val="bottom"/>
            <w:tcBorders>
              <w:top w:val="single" w:sz="8" w:color="auto"/>
              <w:right w:val="single" w:sz="8" w:color="auto"/>
            </w:tcBorders>
          </w:tcPr>
          <w:p>
            <w:pPr>
              <w:spacing w:after="0"/>
              <w:rPr>
                <w:sz w:val="22"/>
                <w:szCs w:val="22"/>
                <w:color w:val="auto"/>
              </w:rPr>
            </w:pPr>
          </w:p>
        </w:tc>
      </w:tr>
      <w:tr>
        <w:trPr>
          <w:trHeight w:val="230"/>
        </w:trPr>
        <w:tc>
          <w:tcPr>
            <w:tcW w:w="24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PRSUs</w:t>
            </w:r>
          </w:p>
        </w:tc>
        <w:tc>
          <w:tcPr>
            <w:tcW w:w="11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Threshold</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Target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Maximum</w:t>
            </w:r>
          </w:p>
        </w:tc>
        <w:tc>
          <w:tcPr>
            <w:tcW w:w="20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Measurement Date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Vesting Date</w:t>
            </w:r>
          </w:p>
        </w:tc>
      </w:tr>
      <w:tr>
        <w:trPr>
          <w:trHeight w:val="243"/>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First Vesting Tranche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20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December 31, 2021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June 30, 2022</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Second Vesting Tranche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20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December 31, 2022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June 30, 2023</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37"/>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Third Vesting Tranche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3.5%</w:t>
            </w:r>
          </w:p>
        </w:tc>
        <w:tc>
          <w:tcPr>
            <w:tcW w:w="20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December 31, 2023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June 30, 2024</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right="20"/>
        <w:spacing w:after="0" w:line="261" w:lineRule="auto"/>
        <w:rPr>
          <w:sz w:val="20"/>
          <w:szCs w:val="20"/>
          <w:color w:val="auto"/>
        </w:rPr>
      </w:pPr>
      <w:r>
        <w:rPr>
          <w:rFonts w:ascii="Arial" w:cs="Arial" w:eastAsia="Arial" w:hAnsi="Arial"/>
          <w:sz w:val="18"/>
          <w:szCs w:val="18"/>
          <w:color w:val="auto"/>
        </w:rPr>
        <w:t>The Revenue Hurdle Condition will be satisfied at the Threshold, Target, or Maximum level if the Company’s revenue for the fiscal year that ends on the applicable Measurement Date increases by the percentage set forth</w:t>
      </w:r>
    </w:p>
    <w:p>
      <w:pPr>
        <w:sectPr>
          <w:pgSz w:w="11900" w:h="16838" w:orient="portrait"/>
          <w:cols w:equalWidth="0" w:num="1">
            <w:col w:w="11260"/>
          </w:cols>
          <w:pgMar w:left="320" w:top="36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60"/>
          </w:cols>
          <w:pgMar w:left="320" w:top="368" w:right="319" w:bottom="1440" w:gutter="0" w:footer="0" w:header="0"/>
          <w:type w:val="continuous"/>
        </w:sectPr>
      </w:pPr>
    </w:p>
    <w:bookmarkStart w:id="39" w:name="page40"/>
    <w:bookmarkEnd w:id="39"/>
    <w:p>
      <w:pPr>
        <w:ind w:left="10"/>
        <w:spacing w:after="0" w:line="261" w:lineRule="auto"/>
        <w:rPr>
          <w:sz w:val="20"/>
          <w:szCs w:val="20"/>
          <w:color w:val="auto"/>
        </w:rPr>
      </w:pPr>
      <w:r>
        <w:rPr>
          <w:rFonts w:ascii="Arial" w:cs="Arial" w:eastAsia="Arial" w:hAnsi="Arial"/>
          <w:sz w:val="18"/>
          <w:szCs w:val="18"/>
          <w:color w:val="auto"/>
        </w:rPr>
        <w:t>in the table above over the Company’s revenue for the immediate prior fiscal year. For purposes of calculating the Company’s revenue for a fiscal year, the Committee may make adjustments for unanticipated or unbudgeted changes, such as a disposition.</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the event the achievement of the Revenue Hurdle Condition for a Vesting Tranche:</w:t>
      </w:r>
    </w:p>
    <w:p>
      <w:pPr>
        <w:spacing w:after="0" w:line="171" w:lineRule="exact"/>
        <w:rPr>
          <w:sz w:val="20"/>
          <w:szCs w:val="20"/>
          <w:color w:val="auto"/>
        </w:rPr>
      </w:pPr>
    </w:p>
    <w:p>
      <w:pPr>
        <w:ind w:left="650" w:hanging="326"/>
        <w:spacing w:after="0"/>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below the “threshold” level specified above, then all of the PRSUs with respect to such Vesting Tranche will be forfeited;</w:t>
      </w:r>
    </w:p>
    <w:p>
      <w:pPr>
        <w:spacing w:after="0" w:line="171" w:lineRule="exact"/>
        <w:rPr>
          <w:rFonts w:ascii="Arial" w:cs="Arial" w:eastAsia="Arial" w:hAnsi="Arial"/>
          <w:sz w:val="18"/>
          <w:szCs w:val="18"/>
          <w:color w:val="auto"/>
        </w:rPr>
      </w:pPr>
    </w:p>
    <w:p>
      <w:pPr>
        <w:ind w:left="650" w:right="20" w:hanging="326"/>
        <w:spacing w:after="0" w:line="261"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between "threshold" and "target" level specified above, then a percentage of the PRSUs with respect to such Vesting Tranche equal to the percentage linearly interpolated between 50% and 100% will be eligible to vest on the applicable Vesting Date;</w:t>
      </w:r>
    </w:p>
    <w:p>
      <w:pPr>
        <w:spacing w:after="0" w:line="143" w:lineRule="exact"/>
        <w:rPr>
          <w:rFonts w:ascii="Arial" w:cs="Arial" w:eastAsia="Arial" w:hAnsi="Arial"/>
          <w:sz w:val="18"/>
          <w:szCs w:val="18"/>
          <w:color w:val="auto"/>
        </w:rPr>
      </w:pPr>
    </w:p>
    <w:p>
      <w:pPr>
        <w:ind w:left="650" w:hanging="326"/>
        <w:spacing w:after="0" w:line="261" w:lineRule="auto"/>
        <w:tabs>
          <w:tab w:leader="none" w:pos="6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exactly at the “target" level specified above, then 100% of the PRSUs with respect to such Vesting Tranche will be eligible to vest on the applicable Vesting Date;</w:t>
      </w:r>
    </w:p>
    <w:p>
      <w:pPr>
        <w:spacing w:after="0" w:line="143" w:lineRule="exact"/>
        <w:rPr>
          <w:rFonts w:ascii="Arial" w:cs="Arial" w:eastAsia="Arial" w:hAnsi="Arial"/>
          <w:sz w:val="18"/>
          <w:szCs w:val="18"/>
          <w:color w:val="auto"/>
        </w:rPr>
      </w:pPr>
    </w:p>
    <w:p>
      <w:pPr>
        <w:ind w:left="650" w:right="20" w:hanging="326"/>
        <w:spacing w:after="0" w:line="261"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between "target" and "maximum" level specified above, then a percentage of the PRSUs with respect to such Vesting Tranche equal to the percentage linearly interpolated between 100% and 150% will be eligible to vest on the applicable Vesting Date; and</w:t>
      </w:r>
    </w:p>
    <w:p>
      <w:pPr>
        <w:spacing w:after="0" w:line="143" w:lineRule="exact"/>
        <w:rPr>
          <w:rFonts w:ascii="Arial" w:cs="Arial" w:eastAsia="Arial" w:hAnsi="Arial"/>
          <w:sz w:val="18"/>
          <w:szCs w:val="18"/>
          <w:color w:val="auto"/>
        </w:rPr>
      </w:pPr>
    </w:p>
    <w:p>
      <w:pPr>
        <w:ind w:left="650" w:hanging="326"/>
        <w:spacing w:after="0" w:line="261" w:lineRule="auto"/>
        <w:tabs>
          <w:tab w:leader="none" w:pos="6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equal to or greater than the “maximum" level specified above, then 150% of the PRSUs with respect to such Vesting Tranche will be eligible to vest on the applicable Vesting Date;</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7"/>
          <w:szCs w:val="17"/>
          <w:color w:val="auto"/>
        </w:rPr>
        <w:t>in each case as set forth in the Award Summary and subject to the Employee's continued employment through the applicable Vesting Date.</w:t>
      </w:r>
    </w:p>
    <w:p>
      <w:pPr>
        <w:spacing w:after="0" w:line="183" w:lineRule="exact"/>
        <w:rPr>
          <w:sz w:val="20"/>
          <w:szCs w:val="20"/>
          <w:color w:val="auto"/>
        </w:rPr>
      </w:pPr>
    </w:p>
    <w:p>
      <w:pPr>
        <w:jc w:val="both"/>
        <w:ind w:left="10"/>
        <w:spacing w:after="0" w:line="254" w:lineRule="auto"/>
        <w:rPr>
          <w:sz w:val="20"/>
          <w:szCs w:val="20"/>
          <w:color w:val="auto"/>
        </w:rPr>
      </w:pPr>
      <w:r>
        <w:rPr>
          <w:rFonts w:ascii="Arial" w:cs="Arial" w:eastAsia="Arial" w:hAnsi="Arial"/>
          <w:sz w:val="18"/>
          <w:szCs w:val="18"/>
          <w:color w:val="auto"/>
        </w:rPr>
        <w:t>Notwithstanding the foregoing, no PRSUs in a Vesting Tranche will vest in the event that the Adjusted EBITDA Margin with respect to the fiscal year that ends on the applicable Measurement Date is not greater than or equal to 11% (the “EBITDA Qualifier”). For purposes of this Agreement, “Adjusted EBITDA Margin” means the Company’s adjusted EBITDA for a fiscal year as a percentage of the Company’s revenue for such fiscal year.</w:t>
      </w:r>
    </w:p>
    <w:p>
      <w:pPr>
        <w:spacing w:after="0" w:line="150" w:lineRule="exact"/>
        <w:rPr>
          <w:sz w:val="20"/>
          <w:szCs w:val="20"/>
          <w:color w:val="auto"/>
        </w:rPr>
      </w:pPr>
    </w:p>
    <w:p>
      <w:pPr>
        <w:jc w:val="both"/>
        <w:ind w:left="10"/>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subject to Employee’s continued employment with the Company or a subsidiary or an affiliate through each applicable Vesting Date (while the Revenue Hurdle Conditions shall each be deemed to have been achieved at the “Target” level set forth above and the EBITDA Qualifier deemed satisfied with respect to all outstanding Vesting Tranches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following such Change in Control and prior to a Vesting Date. Upon payment pursuant to the terms of the Plan, such awards shall be cancelled.</w:t>
      </w:r>
    </w:p>
    <w:p>
      <w:pPr>
        <w:spacing w:after="0" w:line="157" w:lineRule="exact"/>
        <w:rPr>
          <w:sz w:val="20"/>
          <w:szCs w:val="20"/>
          <w:color w:val="auto"/>
        </w:rPr>
      </w:pPr>
    </w:p>
    <w:p>
      <w:pPr>
        <w:jc w:val="both"/>
        <w:ind w:left="10" w:hanging="10"/>
        <w:spacing w:after="0" w:line="253" w:lineRule="auto"/>
        <w:tabs>
          <w:tab w:leader="none" w:pos="41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200" w:lineRule="exact"/>
        <w:rPr>
          <w:sz w:val="20"/>
          <w:szCs w:val="20"/>
          <w:color w:val="auto"/>
        </w:rPr>
      </w:pPr>
    </w:p>
    <w:p>
      <w:pPr>
        <w:spacing w:after="0" w:line="334"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93" w:lineRule="exact"/>
        <w:rPr>
          <w:sz w:val="20"/>
          <w:szCs w:val="20"/>
          <w:color w:val="auto"/>
        </w:rPr>
      </w:pPr>
    </w:p>
    <w:p>
      <w:pPr>
        <w:ind w:left="10" w:hanging="10"/>
        <w:spacing w:after="0" w:line="261"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70"/>
          </w:cols>
          <w:pgMar w:left="490" w:top="1111" w:right="339" w:bottom="1440" w:gutter="0" w:footer="0" w:header="0"/>
        </w:sectPr>
      </w:pPr>
    </w:p>
    <w:bookmarkStart w:id="40" w:name="page41"/>
    <w:bookmarkEnd w:id="40"/>
    <w:p>
      <w:pPr>
        <w:ind w:left="10"/>
        <w:spacing w:after="0"/>
        <w:rPr>
          <w:sz w:val="20"/>
          <w:szCs w:val="20"/>
          <w:color w:val="auto"/>
        </w:rPr>
      </w:pPr>
      <w:r>
        <w:rPr>
          <w:rFonts w:ascii="Arial" w:cs="Arial" w:eastAsia="Arial" w:hAnsi="Arial"/>
          <w:sz w:val="18"/>
          <w:szCs w:val="18"/>
          <w:color w:val="auto"/>
        </w:rPr>
        <w:t>authorized delegate, as applicable, in its sole discretion from time to time as communicated to the Employee in writing.</w:t>
      </w:r>
    </w:p>
    <w:p>
      <w:pPr>
        <w:spacing w:after="0" w:line="171" w:lineRule="exact"/>
        <w:rPr>
          <w:sz w:val="20"/>
          <w:szCs w:val="20"/>
          <w:color w:val="auto"/>
        </w:rPr>
      </w:pPr>
    </w:p>
    <w:p>
      <w:pPr>
        <w:jc w:val="both"/>
        <w:ind w:left="10" w:hanging="4"/>
        <w:spacing w:after="0" w:line="256" w:lineRule="auto"/>
        <w:tabs>
          <w:tab w:leader="none" w:pos="37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47" w:lineRule="exact"/>
        <w:rPr>
          <w:rFonts w:ascii="Arial" w:cs="Arial" w:eastAsia="Arial" w:hAnsi="Arial"/>
          <w:sz w:val="18"/>
          <w:szCs w:val="18"/>
          <w:color w:val="auto"/>
        </w:rPr>
      </w:pPr>
    </w:p>
    <w:p>
      <w:pPr>
        <w:jc w:val="both"/>
        <w:ind w:left="10" w:hanging="10"/>
        <w:spacing w:after="0" w:line="254" w:lineRule="auto"/>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49" w:lineRule="exact"/>
        <w:rPr>
          <w:rFonts w:ascii="Arial" w:cs="Arial" w:eastAsia="Arial" w:hAnsi="Arial"/>
          <w:sz w:val="18"/>
          <w:szCs w:val="18"/>
          <w:color w:val="auto"/>
        </w:rPr>
      </w:pPr>
    </w:p>
    <w:p>
      <w:pPr>
        <w:ind w:left="350" w:hanging="350"/>
        <w:spacing w:after="0"/>
        <w:tabs>
          <w:tab w:leader="none" w:pos="35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685"/>
        <w:spacing w:after="0" w:line="261" w:lineRule="auto"/>
        <w:tabs>
          <w:tab w:leader="none" w:pos="47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prior to June 30, 2024, the PRSUs will be treated as set forth below.</w:t>
      </w:r>
    </w:p>
    <w:p>
      <w:pPr>
        <w:spacing w:after="0" w:line="125" w:lineRule="exact"/>
        <w:rPr>
          <w:rFonts w:ascii="Arial" w:cs="Arial" w:eastAsia="Arial" w:hAnsi="Arial"/>
          <w:sz w:val="18"/>
          <w:szCs w:val="18"/>
          <w:color w:val="auto"/>
        </w:rPr>
      </w:pPr>
    </w:p>
    <w:p>
      <w:pPr>
        <w:jc w:val="both"/>
        <w:ind w:left="1130" w:firstLine="4"/>
        <w:spacing w:after="0" w:line="266" w:lineRule="auto"/>
        <w:tabs>
          <w:tab w:leader="none" w:pos="1540"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the Employer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Termination For Good Reason following a Change in Control, the PRSUs that have not vested in accordance with Section 3 shall be canceled and forfeited on the date of such voluntary termination of employment.</w:t>
      </w:r>
    </w:p>
    <w:p>
      <w:pPr>
        <w:spacing w:after="0" w:line="121" w:lineRule="exact"/>
        <w:rPr>
          <w:rFonts w:ascii="Arial" w:cs="Arial" w:eastAsia="Arial" w:hAnsi="Arial"/>
          <w:sz w:val="18"/>
          <w:szCs w:val="18"/>
          <w:color w:val="auto"/>
        </w:rPr>
      </w:pPr>
    </w:p>
    <w:p>
      <w:pPr>
        <w:jc w:val="both"/>
        <w:ind w:left="1130" w:firstLine="4"/>
        <w:spacing w:after="0" w:line="253" w:lineRule="auto"/>
        <w:tabs>
          <w:tab w:leader="none" w:pos="1380"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In the event the Employee involuntarily ceases to be an employee of the Employer on 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nine-month anniversary of the grant date and prior to a Change in Control for any reason other than due to death, Disability or a termination for Cause, the Employee will remain eligible to vest in a prorated portion of the Vesting Tranche of PRSUs that is scheduled to vest on the Vesting Date immediately following such termination, and any dividend equivalents with respect thereto, based on the achievement of the applicable Revenue Hurdle Condition and satisfaction of the EBITDA Qualifier on the applicable Measurement Date. The number of PRSUs that the Employee will be eligible to vest in shall be prorated based on a fraction, the numerator of which is the number of full months elapsed since the most recent Vesting Date and the denominator of which is 12, and any remaining PRSUs shall be forfeited. Such prorated number of PRSUs, and any dividend equivalents with respect thereto, shall be settled within 60 days following the Vesting Date in accordance with Section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51" w:lineRule="exact"/>
        <w:rPr>
          <w:sz w:val="20"/>
          <w:szCs w:val="20"/>
          <w:color w:val="auto"/>
        </w:rPr>
      </w:pPr>
    </w:p>
    <w:p>
      <w:pPr>
        <w:ind w:left="1130"/>
        <w:spacing w:after="0" w:line="261" w:lineRule="auto"/>
        <w:rPr>
          <w:sz w:val="20"/>
          <w:szCs w:val="20"/>
          <w:color w:val="auto"/>
        </w:rPr>
      </w:pPr>
      <w:r>
        <w:rPr>
          <w:rFonts w:ascii="Arial" w:cs="Arial" w:eastAsia="Arial" w:hAnsi="Arial"/>
          <w:sz w:val="18"/>
          <w:szCs w:val="18"/>
          <w:color w:val="auto"/>
        </w:rPr>
        <w:t>In the event the Employee involuntarily ceases to be an employee of the Employer prior to the nine-month anniversary of the grant date, the PRSUs shall be cancelled and forfeited on the date of such termination.</w:t>
      </w:r>
    </w:p>
    <w:p>
      <w:pPr>
        <w:spacing w:after="0" w:line="126" w:lineRule="exact"/>
        <w:rPr>
          <w:sz w:val="20"/>
          <w:szCs w:val="20"/>
          <w:color w:val="auto"/>
        </w:rPr>
      </w:pPr>
    </w:p>
    <w:p>
      <w:pPr>
        <w:jc w:val="both"/>
        <w:ind w:left="1130" w:firstLine="4"/>
        <w:spacing w:after="0" w:line="254"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70"/>
          </w:cols>
          <w:pgMar w:left="490" w:top="1111" w:right="339" w:bottom="1440" w:gutter="0" w:footer="0" w:header="0"/>
        </w:sectPr>
      </w:pPr>
    </w:p>
    <w:bookmarkStart w:id="41" w:name="page42"/>
    <w:bookmarkEnd w:id="41"/>
    <w:p>
      <w:pPr>
        <w:jc w:val="both"/>
        <w:ind w:left="982" w:firstLine="6"/>
        <w:spacing w:after="0" w:line="258"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the Employer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prior to a Change in Control, the PRSUs covered by this Agreement, and any dividend equivalents with respect thereto, shall remain eligible to vest pursuant to Section 3 as if such Employee remained employed through each applicable Vesting Date and shall be settled within 60 days following the applicable Vesting Date in accordance with Section 2, without proration.</w:t>
      </w:r>
    </w:p>
    <w:p>
      <w:pPr>
        <w:spacing w:after="0" w:line="129" w:lineRule="exact"/>
        <w:rPr>
          <w:rFonts w:ascii="Arial" w:cs="Arial" w:eastAsia="Arial" w:hAnsi="Arial"/>
          <w:sz w:val="18"/>
          <w:szCs w:val="18"/>
          <w:color w:val="auto"/>
        </w:rPr>
      </w:pPr>
    </w:p>
    <w:p>
      <w:pPr>
        <w:jc w:val="both"/>
        <w:ind w:left="982" w:firstLine="6"/>
        <w:spacing w:after="0" w:line="261" w:lineRule="auto"/>
        <w:tabs>
          <w:tab w:leader="none" w:pos="126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the Employer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Cause, the PRSUs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122" w:lineRule="exact"/>
        <w:rPr>
          <w:sz w:val="20"/>
          <w:szCs w:val="20"/>
          <w:color w:val="auto"/>
        </w:rPr>
      </w:pPr>
    </w:p>
    <w:p>
      <w:pPr>
        <w:ind w:left="422" w:hanging="422"/>
        <w:spacing w:after="0" w:line="287" w:lineRule="auto"/>
        <w:tabs>
          <w:tab w:leader="none" w:pos="52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42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Employee within two years of the occurrence of any of the following circumstances, provided that (1) such circumstance occurs without Employee’s express written consent after a Change in Control, and (2) Employee gives the Company notice of the occurrence of the offending circumstance(s) within 90 days of the first occurrence of the circumstance(s), and the Company fails to cure the circumstance(s) within 30 days of receipt of this notice (or the Company notifies Employee in writing prior to the expiration of such 30-day period that the circumstance(s) will not be cured):</w:t>
      </w:r>
    </w:p>
    <w:p>
      <w:pPr>
        <w:spacing w:after="0" w:line="150" w:lineRule="exact"/>
        <w:rPr>
          <w:sz w:val="20"/>
          <w:szCs w:val="20"/>
          <w:color w:val="auto"/>
        </w:rPr>
      </w:pPr>
    </w:p>
    <w:p>
      <w:pPr>
        <w:ind w:left="822" w:firstLine="4"/>
        <w:spacing w:after="0" w:line="261"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material diminution of Employee’s authority, duties, or responsibilities from those in effect immediately prior to a Change in Control;</w:t>
      </w:r>
    </w:p>
    <w:p>
      <w:pPr>
        <w:spacing w:after="0" w:line="143" w:lineRule="exact"/>
        <w:rPr>
          <w:rFonts w:ascii="Arial" w:cs="Arial" w:eastAsia="Arial" w:hAnsi="Arial"/>
          <w:sz w:val="18"/>
          <w:szCs w:val="18"/>
          <w:color w:val="auto"/>
        </w:rPr>
      </w:pPr>
    </w:p>
    <w:p>
      <w:pPr>
        <w:jc w:val="both"/>
        <w:ind w:left="822" w:firstLine="4"/>
        <w:spacing w:after="0" w:line="252" w:lineRule="auto"/>
        <w:tabs>
          <w:tab w:leader="none" w:pos="11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following: (1) A material reduction in Employee’s annual base salary and/or annual target bonus, (2) a failure by the Company to increase Employee’s annual base salary following a Change in Control at such periodic intervals not materially inconsistent with the Company’s practice prior thereto by at least a percentage equal to the average of the percentage increases in Employee’s base salary for the three merit pay periods immediately preceding such Change in Control, or (3) the failure to increase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52" w:lineRule="exact"/>
        <w:rPr>
          <w:rFonts w:ascii="Arial" w:cs="Arial" w:eastAsia="Arial" w:hAnsi="Arial"/>
          <w:sz w:val="18"/>
          <w:szCs w:val="18"/>
          <w:color w:val="auto"/>
        </w:rPr>
      </w:pPr>
    </w:p>
    <w:p>
      <w:pPr>
        <w:jc w:val="both"/>
        <w:ind w:left="822" w:firstLine="4"/>
        <w:spacing w:after="0" w:line="254" w:lineRule="auto"/>
        <w:tabs>
          <w:tab w:leader="none" w:pos="10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requiring Employee to be based anywhere other than in the metropolitan area in which Employee was based immediately before the Change in Control (except for required travel on the Company’s business to an extent substantially consistent with Employee’s present business travel obligations), provided that such required relocation constitutes a material change in the geographic location at which Employee is required to perform the services;</w:t>
      </w:r>
    </w:p>
    <w:p>
      <w:pPr>
        <w:spacing w:after="0" w:line="149" w:lineRule="exact"/>
        <w:rPr>
          <w:rFonts w:ascii="Arial" w:cs="Arial" w:eastAsia="Arial" w:hAnsi="Arial"/>
          <w:sz w:val="18"/>
          <w:szCs w:val="18"/>
          <w:color w:val="auto"/>
        </w:rPr>
      </w:pPr>
    </w:p>
    <w:p>
      <w:pPr>
        <w:jc w:val="both"/>
        <w:ind w:left="822" w:firstLine="4"/>
        <w:spacing w:after="0" w:line="252" w:lineRule="auto"/>
        <w:tabs>
          <w:tab w:leader="none" w:pos="11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Employee’s participation therein (or in such substitute or alternative plan) on a basis not materially less favorable, both in terms of the amount of benefits provided and the level of Employee’s participation relative to other employees, than existed at the time of the Change in Control; or</w:t>
      </w:r>
    </w:p>
    <w:p>
      <w:pPr>
        <w:spacing w:after="0" w:line="152" w:lineRule="exact"/>
        <w:rPr>
          <w:rFonts w:ascii="Arial" w:cs="Arial" w:eastAsia="Arial" w:hAnsi="Arial"/>
          <w:sz w:val="18"/>
          <w:szCs w:val="18"/>
          <w:color w:val="auto"/>
        </w:rPr>
      </w:pPr>
    </w:p>
    <w:p>
      <w:pPr>
        <w:ind w:left="822" w:firstLine="4"/>
        <w:spacing w:after="0" w:line="261"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144" w:lineRule="exact"/>
        <w:rPr>
          <w:sz w:val="20"/>
          <w:szCs w:val="20"/>
          <w:color w:val="auto"/>
        </w:rPr>
      </w:pPr>
    </w:p>
    <w:p>
      <w:pPr>
        <w:jc w:val="both"/>
        <w:ind w:left="822"/>
        <w:spacing w:after="0" w:line="256" w:lineRule="auto"/>
        <w:rPr>
          <w:sz w:val="20"/>
          <w:szCs w:val="20"/>
          <w:color w:val="auto"/>
        </w:rPr>
      </w:pPr>
      <w:r>
        <w:rPr>
          <w:rFonts w:ascii="Arial" w:cs="Arial" w:eastAsia="Arial" w:hAnsi="Arial"/>
          <w:sz w:val="18"/>
          <w:szCs w:val="18"/>
          <w:color w:val="auto"/>
        </w:rPr>
        <w:t>A termination by Employee of his or her employment shall not fail to be a Termination for Good Reason merely because of Employee’s incapacity due to physical or mental illness, or because Employee’s employment continued after the occurrence of any of the events listed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78"/>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62"/>
          </w:cols>
          <w:pgMar w:left="798" w:top="1093" w:right="339" w:bottom="1440" w:gutter="0" w:footer="0" w:header="0"/>
        </w:sectPr>
      </w:pPr>
    </w:p>
    <w:bookmarkStart w:id="42" w:name="page43"/>
    <w:bookmarkEnd w:id="42"/>
    <w:p>
      <w:pPr>
        <w:jc w:val="both"/>
        <w:ind w:left="1130"/>
        <w:spacing w:after="0" w:line="256" w:lineRule="auto"/>
        <w:rPr>
          <w:sz w:val="20"/>
          <w:szCs w:val="20"/>
          <w:color w:val="auto"/>
        </w:rPr>
      </w:pPr>
      <w:r>
        <w:rPr>
          <w:rFonts w:ascii="Arial" w:cs="Arial" w:eastAsia="Arial" w:hAnsi="Arial"/>
          <w:sz w:val="18"/>
          <w:szCs w:val="18"/>
          <w:color w:val="auto"/>
        </w:rPr>
        <w:t>subsection. For the avoidance of doubt, a Termination for Good Reason by Employee shall not mean the Company’s reasonable accommodation or modification of Employee’s authority, duties, or responsibilities because of Employee’s Disability.</w:t>
      </w:r>
    </w:p>
    <w:p>
      <w:pPr>
        <w:spacing w:after="0" w:line="126" w:lineRule="exact"/>
        <w:rPr>
          <w:sz w:val="20"/>
          <w:szCs w:val="20"/>
          <w:color w:val="auto"/>
        </w:rPr>
      </w:pPr>
    </w:p>
    <w:p>
      <w:pPr>
        <w:jc w:val="both"/>
        <w:ind w:left="7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the Employer.</w:t>
      </w:r>
    </w:p>
    <w:p>
      <w:pPr>
        <w:spacing w:after="0" w:line="171" w:lineRule="exact"/>
        <w:rPr>
          <w:sz w:val="20"/>
          <w:szCs w:val="20"/>
          <w:color w:val="auto"/>
        </w:rPr>
      </w:pPr>
    </w:p>
    <w:p>
      <w:pPr>
        <w:jc w:val="both"/>
        <w:ind w:left="7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7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21" w:lineRule="exact"/>
        <w:rPr>
          <w:sz w:val="20"/>
          <w:szCs w:val="20"/>
          <w:color w:val="auto"/>
        </w:rPr>
      </w:pPr>
    </w:p>
    <w:p>
      <w:pPr>
        <w:ind w:left="730" w:hanging="491"/>
        <w:spacing w:after="0" w:line="251" w:lineRule="auto"/>
        <w:tabs>
          <w:tab w:leader="none" w:pos="511"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xml:space="preserve">. Notwithstanding the above, the termination of the Employee’s employment with the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PRSUs shall vest and be paid as provided in Section 8(a)(ii)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such Termination Date occurs prior to the nine-month anniversary of the Date of Grant, the Employee shall be eligible to vest in a portion of the PRSUs with respect to the First Vesting Tranche to the extent that the Revenue Hurdle Condition is achieved and the EBITDA Qualifier is satisfied prorated based on a fraction, the numerator of which is the number of full months elapsed since the Date of Grant and the denominator of which is 12;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w:t>
      </w:r>
    </w:p>
    <w:p>
      <w:pPr>
        <w:spacing w:after="0" w:line="156" w:lineRule="exact"/>
        <w:rPr>
          <w:rFonts w:ascii="Arial" w:cs="Arial" w:eastAsia="Arial" w:hAnsi="Arial"/>
          <w:sz w:val="18"/>
          <w:szCs w:val="18"/>
          <w:color w:val="auto"/>
        </w:rPr>
      </w:pPr>
    </w:p>
    <w:p>
      <w:pPr>
        <w:jc w:val="both"/>
        <w:ind w:left="10" w:hanging="10"/>
        <w:spacing w:after="0" w:line="252" w:lineRule="auto"/>
        <w:tabs>
          <w:tab w:leader="none" w:pos="38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52" w:lineRule="exact"/>
        <w:rPr>
          <w:rFonts w:ascii="Arial" w:cs="Arial" w:eastAsia="Arial" w:hAnsi="Arial"/>
          <w:sz w:val="18"/>
          <w:szCs w:val="18"/>
          <w:color w:val="auto"/>
        </w:rPr>
      </w:pPr>
    </w:p>
    <w:p>
      <w:pPr>
        <w:jc w:val="both"/>
        <w:ind w:left="10" w:hanging="10"/>
        <w:spacing w:after="0" w:line="252"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151" w:lineRule="exact"/>
        <w:rPr>
          <w:rFonts w:ascii="Arial" w:cs="Arial" w:eastAsia="Arial" w:hAnsi="Arial"/>
          <w:sz w:val="18"/>
          <w:szCs w:val="18"/>
          <w:color w:val="auto"/>
        </w:rPr>
      </w:pPr>
    </w:p>
    <w:p>
      <w:pPr>
        <w:ind w:left="450" w:hanging="450"/>
        <w:spacing w:after="0"/>
        <w:tabs>
          <w:tab w:leader="none" w:pos="45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ind w:left="630" w:hanging="391"/>
        <w:spacing w:after="0" w:line="261" w:lineRule="auto"/>
        <w:tabs>
          <w:tab w:leader="none" w:pos="7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70"/>
          </w:cols>
          <w:pgMar w:left="490" w:top="1111" w:right="339" w:bottom="1440" w:gutter="0" w:footer="0" w:header="0"/>
        </w:sectPr>
      </w:pPr>
    </w:p>
    <w:bookmarkStart w:id="43" w:name="page44"/>
    <w:bookmarkEnd w:id="43"/>
    <w:p>
      <w:pPr>
        <w:ind w:left="630"/>
        <w:spacing w:after="0" w:line="261" w:lineRule="auto"/>
        <w:rPr>
          <w:sz w:val="20"/>
          <w:szCs w:val="20"/>
          <w:color w:val="auto"/>
        </w:rPr>
      </w:pPr>
      <w:r>
        <w:rPr>
          <w:rFonts w:ascii="Arial" w:cs="Arial" w:eastAsia="Arial" w:hAnsi="Arial"/>
          <w:sz w:val="18"/>
          <w:szCs w:val="18"/>
          <w:color w:val="auto"/>
        </w:rPr>
        <w:t>9(e) of the Plan regarding Plan amendment and termination and, in addition, the PRSUs are subject to modification and adjustment under Section 9(c) of the Plan;</w:t>
      </w:r>
    </w:p>
    <w:p>
      <w:pPr>
        <w:spacing w:after="0" w:line="144" w:lineRule="exact"/>
        <w:rPr>
          <w:sz w:val="20"/>
          <w:szCs w:val="20"/>
          <w:color w:val="auto"/>
        </w:rPr>
      </w:pPr>
    </w:p>
    <w:p>
      <w:pPr>
        <w:ind w:left="630" w:hanging="391"/>
        <w:spacing w:after="0" w:line="261" w:lineRule="auto"/>
        <w:tabs>
          <w:tab w:leader="none" w:pos="6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143" w:lineRule="exact"/>
        <w:rPr>
          <w:rFonts w:ascii="Arial" w:cs="Arial" w:eastAsia="Arial" w:hAnsi="Arial"/>
          <w:sz w:val="18"/>
          <w:szCs w:val="18"/>
          <w:color w:val="auto"/>
        </w:rPr>
      </w:pPr>
    </w:p>
    <w:p>
      <w:pPr>
        <w:ind w:left="630" w:hanging="391"/>
        <w:spacing w:after="0" w:line="261" w:lineRule="auto"/>
        <w:tabs>
          <w:tab w:leader="none" w:pos="6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143" w:lineRule="exact"/>
        <w:rPr>
          <w:rFonts w:ascii="Arial" w:cs="Arial" w:eastAsia="Arial" w:hAnsi="Arial"/>
          <w:sz w:val="18"/>
          <w:szCs w:val="18"/>
          <w:color w:val="auto"/>
        </w:rPr>
      </w:pPr>
    </w:p>
    <w:p>
      <w:pPr>
        <w:jc w:val="both"/>
        <w:ind w:left="630" w:hanging="391"/>
        <w:spacing w:after="0" w:line="256" w:lineRule="auto"/>
        <w:tabs>
          <w:tab w:leader="none" w:pos="6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PRSU award and Employee’s participation in the Plan will not be interpreted to form an employment contract or relationship with the Employer;</w:t>
      </w:r>
    </w:p>
    <w:p>
      <w:pPr>
        <w:spacing w:after="0" w:line="147" w:lineRule="exact"/>
        <w:rPr>
          <w:rFonts w:ascii="Arial" w:cs="Arial" w:eastAsia="Arial" w:hAnsi="Arial"/>
          <w:sz w:val="18"/>
          <w:szCs w:val="18"/>
          <w:color w:val="auto"/>
        </w:rPr>
      </w:pPr>
    </w:p>
    <w:p>
      <w:pPr>
        <w:ind w:left="630" w:hanging="391"/>
        <w:spacing w:after="0"/>
        <w:tabs>
          <w:tab w:leader="none" w:pos="6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630" w:hanging="391"/>
        <w:spacing w:after="0" w:line="256" w:lineRule="auto"/>
        <w:tabs>
          <w:tab w:leader="none" w:pos="6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47" w:lineRule="exact"/>
        <w:rPr>
          <w:rFonts w:ascii="Arial" w:cs="Arial" w:eastAsia="Arial" w:hAnsi="Arial"/>
          <w:sz w:val="18"/>
          <w:szCs w:val="18"/>
          <w:color w:val="auto"/>
        </w:rPr>
      </w:pPr>
    </w:p>
    <w:p>
      <w:pPr>
        <w:ind w:left="630" w:hanging="391"/>
        <w:spacing w:after="0" w:line="261" w:lineRule="auto"/>
        <w:tabs>
          <w:tab w:leader="none" w:pos="6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143" w:lineRule="exact"/>
        <w:rPr>
          <w:rFonts w:ascii="Arial" w:cs="Arial" w:eastAsia="Arial" w:hAnsi="Arial"/>
          <w:sz w:val="18"/>
          <w:szCs w:val="18"/>
          <w:color w:val="auto"/>
        </w:rPr>
      </w:pPr>
    </w:p>
    <w:p>
      <w:pPr>
        <w:jc w:val="both"/>
        <w:ind w:left="630" w:hanging="391"/>
        <w:spacing w:after="0" w:line="254" w:lineRule="auto"/>
        <w:tabs>
          <w:tab w:leader="none" w:pos="6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49" w:lineRule="exact"/>
        <w:rPr>
          <w:rFonts w:ascii="Arial" w:cs="Arial" w:eastAsia="Arial" w:hAnsi="Arial"/>
          <w:sz w:val="18"/>
          <w:szCs w:val="18"/>
          <w:color w:val="auto"/>
        </w:rPr>
      </w:pPr>
    </w:p>
    <w:p>
      <w:pPr>
        <w:ind w:left="610" w:hanging="371"/>
        <w:spacing w:after="0"/>
        <w:tabs>
          <w:tab w:leader="none" w:pos="6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30" w:hanging="391"/>
        <w:spacing w:after="0" w:line="252" w:lineRule="auto"/>
        <w:tabs>
          <w:tab w:leader="none" w:pos="6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53" w:lineRule="exact"/>
        <w:rPr>
          <w:rFonts w:ascii="Arial" w:cs="Arial" w:eastAsia="Arial" w:hAnsi="Arial"/>
          <w:sz w:val="18"/>
          <w:szCs w:val="18"/>
          <w:color w:val="auto"/>
        </w:rPr>
      </w:pPr>
    </w:p>
    <w:p>
      <w:pPr>
        <w:ind w:left="630" w:hanging="391"/>
        <w:spacing w:after="0" w:line="261" w:lineRule="auto"/>
        <w:tabs>
          <w:tab w:leader="none" w:pos="6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49" w:lineRule="exact"/>
        <w:rPr>
          <w:rFonts w:ascii="Arial" w:cs="Arial" w:eastAsia="Arial" w:hAnsi="Arial"/>
          <w:sz w:val="18"/>
          <w:szCs w:val="18"/>
          <w:color w:val="auto"/>
        </w:rPr>
      </w:pPr>
    </w:p>
    <w:p>
      <w:pPr>
        <w:ind w:left="10" w:hanging="10"/>
        <w:spacing w:after="0" w:line="261" w:lineRule="auto"/>
        <w:tabs>
          <w:tab w:leader="none" w:pos="52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this Award and the delivery of any shares of Common Stock hereunder are contingent on the Employee executing, and the Employee’s continued compliance with, the Non-Competition and Non-Solicitation Agreement set forth as Exhibit A to this Agreement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70"/>
          </w:cols>
          <w:pgMar w:left="490" w:top="1111" w:right="339" w:bottom="1440" w:gutter="0" w:footer="0" w:header="0"/>
        </w:sectPr>
      </w:pPr>
    </w:p>
    <w:bookmarkStart w:id="44" w:name="page45"/>
    <w:bookmarkEnd w:id="44"/>
    <w:p>
      <w:pPr>
        <w:ind w:left="10" w:hanging="10"/>
        <w:spacing w:after="0" w:line="261" w:lineRule="auto"/>
        <w:tabs>
          <w:tab w:leader="none" w:pos="51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143" w:lineRule="exact"/>
        <w:rPr>
          <w:rFonts w:ascii="Arial" w:cs="Arial" w:eastAsia="Arial" w:hAnsi="Arial"/>
          <w:sz w:val="18"/>
          <w:szCs w:val="18"/>
          <w:color w:val="auto"/>
        </w:rPr>
      </w:pPr>
    </w:p>
    <w:p>
      <w:pPr>
        <w:ind w:left="10" w:hanging="10"/>
        <w:spacing w:after="0" w:line="261" w:lineRule="auto"/>
        <w:tabs>
          <w:tab w:leader="none" w:pos="55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157" w:lineRule="exact"/>
        <w:rPr>
          <w:rFonts w:ascii="Arial" w:cs="Arial" w:eastAsia="Arial" w:hAnsi="Arial"/>
          <w:sz w:val="18"/>
          <w:szCs w:val="18"/>
          <w:color w:val="auto"/>
        </w:rPr>
      </w:pPr>
    </w:p>
    <w:p>
      <w:pPr>
        <w:jc w:val="both"/>
        <w:ind w:left="570" w:hanging="331"/>
        <w:spacing w:after="0" w:line="263" w:lineRule="auto"/>
        <w:tabs>
          <w:tab w:leader="none" w:pos="624" w:val="left"/>
        </w:tabs>
        <w:numPr>
          <w:ilvl w:val="1"/>
          <w:numId w:val="33"/>
        </w:numPr>
        <w:rPr>
          <w:rFonts w:ascii="Arial" w:cs="Arial" w:eastAsia="Arial" w:hAnsi="Arial"/>
          <w:sz w:val="19"/>
          <w:szCs w:val="19"/>
          <w:color w:val="auto"/>
        </w:rPr>
      </w:pPr>
      <w:r>
        <w:rPr>
          <w:rFonts w:ascii="Arial" w:cs="Arial" w:eastAsia="Arial" w:hAnsi="Arial"/>
          <w:sz w:val="17"/>
          <w:szCs w:val="17"/>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53" w:lineRule="exact"/>
        <w:rPr>
          <w:rFonts w:ascii="Arial" w:cs="Arial" w:eastAsia="Arial" w:hAnsi="Arial"/>
          <w:sz w:val="19"/>
          <w:szCs w:val="19"/>
          <w:color w:val="auto"/>
        </w:rPr>
      </w:pPr>
    </w:p>
    <w:p>
      <w:pPr>
        <w:jc w:val="both"/>
        <w:ind w:left="630" w:hanging="391"/>
        <w:spacing w:after="0" w:line="245" w:lineRule="auto"/>
        <w:tabs>
          <w:tab w:leader="none" w:pos="618" w:val="left"/>
        </w:tabs>
        <w:numPr>
          <w:ilvl w:val="1"/>
          <w:numId w:val="33"/>
        </w:numPr>
        <w:rPr>
          <w:rFonts w:ascii="Arial" w:cs="Arial" w:eastAsia="Arial" w:hAnsi="Arial"/>
          <w:sz w:val="20"/>
          <w:szCs w:val="20"/>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57" w:lineRule="exact"/>
        <w:rPr>
          <w:sz w:val="20"/>
          <w:szCs w:val="20"/>
          <w:color w:val="auto"/>
        </w:rPr>
      </w:pPr>
    </w:p>
    <w:p>
      <w:pPr>
        <w:jc w:val="both"/>
        <w:ind w:left="630" w:firstLine="154"/>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54" w:lineRule="exact"/>
        <w:rPr>
          <w:sz w:val="20"/>
          <w:szCs w:val="20"/>
          <w:color w:val="auto"/>
        </w:rPr>
      </w:pPr>
    </w:p>
    <w:p>
      <w:pPr>
        <w:jc w:val="both"/>
        <w:ind w:left="630" w:hanging="43"/>
        <w:spacing w:after="0" w:line="253" w:lineRule="auto"/>
        <w:tabs>
          <w:tab w:leader="none" w:pos="1142"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51" w:lineRule="exact"/>
        <w:rPr>
          <w:rFonts w:ascii="Arial" w:cs="Arial" w:eastAsia="Arial" w:hAnsi="Arial"/>
          <w:sz w:val="18"/>
          <w:szCs w:val="18"/>
          <w:color w:val="auto"/>
        </w:rPr>
      </w:pPr>
    </w:p>
    <w:p>
      <w:pPr>
        <w:jc w:val="both"/>
        <w:ind w:left="630" w:hanging="187"/>
        <w:spacing w:after="0" w:line="252" w:lineRule="auto"/>
        <w:tabs>
          <w:tab w:leader="none" w:pos="8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52" w:lineRule="exact"/>
        <w:rPr>
          <w:rFonts w:ascii="Arial" w:cs="Arial" w:eastAsia="Arial" w:hAnsi="Arial"/>
          <w:sz w:val="18"/>
          <w:szCs w:val="18"/>
          <w:color w:val="auto"/>
        </w:rPr>
      </w:pPr>
    </w:p>
    <w:p>
      <w:pPr>
        <w:jc w:val="both"/>
        <w:ind w:left="10" w:hanging="10"/>
        <w:spacing w:after="0" w:line="256" w:lineRule="auto"/>
        <w:tabs>
          <w:tab w:leader="none" w:pos="51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47" w:lineRule="exact"/>
        <w:rPr>
          <w:rFonts w:ascii="Arial" w:cs="Arial" w:eastAsia="Arial" w:hAnsi="Arial"/>
          <w:sz w:val="18"/>
          <w:szCs w:val="18"/>
          <w:color w:val="auto"/>
        </w:rPr>
      </w:pPr>
    </w:p>
    <w:p>
      <w:pPr>
        <w:ind w:left="10" w:hanging="10"/>
        <w:spacing w:after="0" w:line="261" w:lineRule="auto"/>
        <w:tabs>
          <w:tab w:leader="none" w:pos="4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70"/>
          </w:cols>
          <w:pgMar w:left="490" w:top="1111" w:right="339" w:bottom="1440" w:gutter="0" w:footer="0" w:header="0"/>
        </w:sectPr>
      </w:pPr>
    </w:p>
    <w:bookmarkStart w:id="45" w:name="page46"/>
    <w:bookmarkEnd w:id="45"/>
    <w:p>
      <w:pPr>
        <w:jc w:val="both"/>
        <w:ind w:left="10" w:hanging="10"/>
        <w:spacing w:after="0" w:line="252" w:lineRule="auto"/>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53" w:lineRule="exact"/>
        <w:rPr>
          <w:rFonts w:ascii="Arial" w:cs="Arial" w:eastAsia="Arial" w:hAnsi="Arial"/>
          <w:sz w:val="18"/>
          <w:szCs w:val="18"/>
          <w:color w:val="auto"/>
        </w:rPr>
      </w:pPr>
    </w:p>
    <w:p>
      <w:pPr>
        <w:ind w:left="10" w:hanging="10"/>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52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51" w:lineRule="exact"/>
        <w:rPr>
          <w:rFonts w:ascii="Arial" w:cs="Arial" w:eastAsia="Arial" w:hAnsi="Arial"/>
          <w:sz w:val="18"/>
          <w:szCs w:val="18"/>
          <w:color w:val="auto"/>
        </w:rPr>
      </w:pPr>
    </w:p>
    <w:p>
      <w:pPr>
        <w:jc w:val="both"/>
        <w:ind w:left="10" w:hanging="10"/>
        <w:spacing w:after="0" w:line="256" w:lineRule="auto"/>
        <w:tabs>
          <w:tab w:leader="none" w:pos="31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4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51"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1" w:lineRule="exact"/>
        <w:rPr>
          <w:sz w:val="20"/>
          <w:szCs w:val="20"/>
          <w:color w:val="auto"/>
        </w:rPr>
      </w:pPr>
    </w:p>
    <w:p>
      <w:pPr>
        <w:jc w:val="both"/>
        <w:ind w:left="10" w:hanging="10"/>
        <w:spacing w:after="0" w:line="254" w:lineRule="auto"/>
        <w:tabs>
          <w:tab w:leader="none" w:pos="2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0"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54" w:lineRule="exact"/>
        <w:rPr>
          <w:sz w:val="20"/>
          <w:szCs w:val="20"/>
          <w:color w:val="auto"/>
        </w:rPr>
      </w:pPr>
    </w:p>
    <w:p>
      <w:pPr>
        <w:jc w:val="both"/>
        <w:ind w:left="10" w:hanging="10"/>
        <w:spacing w:after="0" w:line="256" w:lineRule="auto"/>
        <w:tabs>
          <w:tab w:leader="none" w:pos="57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7" w:lineRule="exact"/>
        <w:rPr>
          <w:rFonts w:ascii="Arial" w:cs="Arial" w:eastAsia="Arial" w:hAnsi="Arial"/>
          <w:sz w:val="18"/>
          <w:szCs w:val="18"/>
          <w:color w:val="auto"/>
        </w:rPr>
      </w:pPr>
    </w:p>
    <w:p>
      <w:pPr>
        <w:ind w:left="10" w:hanging="10"/>
        <w:spacing w:after="0" w:line="261" w:lineRule="auto"/>
        <w:tabs>
          <w:tab w:leader="none" w:pos="52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43" w:lineRule="exact"/>
        <w:rPr>
          <w:rFonts w:ascii="Arial" w:cs="Arial" w:eastAsia="Arial" w:hAnsi="Arial"/>
          <w:sz w:val="18"/>
          <w:szCs w:val="18"/>
          <w:color w:val="auto"/>
        </w:rPr>
      </w:pPr>
    </w:p>
    <w:p>
      <w:pPr>
        <w:ind w:left="10" w:hanging="10"/>
        <w:spacing w:after="0" w:line="261" w:lineRule="auto"/>
        <w:tabs>
          <w:tab w:leader="none" w:pos="47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70"/>
          </w:cols>
          <w:pgMar w:left="490" w:top="1111" w:right="339" w:bottom="1440" w:gutter="0" w:footer="0" w:header="0"/>
        </w:sectPr>
      </w:pPr>
    </w:p>
    <w:bookmarkStart w:id="46" w:name="page47"/>
    <w:bookmarkEnd w:id="46"/>
    <w:p>
      <w:pPr>
        <w:jc w:val="both"/>
        <w:ind w:left="10"/>
        <w:spacing w:after="0" w:line="262" w:lineRule="auto"/>
        <w:rPr>
          <w:sz w:val="20"/>
          <w:szCs w:val="20"/>
          <w:color w:val="auto"/>
        </w:rPr>
      </w:pPr>
      <w:r>
        <w:rPr>
          <w:rFonts w:ascii="Arial" w:cs="Arial" w:eastAsia="Arial" w:hAnsi="Arial"/>
          <w:sz w:val="18"/>
          <w:szCs w:val="18"/>
          <w:color w:val="auto"/>
        </w:rPr>
        <w:t>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44" w:lineRule="exact"/>
        <w:rPr>
          <w:sz w:val="20"/>
          <w:szCs w:val="20"/>
          <w:color w:val="auto"/>
        </w:rPr>
      </w:pPr>
    </w:p>
    <w:p>
      <w:pPr>
        <w:jc w:val="both"/>
        <w:ind w:left="10" w:hanging="10"/>
        <w:spacing w:after="0" w:line="253" w:lineRule="auto"/>
        <w:tabs>
          <w:tab w:leader="none" w:pos="56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69" w:lineRule="exact"/>
        <w:rPr>
          <w:sz w:val="20"/>
          <w:szCs w:val="20"/>
          <w:color w:val="auto"/>
        </w:rPr>
      </w:pPr>
    </w:p>
    <w:p>
      <w:pPr>
        <w:ind w:left="5030"/>
        <w:spacing w:after="0"/>
        <w:rPr>
          <w:sz w:val="20"/>
          <w:szCs w:val="20"/>
          <w:color w:val="auto"/>
        </w:rPr>
      </w:pPr>
      <w:r>
        <w:rPr>
          <w:rFonts w:ascii="Arial" w:cs="Arial" w:eastAsia="Arial" w:hAnsi="Arial"/>
          <w:sz w:val="22"/>
          <w:szCs w:val="22"/>
          <w:color w:val="auto"/>
        </w:rPr>
        <w:t>CONDUENT INCORPORATED</w:t>
      </w:r>
    </w:p>
    <w:p>
      <w:pPr>
        <w:spacing w:after="0" w:line="200" w:lineRule="exact"/>
        <w:rPr>
          <w:sz w:val="20"/>
          <w:szCs w:val="20"/>
          <w:color w:val="auto"/>
        </w:rPr>
      </w:pPr>
    </w:p>
    <w:p>
      <w:pPr>
        <w:spacing w:after="0" w:line="283"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By: /s/ CHRISTOPHER KUJAWA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3354070</wp:posOffset>
            </wp:positionH>
            <wp:positionV relativeFrom="paragraph">
              <wp:posOffset>-10160</wp:posOffset>
            </wp:positionV>
            <wp:extent cx="1433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433195" cy="8890"/>
                    </a:xfrm>
                    <a:prstGeom prst="rect">
                      <a:avLst/>
                    </a:prstGeom>
                    <a:noFill/>
                  </pic:spPr>
                </pic:pic>
              </a:graphicData>
            </a:graphic>
          </wp:anchor>
        </w:drawing>
      </w:r>
    </w:p>
    <w:p>
      <w:pPr>
        <w:spacing w:after="0" w:line="3"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Christopher Kujawa, Chief Human Resources Officer</w:t>
      </w:r>
    </w:p>
    <w:p>
      <w:pPr>
        <w:spacing w:after="0" w:line="9"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Date: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70"/>
          </w:cols>
          <w:pgMar w:left="490" w:top="108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333333"/>
        </w:rPr>
        <w:t>Non-Competition and Non-Solicitation Agreement</w:t>
      </w:r>
    </w:p>
    <w:p>
      <w:pPr>
        <w:spacing w:after="0" w:line="3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This Non-Competition and Non-Solicitation Agreement (“Agreement”) is made effective as of June 30, 2021 (“Effective Date”) between Conduent Business Services, LLC, its parent, subsidiaries, divisions and affiliates (collectively, “Conduent”) and the individual whose name appears in the Award Summary (“Employee”).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acknowledges that Conduent is in a competitive industry in which the creation, maintenance, and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Conduent and Employee agree as follows:</w:t>
      </w:r>
    </w:p>
    <w:p>
      <w:pPr>
        <w:spacing w:after="0" w:line="243" w:lineRule="exact"/>
        <w:rPr>
          <w:sz w:val="20"/>
          <w:szCs w:val="20"/>
          <w:color w:val="auto"/>
        </w:rPr>
      </w:pPr>
    </w:p>
    <w:p>
      <w:pPr>
        <w:jc w:val="both"/>
        <w:ind w:left="340" w:right="560" w:hanging="332"/>
        <w:spacing w:after="0" w:line="258" w:lineRule="auto"/>
        <w:tabs>
          <w:tab w:leader="none" w:pos="340"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(a) During the Non-Compete Period, Employee will not, directly or indirectly, own (beneficially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manage, operate, or render any services for (including, but not limited to, as an employee, proprietor, partner, agent, contractor, or consultant) any Entity that is engaged in any Competitive Activity in the Geographical Area.</w:t>
      </w:r>
    </w:p>
    <w:p>
      <w:pPr>
        <w:spacing w:after="0" w:line="192" w:lineRule="exact"/>
        <w:rPr>
          <w:rFonts w:ascii="Arial" w:cs="Arial" w:eastAsia="Arial" w:hAnsi="Arial"/>
          <w:sz w:val="19"/>
          <w:szCs w:val="19"/>
          <w:color w:val="auto"/>
        </w:rPr>
      </w:pPr>
    </w:p>
    <w:p>
      <w:pPr>
        <w:ind w:left="820" w:hanging="488"/>
        <w:spacing w:after="0"/>
        <w:tabs>
          <w:tab w:leader="none" w:pos="820" w:val="left"/>
        </w:tabs>
        <w:numPr>
          <w:ilvl w:val="1"/>
          <w:numId w:val="41"/>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will have the meaning set forth below:</w:t>
      </w:r>
    </w:p>
    <w:p>
      <w:pPr>
        <w:spacing w:after="0" w:line="229" w:lineRule="exact"/>
        <w:rPr>
          <w:rFonts w:ascii="Arial" w:cs="Arial" w:eastAsia="Arial" w:hAnsi="Arial"/>
          <w:sz w:val="20"/>
          <w:szCs w:val="20"/>
          <w:color w:val="auto"/>
        </w:rPr>
      </w:pPr>
    </w:p>
    <w:p>
      <w:pPr>
        <w:jc w:val="both"/>
        <w:ind w:left="1300" w:hanging="80"/>
        <w:spacing w:after="0" w:line="231" w:lineRule="auto"/>
        <w:tabs>
          <w:tab w:leader="none" w:pos="1702" w:val="left"/>
        </w:tabs>
        <w:numPr>
          <w:ilvl w:val="2"/>
          <w:numId w:val="41"/>
        </w:numPr>
        <w:rPr>
          <w:rFonts w:ascii="Arial" w:cs="Arial" w:eastAsia="Arial" w:hAnsi="Arial"/>
          <w:sz w:val="20"/>
          <w:szCs w:val="20"/>
          <w:color w:val="auto"/>
        </w:rPr>
      </w:pPr>
      <w:r>
        <w:rPr>
          <w:rFonts w:ascii="Arial" w:cs="Arial" w:eastAsia="Arial" w:hAnsi="Arial"/>
          <w:sz w:val="20"/>
          <w:szCs w:val="20"/>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hanging="12"/>
        <w:spacing w:after="0" w:line="246" w:lineRule="auto"/>
        <w:tabs>
          <w:tab w:leader="none" w:pos="1911" w:val="left"/>
        </w:tabs>
        <w:numPr>
          <w:ilvl w:val="0"/>
          <w:numId w:val="42"/>
        </w:numPr>
        <w:rPr>
          <w:rFonts w:ascii="Arial" w:cs="Arial" w:eastAsia="Arial" w:hAnsi="Arial"/>
          <w:sz w:val="20"/>
          <w:szCs w:val="20"/>
          <w:color w:val="auto"/>
        </w:rPr>
      </w:pPr>
      <w:r>
        <w:rPr>
          <w:rFonts w:ascii="Arial" w:cs="Arial" w:eastAsia="Arial" w:hAnsi="Arial"/>
          <w:sz w:val="20"/>
          <w:szCs w:val="20"/>
          <w:color w:val="auto"/>
        </w:rPr>
        <w:t>“Employment Cessation Date” means the earlier of Employee’s last day of active employment with Conduent or Employee’s termination date as reflected in Conduent’s records.</w:t>
      </w:r>
    </w:p>
    <w:p>
      <w:pPr>
        <w:spacing w:after="0" w:line="204" w:lineRule="exact"/>
        <w:rPr>
          <w:sz w:val="20"/>
          <w:szCs w:val="20"/>
          <w:color w:val="auto"/>
        </w:rPr>
      </w:pPr>
    </w:p>
    <w:p>
      <w:pPr>
        <w:ind w:left="1300" w:hanging="45"/>
        <w:spacing w:after="0" w:line="246" w:lineRule="auto"/>
        <w:tabs>
          <w:tab w:leader="none" w:pos="1891" w:val="left"/>
        </w:tabs>
        <w:numPr>
          <w:ilvl w:val="0"/>
          <w:numId w:val="43"/>
        </w:numPr>
        <w:rPr>
          <w:rFonts w:ascii="Arial" w:cs="Arial" w:eastAsia="Arial" w:hAnsi="Arial"/>
          <w:sz w:val="20"/>
          <w:szCs w:val="20"/>
          <w:color w:val="auto"/>
        </w:rPr>
      </w:pPr>
      <w:r>
        <w:rPr>
          <w:rFonts w:ascii="Arial" w:cs="Arial" w:eastAsia="Arial" w:hAnsi="Arial"/>
          <w:sz w:val="20"/>
          <w:szCs w:val="20"/>
          <w:color w:val="auto"/>
        </w:rPr>
        <w:t>“Entity” means an individual, partnership, corporation, association, limited liability company, joint stock company, trust, joint venture, unincorporated organization or any other entity.</w:t>
      </w:r>
    </w:p>
    <w:p>
      <w:pPr>
        <w:spacing w:after="0" w:line="203" w:lineRule="exact"/>
        <w:rPr>
          <w:rFonts w:ascii="Arial" w:cs="Arial" w:eastAsia="Arial" w:hAnsi="Arial"/>
          <w:sz w:val="20"/>
          <w:szCs w:val="20"/>
          <w:color w:val="auto"/>
        </w:rPr>
      </w:pPr>
    </w:p>
    <w:p>
      <w:pPr>
        <w:jc w:val="both"/>
        <w:ind w:left="1300" w:hanging="46"/>
        <w:spacing w:after="0" w:line="237" w:lineRule="auto"/>
        <w:tabs>
          <w:tab w:leader="none" w:pos="181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9" w:right="339" w:bottom="1440" w:gutter="0" w:footer="0" w:header="0"/>
        </w:sectPr>
      </w:pPr>
    </w:p>
    <w:bookmarkStart w:id="48" w:name="page49"/>
    <w:bookmarkEnd w:id="48"/>
    <w:p>
      <w:pPr>
        <w:ind w:left="1300" w:hanging="861"/>
        <w:spacing w:after="0" w:line="272" w:lineRule="auto"/>
        <w:tabs>
          <w:tab w:leader="none" w:pos="881" w:val="left"/>
        </w:tabs>
        <w:numPr>
          <w:ilvl w:val="0"/>
          <w:numId w:val="44"/>
        </w:numPr>
        <w:rPr>
          <w:rFonts w:ascii="Arial" w:cs="Arial" w:eastAsia="Arial" w:hAnsi="Arial"/>
          <w:sz w:val="19"/>
          <w:szCs w:val="19"/>
          <w:color w:val="auto"/>
        </w:rPr>
      </w:pPr>
      <w:r>
        <w:rPr>
          <w:rFonts w:ascii="Arial" w:cs="Arial" w:eastAsia="Arial" w:hAnsi="Arial"/>
          <w:sz w:val="19"/>
          <w:szCs w:val="19"/>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80"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 w:lineRule="exact"/>
        <w:rPr>
          <w:sz w:val="20"/>
          <w:szCs w:val="20"/>
          <w:color w:val="auto"/>
        </w:rPr>
      </w:pPr>
    </w:p>
    <w:p>
      <w:pPr>
        <w:jc w:val="both"/>
        <w:ind w:left="340" w:hanging="332"/>
        <w:spacing w:after="0" w:line="239" w:lineRule="auto"/>
        <w:tabs>
          <w:tab w:leader="none" w:pos="412"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Non-Solicitation of Customers. </w:t>
      </w:r>
      <w:r>
        <w:rPr>
          <w:rFonts w:ascii="Arial" w:cs="Arial" w:eastAsia="Arial" w:hAnsi="Arial"/>
          <w:sz w:val="19"/>
          <w:szCs w:val="19"/>
          <w:color w:val="auto"/>
        </w:rPr>
        <w:t>During the term of Employee’s employment and for a period of twelve (12) months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75" w:lineRule="exact"/>
        <w:rPr>
          <w:rFonts w:ascii="Arial" w:cs="Arial" w:eastAsia="Arial" w:hAnsi="Arial"/>
          <w:sz w:val="19"/>
          <w:szCs w:val="19"/>
          <w:color w:val="auto"/>
        </w:rPr>
      </w:pPr>
    </w:p>
    <w:p>
      <w:pPr>
        <w:ind w:left="340" w:hanging="332"/>
        <w:spacing w:after="0" w:line="252"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Non-Solicitation of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Non-Solicit Period, as defined above, Employee will not, directly or indirectly, recruit,</w:t>
      </w:r>
      <w:r>
        <w:rPr>
          <w:rFonts w:ascii="Arial" w:cs="Arial" w:eastAsia="Arial" w:hAnsi="Arial"/>
          <w:sz w:val="20"/>
          <w:szCs w:val="20"/>
          <w:b w:val="1"/>
          <w:bCs w:val="1"/>
          <w:color w:val="auto"/>
        </w:rPr>
        <w:t xml:space="preserve"> </w:t>
      </w:r>
      <w:r>
        <w:rPr>
          <w:rFonts w:ascii="Arial" w:cs="Arial" w:eastAsia="Arial" w:hAnsi="Arial"/>
          <w:sz w:val="20"/>
          <w:szCs w:val="20"/>
          <w:color w:val="auto"/>
        </w:rPr>
        <w:t>solicit, induce, encourage or assist any employee of Conduent to leave Employee’s employment with Conduent.</w:t>
      </w:r>
    </w:p>
    <w:p>
      <w:pPr>
        <w:spacing w:after="0" w:line="17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color w:val="auto"/>
        </w:rPr>
        <w:t>. During the Non-Compete Period, Employee agrees that Employee will not, directly or indirectly, in any capacity</w:t>
      </w:r>
      <w:r>
        <w:rPr>
          <w:rFonts w:ascii="Arial" w:cs="Arial" w:eastAsia="Arial" w:hAnsi="Arial"/>
          <w:sz w:val="20"/>
          <w:szCs w:val="20"/>
          <w:b w:val="1"/>
          <w:bCs w:val="1"/>
          <w:color w:val="auto"/>
        </w:rPr>
        <w:t xml:space="preserve"> </w:t>
      </w:r>
      <w:r>
        <w:rPr>
          <w:rFonts w:ascii="Arial" w:cs="Arial" w:eastAsia="Arial" w:hAnsi="Arial"/>
          <w:sz w:val="20"/>
          <w:szCs w:val="20"/>
          <w:color w:val="auto"/>
        </w:rPr>
        <w:t>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88"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At Will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and Conduent agree and acknowledge that Employee’s employment with Conduent is at-will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60" w:lineRule="exact"/>
        <w:rPr>
          <w:rFonts w:ascii="Arial" w:cs="Arial" w:eastAsia="Arial" w:hAnsi="Arial"/>
          <w:sz w:val="20"/>
          <w:szCs w:val="20"/>
          <w:color w:val="auto"/>
        </w:rPr>
      </w:pPr>
    </w:p>
    <w:p>
      <w:pPr>
        <w:jc w:val="both"/>
        <w:ind w:left="340" w:hanging="332"/>
        <w:spacing w:after="0" w:line="258" w:lineRule="auto"/>
        <w:tabs>
          <w:tab w:leader="none" w:pos="340" w:val="left"/>
        </w:tabs>
        <w:numPr>
          <w:ilvl w:val="0"/>
          <w:numId w:val="45"/>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Certain Other Obligations</w:t>
      </w:r>
      <w:r>
        <w:rPr>
          <w:rFonts w:ascii="Arial" w:cs="Arial" w:eastAsia="Arial" w:hAnsi="Arial"/>
          <w:sz w:val="19"/>
          <w:szCs w:val="19"/>
          <w:color w:val="auto"/>
        </w:rPr>
        <w:t>. Employee and Conduent agree that any prior agreement between Employee and Conduent</w:t>
      </w:r>
      <w:r>
        <w:rPr>
          <w:rFonts w:ascii="Arial" w:cs="Arial" w:eastAsia="Arial" w:hAnsi="Arial"/>
          <w:sz w:val="19"/>
          <w:szCs w:val="19"/>
          <w:b w:val="1"/>
          <w:bCs w:val="1"/>
          <w:color w:val="auto"/>
        </w:rPr>
        <w:t xml:space="preserve"> </w:t>
      </w:r>
      <w:r>
        <w:rPr>
          <w:rFonts w:ascii="Arial" w:cs="Arial" w:eastAsia="Arial" w:hAnsi="Arial"/>
          <w:sz w:val="19"/>
          <w:szCs w:val="19"/>
          <w:color w:val="auto"/>
        </w:rPr>
        <w:t>containing a non-compete obligation, a non-solicitation of customers obligation or a non-solicitation of employees obligation is hereby terminated and Employee shall only be subject to this Agreement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-4272915</wp:posOffset>
            </wp:positionV>
            <wp:extent cx="1693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693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38" w:right="339" w:bottom="1440" w:gutter="0" w:footer="0" w:header="0"/>
        </w:sectPr>
      </w:pPr>
    </w:p>
    <w:bookmarkStart w:id="49" w:name="page50"/>
    <w:bookmarkEnd w:id="49"/>
    <w:p>
      <w:pPr>
        <w:ind w:left="340" w:right="20"/>
        <w:spacing w:after="0" w:line="246" w:lineRule="auto"/>
        <w:rPr>
          <w:sz w:val="20"/>
          <w:szCs w:val="20"/>
          <w:color w:val="auto"/>
        </w:rPr>
      </w:pPr>
      <w:r>
        <w:rPr>
          <w:rFonts w:ascii="Arial" w:cs="Arial" w:eastAsia="Arial" w:hAnsi="Arial"/>
          <w:sz w:val="20"/>
          <w:szCs w:val="20"/>
          <w:color w:val="auto"/>
        </w:rPr>
        <w:t>Except as provided by the preceding sentence, all other terms of all agreements between Employee and Conduent shall remain in full effect.</w:t>
      </w:r>
    </w:p>
    <w:p>
      <w:pPr>
        <w:spacing w:after="0" w:line="252" w:lineRule="exact"/>
        <w:rPr>
          <w:sz w:val="20"/>
          <w:szCs w:val="20"/>
          <w:color w:val="auto"/>
        </w:rPr>
      </w:pPr>
    </w:p>
    <w:p>
      <w:pPr>
        <w:jc w:val="both"/>
        <w:ind w:left="340" w:hanging="332"/>
        <w:spacing w:after="0" w:line="247" w:lineRule="auto"/>
        <w:tabs>
          <w:tab w:leader="none" w:pos="340"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Equitable Relief.</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Employee and Conduent agree that, in the event of breach of this Agreement by Employee, Conduent would be</w:t>
      </w:r>
      <w:r>
        <w:rPr>
          <w:rFonts w:ascii="Arial" w:cs="Arial" w:eastAsia="Arial" w:hAnsi="Arial"/>
          <w:sz w:val="19"/>
          <w:szCs w:val="19"/>
          <w:b w:val="1"/>
          <w:bCs w:val="1"/>
          <w:color w:val="auto"/>
        </w:rPr>
        <w:t xml:space="preserve"> </w:t>
      </w:r>
      <w:r>
        <w:rPr>
          <w:rFonts w:ascii="Arial" w:cs="Arial" w:eastAsia="Arial" w:hAnsi="Arial"/>
          <w:sz w:val="19"/>
          <w:szCs w:val="19"/>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 from the other party.</w:t>
      </w:r>
    </w:p>
    <w:p>
      <w:pPr>
        <w:spacing w:after="0" w:line="266" w:lineRule="exact"/>
        <w:rPr>
          <w:rFonts w:ascii="Arial" w:cs="Arial" w:eastAsia="Arial" w:hAnsi="Arial"/>
          <w:sz w:val="19"/>
          <w:szCs w:val="19"/>
          <w:color w:val="auto"/>
        </w:rPr>
      </w:pPr>
    </w:p>
    <w:p>
      <w:pPr>
        <w:jc w:val="both"/>
        <w:ind w:left="340" w:hanging="332"/>
        <w:spacing w:after="0" w:line="235"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highlight w:val="white"/>
        </w:rPr>
        <w:t>: This Agreement shall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73"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In the event that any of the provisions of this Agreement is deemed unenforceable or to exceed the protections afforded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60" w:lineRule="exact"/>
        <w:rPr>
          <w:rFonts w:ascii="Arial" w:cs="Arial" w:eastAsia="Arial" w:hAnsi="Arial"/>
          <w:sz w:val="20"/>
          <w:szCs w:val="20"/>
          <w:color w:val="auto"/>
        </w:rPr>
      </w:pPr>
    </w:p>
    <w:p>
      <w:pPr>
        <w:ind w:left="340" w:hanging="332"/>
        <w:spacing w:after="0" w:line="307" w:lineRule="auto"/>
        <w:tabs>
          <w:tab w:leader="none" w:pos="331"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highlight w:val="white"/>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12" w:lineRule="exact"/>
        <w:rPr>
          <w:rFonts w:ascii="Arial" w:cs="Arial" w:eastAsia="Arial" w:hAnsi="Arial"/>
          <w:sz w:val="18"/>
          <w:szCs w:val="18"/>
          <w:color w:val="auto"/>
        </w:rPr>
      </w:pPr>
    </w:p>
    <w:p>
      <w:pPr>
        <w:jc w:val="both"/>
        <w:ind w:left="340" w:hanging="332"/>
        <w:spacing w:after="0" w:line="239" w:lineRule="auto"/>
        <w:tabs>
          <w:tab w:leader="none" w:pos="323"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No Waiver</w:t>
      </w:r>
      <w:r>
        <w:rPr>
          <w:rFonts w:ascii="Arial" w:cs="Arial" w:eastAsia="Arial" w:hAnsi="Arial"/>
          <w:sz w:val="20"/>
          <w:szCs w:val="20"/>
          <w:color w:val="auto"/>
        </w:rPr>
        <w:t>. Any failure by Conduent to exercise any of its rights under this Agreement in the event of any breach of the Agreement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20"/>
          <w:szCs w:val="20"/>
          <w:color w:val="auto"/>
        </w:rPr>
      </w:pPr>
    </w:p>
    <w:p>
      <w:pPr>
        <w:jc w:val="both"/>
        <w:ind w:left="340" w:hanging="332"/>
        <w:spacing w:after="0" w:line="247" w:lineRule="auto"/>
        <w:tabs>
          <w:tab w:leader="none" w:pos="331"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assignable to and shall inure to the benefit of Conduent’s successors and assigns, including,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0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10.6(a)(xii)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3"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has authorized the execution and delivery of this Agreement.</w:t>
      </w:r>
    </w:p>
    <w:p>
      <w:pPr>
        <w:spacing w:after="0" w:line="139" w:lineRule="exact"/>
        <w:rPr>
          <w:sz w:val="20"/>
          <w:szCs w:val="20"/>
          <w:color w:val="auto"/>
        </w:rPr>
      </w:pPr>
    </w:p>
    <w:p>
      <w:pPr>
        <w:jc w:val="both"/>
        <w:ind w:left="10"/>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22"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the applicable number of Performance Restricted Stock Units granted pursuant hereto, and the value of a share of Common Stock on the Date of Grant (the “</w:t>
      </w:r>
      <w:r>
        <w:rPr>
          <w:rFonts w:ascii="Arial" w:cs="Arial" w:eastAsia="Arial" w:hAnsi="Arial"/>
          <w:sz w:val="18"/>
          <w:szCs w:val="18"/>
          <w:b w:val="1"/>
          <w:bCs w:val="1"/>
          <w:i w:val="1"/>
          <w:iCs w:val="1"/>
          <w:color w:val="auto"/>
        </w:rPr>
        <w:t>Share Base Price</w:t>
      </w:r>
      <w:r>
        <w:rPr>
          <w:rFonts w:ascii="Arial" w:cs="Arial" w:eastAsia="Arial" w:hAnsi="Arial"/>
          <w:sz w:val="18"/>
          <w:szCs w:val="18"/>
          <w:color w:val="auto"/>
        </w:rPr>
        <w:t>”). The Award Summary is incorporated herein in its entirety.</w:t>
      </w:r>
    </w:p>
    <w:p>
      <w:pPr>
        <w:spacing w:after="0" w:line="144"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61"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93" w:lineRule="exact"/>
        <w:rPr>
          <w:sz w:val="20"/>
          <w:szCs w:val="20"/>
          <w:color w:val="auto"/>
        </w:rPr>
      </w:pPr>
    </w:p>
    <w:p>
      <w:pPr>
        <w:jc w:val="both"/>
        <w:ind w:left="10" w:hanging="10"/>
        <w:spacing w:after="0" w:line="256" w:lineRule="auto"/>
        <w:tabs>
          <w:tab w:leader="none" w:pos="38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26"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93" w:lineRule="exact"/>
        <w:rPr>
          <w:sz w:val="20"/>
          <w:szCs w:val="20"/>
          <w:color w:val="auto"/>
        </w:rPr>
      </w:pPr>
    </w:p>
    <w:p>
      <w:pPr>
        <w:jc w:val="both"/>
        <w:ind w:left="10" w:hanging="10"/>
        <w:spacing w:after="0" w:line="253" w:lineRule="auto"/>
        <w:tabs>
          <w:tab w:leader="none" w:pos="38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each applicable Vesting Date (as defined below) (or such earlier date provided in Section 8) in connection with the PRSUs, the Company shall deliver to the Employee, in such manner as the Company shall determine, a number of shares of Common Stock equal to the number of vested PRSUs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9" w:lineRule="exact"/>
        <w:rPr>
          <w:rFonts w:ascii="Arial" w:cs="Arial" w:eastAsia="Arial" w:hAnsi="Arial"/>
          <w:sz w:val="18"/>
          <w:szCs w:val="18"/>
          <w:color w:val="auto"/>
        </w:rPr>
      </w:pPr>
    </w:p>
    <w:p>
      <w:pPr>
        <w:jc w:val="both"/>
        <w:ind w:left="10" w:hanging="10"/>
        <w:spacing w:after="0" w:line="259" w:lineRule="auto"/>
        <w:tabs>
          <w:tab w:leader="none" w:pos="21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both a service-based vesting condition (the “</w:t>
      </w:r>
      <w:r>
        <w:rPr>
          <w:rFonts w:ascii="Arial" w:cs="Arial" w:eastAsia="Arial" w:hAnsi="Arial"/>
          <w:sz w:val="18"/>
          <w:szCs w:val="18"/>
          <w:b w:val="1"/>
          <w:bCs w:val="1"/>
          <w:i w:val="1"/>
          <w:iCs w:val="1"/>
          <w:color w:val="auto"/>
        </w:rPr>
        <w:t>Service Condition</w:t>
      </w:r>
      <w:r>
        <w:rPr>
          <w:rFonts w:ascii="Arial" w:cs="Arial" w:eastAsia="Arial" w:hAnsi="Arial"/>
          <w:sz w:val="18"/>
          <w:szCs w:val="18"/>
          <w:color w:val="auto"/>
        </w:rPr>
        <w:t>”), which will be satisfied based on the Employee’s employment with the Company or a subsidiary or Affiliate, and a performance-based vesting condition (the “</w:t>
      </w:r>
      <w:r>
        <w:rPr>
          <w:rFonts w:ascii="Arial" w:cs="Arial" w:eastAsia="Arial" w:hAnsi="Arial"/>
          <w:sz w:val="18"/>
          <w:szCs w:val="18"/>
          <w:b w:val="1"/>
          <w:bCs w:val="1"/>
          <w:i w:val="1"/>
          <w:iCs w:val="1"/>
          <w:color w:val="auto"/>
        </w:rPr>
        <w:t>Share Price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Condition</w:t>
      </w:r>
      <w:r>
        <w:rPr>
          <w:rFonts w:ascii="Arial" w:cs="Arial" w:eastAsia="Arial" w:hAnsi="Arial"/>
          <w:sz w:val="18"/>
          <w:szCs w:val="18"/>
          <w:color w:val="auto"/>
        </w:rPr>
        <w:t>”) which will be satisfied based on the achievement of share price conditions specified below. The PRSUs are divided into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tranches (the “</w:t>
      </w:r>
      <w:r>
        <w:rPr>
          <w:rFonts w:ascii="Arial" w:cs="Arial" w:eastAsia="Arial" w:hAnsi="Arial"/>
          <w:sz w:val="18"/>
          <w:szCs w:val="18"/>
          <w:b w:val="1"/>
          <w:bCs w:val="1"/>
          <w:i w:val="1"/>
          <w:iCs w:val="1"/>
          <w:color w:val="auto"/>
        </w:rPr>
        <w:t>First Vesting Tranche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Second Vesting Tranche</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Third Vesting Tranche</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Tranche</w:t>
      </w:r>
      <w:r>
        <w:rPr>
          <w:rFonts w:ascii="Arial" w:cs="Arial" w:eastAsia="Arial" w:hAnsi="Arial"/>
          <w:sz w:val="18"/>
          <w:szCs w:val="18"/>
          <w:color w:val="auto"/>
        </w:rPr>
        <w:t>”), with each Vesting Tranche covering 1/3 of the PRSUs.</w:t>
      </w:r>
    </w:p>
    <w:p>
      <w:pPr>
        <w:spacing w:after="0" w:line="125"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for each applicable Vesting Tranche shall be the first day upon which both the Service Condition and the Share Price Condition related to such Vesting Tranche are satisfied, as set forth in the table below.</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345"/>
        </w:trPr>
        <w:tc>
          <w:tcPr>
            <w:tcW w:w="24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800" w:type="dxa"/>
            <w:vAlign w:val="bottom"/>
            <w:tcBorders>
              <w:top w:val="single" w:sz="8" w:color="auto"/>
              <w:right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 xml:space="preserve">Each tranche vests after </w:t>
            </w:r>
            <w:r>
              <w:rPr>
                <w:rFonts w:ascii="Arial" w:cs="Arial" w:eastAsia="Arial" w:hAnsi="Arial"/>
                <w:sz w:val="16"/>
                <w:szCs w:val="16"/>
                <w:b w:val="1"/>
                <w:bCs w:val="1"/>
                <w:i w:val="1"/>
                <w:iCs w:val="1"/>
                <w:color w:val="auto"/>
              </w:rPr>
              <w:t>both</w:t>
            </w:r>
            <w:r>
              <w:rPr>
                <w:rFonts w:ascii="Arial" w:cs="Arial" w:eastAsia="Arial" w:hAnsi="Arial"/>
                <w:sz w:val="16"/>
                <w:szCs w:val="16"/>
                <w:b w:val="1"/>
                <w:bCs w:val="1"/>
                <w:color w:val="auto"/>
              </w:rPr>
              <w:t xml:space="preserve"> conditions are satisfied</w:t>
            </w:r>
          </w:p>
        </w:tc>
      </w:tr>
      <w:tr>
        <w:trPr>
          <w:trHeight w:val="128"/>
        </w:trPr>
        <w:tc>
          <w:tcPr>
            <w:tcW w:w="2440" w:type="dxa"/>
            <w:vAlign w:val="bottom"/>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r>
      <w:tr>
        <w:trPr>
          <w:trHeight w:val="230"/>
        </w:trPr>
        <w:tc>
          <w:tcPr>
            <w:tcW w:w="2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Portion of PRSUs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Share Price Condition</w:t>
            </w:r>
          </w:p>
        </w:tc>
        <w:tc>
          <w:tcPr>
            <w:tcW w:w="114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Service Condition</w:t>
            </w:r>
          </w:p>
        </w:tc>
      </w:tr>
      <w:tr>
        <w:trPr>
          <w:trHeight w:val="236"/>
        </w:trPr>
        <w:tc>
          <w:tcPr>
            <w:tcW w:w="2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First Vesting Tranche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11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i w:val="1"/>
                <w:iCs w:val="1"/>
                <w:color w:val="auto"/>
              </w:rPr>
              <w:t>and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June 30, 2022</w:t>
            </w:r>
          </w:p>
        </w:tc>
      </w:tr>
      <w:tr>
        <w:trPr>
          <w:trHeight w:val="237"/>
        </w:trPr>
        <w:tc>
          <w:tcPr>
            <w:tcW w:w="2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Second Vesting Tranche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i w:val="1"/>
                <w:iCs w:val="1"/>
                <w:color w:val="auto"/>
              </w:rPr>
              <w:t>and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June 30, 2023</w:t>
            </w:r>
          </w:p>
        </w:tc>
      </w:tr>
      <w:tr>
        <w:trPr>
          <w:trHeight w:val="236"/>
        </w:trPr>
        <w:tc>
          <w:tcPr>
            <w:tcW w:w="2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Third Vesting Tranche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11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i w:val="1"/>
                <w:iCs w:val="1"/>
                <w:color w:val="auto"/>
              </w:rPr>
              <w:t>and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June 30, 2024</w:t>
            </w:r>
          </w:p>
        </w:tc>
      </w:tr>
    </w:tbl>
    <w:p>
      <w:pPr>
        <w:spacing w:after="0" w:line="200" w:lineRule="exact"/>
        <w:rPr>
          <w:sz w:val="20"/>
          <w:szCs w:val="20"/>
          <w:color w:val="auto"/>
        </w:rPr>
      </w:pPr>
    </w:p>
    <w:p>
      <w:pPr>
        <w:sectPr>
          <w:pgSz w:w="11900" w:h="16838" w:orient="portrait"/>
          <w:cols w:equalWidth="0" w:num="1">
            <w:col w:w="11070"/>
          </w:cols>
          <w:pgMar w:left="49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7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70"/>
          </w:cols>
          <w:pgMar w:left="490" w:top="125" w:right="339" w:bottom="1440" w:gutter="0" w:footer="0" w:header="0"/>
          <w:type w:val="continuous"/>
        </w:sectPr>
      </w:pPr>
    </w:p>
    <w:bookmarkStart w:id="51" w:name="page52"/>
    <w:bookmarkEnd w:id="51"/>
    <w:p>
      <w:pPr>
        <w:spacing w:after="0" w:line="76" w:lineRule="exact"/>
        <w:rPr>
          <w:sz w:val="20"/>
          <w:szCs w:val="20"/>
          <w:color w:val="auto"/>
        </w:rPr>
      </w:pPr>
    </w:p>
    <w:p>
      <w:pPr>
        <w:jc w:val="both"/>
        <w:ind w:left="10"/>
        <w:spacing w:after="0" w:line="256" w:lineRule="auto"/>
        <w:rPr>
          <w:sz w:val="20"/>
          <w:szCs w:val="20"/>
          <w:color w:val="auto"/>
        </w:rPr>
      </w:pPr>
      <w:r>
        <w:rPr>
          <w:rFonts w:ascii="Arial" w:cs="Arial" w:eastAsia="Arial" w:hAnsi="Arial"/>
          <w:sz w:val="18"/>
          <w:szCs w:val="18"/>
          <w:color w:val="auto"/>
        </w:rPr>
        <w:t>The Service Condition shall be satisfied with respect to the applicable Vesting Tranche on the date set forth in the table above, subject to the Employee’s continued employment with the Company or a subsidiary or Affiliate on such date (each such date, a “</w:t>
      </w:r>
      <w:r>
        <w:rPr>
          <w:rFonts w:ascii="Arial" w:cs="Arial" w:eastAsia="Arial" w:hAnsi="Arial"/>
          <w:sz w:val="18"/>
          <w:szCs w:val="18"/>
          <w:b w:val="1"/>
          <w:bCs w:val="1"/>
          <w:i w:val="1"/>
          <w:iCs w:val="1"/>
          <w:color w:val="auto"/>
        </w:rPr>
        <w:t>Service 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48"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The Share Price Condition shall be satisfied with respect to the applicable Vesting Tranche when the average closing price per share of Common Stock exceeds the Share Base Price by the percentage set forth above (each, a “</w:t>
      </w:r>
      <w:r>
        <w:rPr>
          <w:rFonts w:ascii="Arial" w:cs="Arial" w:eastAsia="Arial" w:hAnsi="Arial"/>
          <w:sz w:val="18"/>
          <w:szCs w:val="18"/>
          <w:b w:val="1"/>
          <w:bCs w:val="1"/>
          <w:i w:val="1"/>
          <w:iCs w:val="1"/>
          <w:color w:val="auto"/>
        </w:rPr>
        <w:t>Share Price Condition</w:t>
      </w:r>
      <w:r>
        <w:rPr>
          <w:rFonts w:ascii="Arial" w:cs="Arial" w:eastAsia="Arial" w:hAnsi="Arial"/>
          <w:sz w:val="18"/>
          <w:szCs w:val="18"/>
          <w:color w:val="auto"/>
        </w:rPr>
        <w:t>”) during a consecutive 20-trading day period. The Share Base Price may be equitably adjusted as provided in Section 6 of the Plan. Notwithstanding, to the extent all or a portion of the PRSUs have not vested as of the last Service Vesting Date, the unvested PRSUs will be forfeited. For purposes of calculating the average closing price per share, an amount shall be added to each such closing price equal to the aggregate dividends, if any, paid in respect of a share of Common Stock between the Date of Grant and the applicable measurement date for calculating the average closing price.</w:t>
      </w:r>
    </w:p>
    <w:p>
      <w:pPr>
        <w:spacing w:after="0" w:line="153" w:lineRule="exact"/>
        <w:rPr>
          <w:sz w:val="20"/>
          <w:szCs w:val="20"/>
          <w:color w:val="auto"/>
        </w:rPr>
      </w:pPr>
    </w:p>
    <w:p>
      <w:pPr>
        <w:jc w:val="both"/>
        <w:ind w:left="10"/>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subject to the Service Conditions set forth in this Section 3 (while the Share Price Conditions shall each be deemed to have been achieved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following such Change in Control and prior to a Vesting Date. Upon payment pursuant to the terms of the Plan, such awards shall be cancelled.</w:t>
      </w:r>
    </w:p>
    <w:p>
      <w:pPr>
        <w:spacing w:after="0" w:line="158" w:lineRule="exact"/>
        <w:rPr>
          <w:sz w:val="20"/>
          <w:szCs w:val="20"/>
          <w:color w:val="auto"/>
        </w:rPr>
      </w:pPr>
    </w:p>
    <w:p>
      <w:pPr>
        <w:jc w:val="both"/>
        <w:ind w:left="10" w:hanging="10"/>
        <w:spacing w:after="0" w:line="253" w:lineRule="auto"/>
        <w:tabs>
          <w:tab w:leader="none" w:pos="41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9"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93" w:lineRule="exact"/>
        <w:rPr>
          <w:sz w:val="20"/>
          <w:szCs w:val="20"/>
          <w:color w:val="auto"/>
        </w:rPr>
      </w:pPr>
    </w:p>
    <w:p>
      <w:pPr>
        <w:jc w:val="both"/>
        <w:ind w:left="10" w:hanging="10"/>
        <w:spacing w:after="0" w:line="256" w:lineRule="auto"/>
        <w:tabs>
          <w:tab w:leader="none" w:pos="21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47" w:lineRule="exact"/>
        <w:rPr>
          <w:rFonts w:ascii="Arial" w:cs="Arial" w:eastAsia="Arial" w:hAnsi="Arial"/>
          <w:sz w:val="18"/>
          <w:szCs w:val="18"/>
          <w:color w:val="auto"/>
        </w:rPr>
      </w:pPr>
    </w:p>
    <w:p>
      <w:pPr>
        <w:jc w:val="both"/>
        <w:ind w:left="10" w:hanging="4"/>
        <w:spacing w:after="0" w:line="256" w:lineRule="auto"/>
        <w:tabs>
          <w:tab w:leader="none" w:pos="37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47" w:lineRule="exact"/>
        <w:rPr>
          <w:rFonts w:ascii="Arial" w:cs="Arial" w:eastAsia="Arial" w:hAnsi="Arial"/>
          <w:sz w:val="18"/>
          <w:szCs w:val="18"/>
          <w:color w:val="auto"/>
        </w:rPr>
      </w:pPr>
    </w:p>
    <w:p>
      <w:pPr>
        <w:jc w:val="both"/>
        <w:ind w:left="10" w:hanging="10"/>
        <w:spacing w:after="0" w:line="254"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9" w:lineRule="exact"/>
        <w:rPr>
          <w:rFonts w:ascii="Arial" w:cs="Arial" w:eastAsia="Arial" w:hAnsi="Arial"/>
          <w:sz w:val="18"/>
          <w:szCs w:val="18"/>
          <w:color w:val="auto"/>
        </w:rPr>
      </w:pPr>
    </w:p>
    <w:p>
      <w:pPr>
        <w:ind w:left="350" w:hanging="344"/>
        <w:spacing w:after="0"/>
        <w:tabs>
          <w:tab w:leader="none" w:pos="3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70"/>
          </w:cols>
          <w:pgMar w:left="490" w:top="1440" w:right="339" w:bottom="1440" w:gutter="0" w:footer="0" w:header="0"/>
        </w:sectPr>
      </w:pPr>
    </w:p>
    <w:bookmarkStart w:id="52" w:name="page53"/>
    <w:bookmarkEnd w:id="52"/>
    <w:p>
      <w:pPr>
        <w:ind w:left="497" w:hanging="497"/>
        <w:spacing w:after="0" w:line="261" w:lineRule="auto"/>
        <w:tabs>
          <w:tab w:leader="none" w:pos="44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prior to June 30, 2024, the PRSUs will be treated as set forth below.</w:t>
      </w:r>
    </w:p>
    <w:p>
      <w:pPr>
        <w:spacing w:after="0" w:line="125" w:lineRule="exact"/>
        <w:rPr>
          <w:rFonts w:ascii="Arial" w:cs="Arial" w:eastAsia="Arial" w:hAnsi="Arial"/>
          <w:sz w:val="18"/>
          <w:szCs w:val="18"/>
          <w:color w:val="auto"/>
        </w:rPr>
      </w:pPr>
    </w:p>
    <w:p>
      <w:pPr>
        <w:jc w:val="both"/>
        <w:ind w:left="897" w:right="260" w:firstLine="4"/>
        <w:spacing w:after="0" w:line="266" w:lineRule="auto"/>
        <w:tabs>
          <w:tab w:leader="none" w:pos="1524"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the Employer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other than Termination For Good Reason following a Change in Control, the PRSUs that have not vested in accordance with Section 3 shall be canceled and forfeited on the date of such voluntary termination of employment.</w:t>
      </w:r>
    </w:p>
    <w:p>
      <w:pPr>
        <w:spacing w:after="0" w:line="121" w:lineRule="exact"/>
        <w:rPr>
          <w:rFonts w:ascii="Arial" w:cs="Arial" w:eastAsia="Arial" w:hAnsi="Arial"/>
          <w:sz w:val="18"/>
          <w:szCs w:val="18"/>
          <w:color w:val="auto"/>
        </w:rPr>
      </w:pPr>
    </w:p>
    <w:p>
      <w:pPr>
        <w:ind w:left="1317" w:hanging="416"/>
        <w:spacing w:after="0"/>
        <w:tabs>
          <w:tab w:leader="none" w:pos="1317"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In the event the Employee involuntarily ceases to be an employee of the Employer prior</w:t>
      </w:r>
    </w:p>
    <w:p>
      <w:pPr>
        <w:spacing w:after="0" w:line="27" w:lineRule="exact"/>
        <w:rPr>
          <w:sz w:val="20"/>
          <w:szCs w:val="20"/>
          <w:color w:val="auto"/>
        </w:rPr>
      </w:pPr>
    </w:p>
    <w:p>
      <w:pPr>
        <w:jc w:val="both"/>
        <w:ind w:left="897" w:right="260"/>
        <w:spacing w:after="0" w:line="256" w:lineRule="auto"/>
        <w:rPr>
          <w:sz w:val="20"/>
          <w:szCs w:val="20"/>
          <w:color w:val="auto"/>
        </w:rPr>
      </w:pPr>
      <w:r>
        <w:rPr>
          <w:rFonts w:ascii="Arial" w:cs="Arial" w:eastAsia="Arial" w:hAnsi="Arial"/>
          <w:sz w:val="18"/>
          <w:szCs w:val="18"/>
          <w:color w:val="auto"/>
        </w:rPr>
        <w:t>to a Change in Control for any reason other than due to death, Disability or a termination for Cause, the Employee will remain eligible to vest in the PRSUs that are unvested as of the Termination Date, and any dividend equivalents with respect thereto, as set forth below:</w:t>
      </w:r>
    </w:p>
    <w:p>
      <w:pPr>
        <w:spacing w:after="0" w:line="176" w:lineRule="exact"/>
        <w:rPr>
          <w:sz w:val="20"/>
          <w:szCs w:val="20"/>
          <w:color w:val="auto"/>
        </w:rPr>
      </w:pPr>
    </w:p>
    <w:tbl>
      <w:tblPr>
        <w:tblLayout w:type="fixed"/>
        <w:tblInd w:w="347" w:type="dxa"/>
        <w:tblCellMar>
          <w:top w:w="0" w:type="dxa"/>
          <w:left w:w="0" w:type="dxa"/>
          <w:bottom w:w="0" w:type="dxa"/>
          <w:right w:w="0" w:type="dxa"/>
        </w:tblCellMar>
      </w:tblPr>
      <w:tr>
        <w:trPr>
          <w:trHeight w:val="237"/>
        </w:trPr>
        <w:tc>
          <w:tcPr>
            <w:tcW w:w="2920" w:type="dxa"/>
            <w:vAlign w:val="bottom"/>
            <w:tcBorders>
              <w:left w:val="single" w:sz="8" w:color="BFBFBF"/>
              <w:right w:val="single" w:sz="8" w:color="BFBFBF"/>
            </w:tcBorders>
            <w:shd w:val="clear" w:color="auto" w:fill="BFBFBF"/>
          </w:tcPr>
          <w:p>
            <w:pPr>
              <w:ind w:left="440"/>
              <w:spacing w:after="0"/>
              <w:rPr>
                <w:sz w:val="20"/>
                <w:szCs w:val="20"/>
                <w:color w:val="auto"/>
              </w:rPr>
            </w:pPr>
            <w:r>
              <w:rPr>
                <w:rFonts w:ascii="Arial" w:cs="Arial" w:eastAsia="Arial" w:hAnsi="Arial"/>
                <w:sz w:val="16"/>
                <w:szCs w:val="16"/>
                <w:b w:val="1"/>
                <w:bCs w:val="1"/>
                <w:color w:val="auto"/>
              </w:rPr>
              <w:t>Date of Termination</w:t>
            </w:r>
          </w:p>
        </w:tc>
        <w:tc>
          <w:tcPr>
            <w:tcW w:w="3500" w:type="dxa"/>
            <w:vAlign w:val="bottom"/>
            <w:tcBorders>
              <w:right w:val="single" w:sz="8" w:color="BFBFBF"/>
            </w:tcBorders>
            <w:shd w:val="clear" w:color="auto" w:fill="BFBFBF"/>
          </w:tcPr>
          <w:p>
            <w:pPr>
              <w:ind w:left="420"/>
              <w:spacing w:after="0"/>
              <w:rPr>
                <w:sz w:val="20"/>
                <w:szCs w:val="20"/>
                <w:color w:val="auto"/>
              </w:rPr>
            </w:pPr>
            <w:r>
              <w:rPr>
                <w:rFonts w:ascii="Arial" w:cs="Arial" w:eastAsia="Arial" w:hAnsi="Arial"/>
                <w:sz w:val="16"/>
                <w:szCs w:val="16"/>
                <w:b w:val="1"/>
                <w:bCs w:val="1"/>
                <w:color w:val="auto"/>
              </w:rPr>
              <w:t>Vesting Tranche</w:t>
            </w:r>
          </w:p>
        </w:tc>
        <w:tc>
          <w:tcPr>
            <w:tcW w:w="3500" w:type="dxa"/>
            <w:vAlign w:val="bottom"/>
            <w:tcBorders>
              <w:right w:val="single" w:sz="8" w:color="BFBFBF"/>
            </w:tcBorders>
            <w:shd w:val="clear" w:color="auto" w:fill="BFBFBF"/>
          </w:tcPr>
          <w:p>
            <w:pPr>
              <w:ind w:left="420"/>
              <w:spacing w:after="0"/>
              <w:rPr>
                <w:sz w:val="20"/>
                <w:szCs w:val="20"/>
                <w:color w:val="auto"/>
              </w:rPr>
            </w:pPr>
            <w:r>
              <w:rPr>
                <w:rFonts w:ascii="Arial" w:cs="Arial" w:eastAsia="Arial" w:hAnsi="Arial"/>
                <w:sz w:val="16"/>
                <w:szCs w:val="16"/>
                <w:b w:val="1"/>
                <w:bCs w:val="1"/>
                <w:color w:val="auto"/>
              </w:rPr>
              <w:t>Treatment of Vesting Tranche</w:t>
            </w:r>
          </w:p>
        </w:tc>
      </w:tr>
      <w:tr>
        <w:trPr>
          <w:trHeight w:val="141"/>
        </w:trPr>
        <w:tc>
          <w:tcPr>
            <w:tcW w:w="2920" w:type="dxa"/>
            <w:vAlign w:val="bottom"/>
            <w:tcBorders>
              <w:left w:val="single" w:sz="8" w:color="BFBFBF"/>
              <w:right w:val="single" w:sz="8" w:color="BFBFBF"/>
            </w:tcBorders>
            <w:shd w:val="clear" w:color="auto" w:fill="BFBFBF"/>
          </w:tcPr>
          <w:p>
            <w:pPr>
              <w:spacing w:after="0"/>
              <w:rPr>
                <w:sz w:val="12"/>
                <w:szCs w:val="12"/>
                <w:color w:val="auto"/>
              </w:rPr>
            </w:pPr>
          </w:p>
        </w:tc>
        <w:tc>
          <w:tcPr>
            <w:tcW w:w="3500" w:type="dxa"/>
            <w:vAlign w:val="bottom"/>
            <w:tcBorders>
              <w:right w:val="single" w:sz="8" w:color="BFBFBF"/>
            </w:tcBorders>
            <w:shd w:val="clear" w:color="auto" w:fill="BFBFBF"/>
          </w:tcPr>
          <w:p>
            <w:pPr>
              <w:spacing w:after="0"/>
              <w:rPr>
                <w:sz w:val="12"/>
                <w:szCs w:val="12"/>
                <w:color w:val="auto"/>
              </w:rPr>
            </w:pPr>
          </w:p>
        </w:tc>
        <w:tc>
          <w:tcPr>
            <w:tcW w:w="3500" w:type="dxa"/>
            <w:vAlign w:val="bottom"/>
            <w:tcBorders>
              <w:right w:val="single" w:sz="8" w:color="BFBFBF"/>
            </w:tcBorders>
            <w:shd w:val="clear" w:color="auto" w:fill="BFBFBF"/>
          </w:tcPr>
          <w:p>
            <w:pPr>
              <w:spacing w:after="0"/>
              <w:rPr>
                <w:sz w:val="12"/>
                <w:szCs w:val="12"/>
                <w:color w:val="auto"/>
              </w:rPr>
            </w:pPr>
          </w:p>
        </w:tc>
      </w:tr>
      <w:tr>
        <w:trPr>
          <w:trHeight w:val="223"/>
        </w:trPr>
        <w:tc>
          <w:tcPr>
            <w:tcW w:w="2920" w:type="dxa"/>
            <w:vAlign w:val="bottom"/>
            <w:tcBorders>
              <w:left w:val="single" w:sz="8" w:color="BFBFBF"/>
              <w:right w:val="single" w:sz="8" w:color="BFBFBF"/>
            </w:tcBorders>
            <w:shd w:val="clear" w:color="auto" w:fill="F2F2F2"/>
          </w:tcPr>
          <w:p>
            <w:pPr>
              <w:ind w:left="440"/>
              <w:spacing w:after="0"/>
              <w:rPr>
                <w:sz w:val="20"/>
                <w:szCs w:val="20"/>
                <w:color w:val="auto"/>
              </w:rPr>
            </w:pPr>
            <w:r>
              <w:rPr>
                <w:rFonts w:ascii="Arial" w:cs="Arial" w:eastAsia="Arial" w:hAnsi="Arial"/>
                <w:sz w:val="16"/>
                <w:szCs w:val="16"/>
                <w:color w:val="auto"/>
              </w:rPr>
              <w:t>Prior to March 31, 2022</w:t>
            </w: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All</w:t>
            </w: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Forfeited</w:t>
            </w:r>
          </w:p>
        </w:tc>
      </w:tr>
      <w:tr>
        <w:trPr>
          <w:trHeight w:val="128"/>
        </w:trPr>
        <w:tc>
          <w:tcPr>
            <w:tcW w:w="2920" w:type="dxa"/>
            <w:vAlign w:val="bottom"/>
            <w:tcBorders>
              <w:left w:val="single" w:sz="8" w:color="BFBFBF"/>
              <w:bottom w:val="single" w:sz="8" w:color="BFBFBF"/>
              <w:right w:val="single" w:sz="8" w:color="BFBFBF"/>
            </w:tcBorders>
            <w:shd w:val="clear" w:color="auto" w:fill="F2F2F2"/>
          </w:tcPr>
          <w:p>
            <w:pPr>
              <w:spacing w:after="0"/>
              <w:rPr>
                <w:sz w:val="11"/>
                <w:szCs w:val="11"/>
                <w:color w:val="auto"/>
              </w:rPr>
            </w:pPr>
          </w:p>
        </w:tc>
        <w:tc>
          <w:tcPr>
            <w:tcW w:w="3500" w:type="dxa"/>
            <w:vAlign w:val="bottom"/>
            <w:tcBorders>
              <w:bottom w:val="single" w:sz="8" w:color="BFBFBF"/>
              <w:right w:val="single" w:sz="8" w:color="BFBFBF"/>
            </w:tcBorders>
            <w:shd w:val="clear" w:color="auto" w:fill="F2F2F2"/>
          </w:tcPr>
          <w:p>
            <w:pPr>
              <w:spacing w:after="0"/>
              <w:rPr>
                <w:sz w:val="11"/>
                <w:szCs w:val="11"/>
                <w:color w:val="auto"/>
              </w:rPr>
            </w:pPr>
          </w:p>
        </w:tc>
        <w:tc>
          <w:tcPr>
            <w:tcW w:w="3500" w:type="dxa"/>
            <w:vAlign w:val="bottom"/>
            <w:tcBorders>
              <w:bottom w:val="single" w:sz="8" w:color="BFBFBF"/>
              <w:right w:val="single" w:sz="8" w:color="BFBFBF"/>
            </w:tcBorders>
            <w:shd w:val="clear" w:color="auto" w:fill="F2F2F2"/>
          </w:tcPr>
          <w:p>
            <w:pPr>
              <w:spacing w:after="0"/>
              <w:rPr>
                <w:sz w:val="11"/>
                <w:szCs w:val="11"/>
                <w:color w:val="auto"/>
              </w:rPr>
            </w:pPr>
          </w:p>
        </w:tc>
      </w:tr>
      <w:tr>
        <w:trPr>
          <w:trHeight w:val="211"/>
        </w:trPr>
        <w:tc>
          <w:tcPr>
            <w:tcW w:w="2920" w:type="dxa"/>
            <w:vAlign w:val="bottom"/>
            <w:tcBorders>
              <w:left w:val="single" w:sz="8" w:color="BFBFBF"/>
              <w:right w:val="single" w:sz="8" w:color="BFBFBF"/>
            </w:tcBorders>
          </w:tcPr>
          <w:p>
            <w:pPr>
              <w:ind w:left="440"/>
              <w:spacing w:after="0"/>
              <w:rPr>
                <w:sz w:val="20"/>
                <w:szCs w:val="20"/>
                <w:color w:val="auto"/>
              </w:rPr>
            </w:pPr>
            <w:r>
              <w:rPr>
                <w:rFonts w:ascii="Arial" w:cs="Arial" w:eastAsia="Arial" w:hAnsi="Arial"/>
                <w:sz w:val="16"/>
                <w:szCs w:val="16"/>
                <w:color w:val="auto"/>
              </w:rPr>
              <w:t>Between March 31, 2022 and</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First Vesting Tranche</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Pro-Rata Amount (defined below) if</w:t>
            </w:r>
          </w:p>
        </w:tc>
      </w:tr>
      <w:tr>
        <w:trPr>
          <w:trHeight w:val="195"/>
        </w:trPr>
        <w:tc>
          <w:tcPr>
            <w:tcW w:w="2920" w:type="dxa"/>
            <w:vAlign w:val="bottom"/>
            <w:tcBorders>
              <w:left w:val="single" w:sz="8" w:color="BFBFBF"/>
              <w:right w:val="single" w:sz="8" w:color="BFBFBF"/>
            </w:tcBorders>
          </w:tcPr>
          <w:p>
            <w:pPr>
              <w:ind w:left="440"/>
              <w:spacing w:after="0"/>
              <w:rPr>
                <w:sz w:val="20"/>
                <w:szCs w:val="20"/>
                <w:color w:val="auto"/>
              </w:rPr>
            </w:pPr>
            <w:r>
              <w:rPr>
                <w:rFonts w:ascii="Arial" w:cs="Arial" w:eastAsia="Arial" w:hAnsi="Arial"/>
                <w:sz w:val="16"/>
                <w:szCs w:val="16"/>
                <w:color w:val="auto"/>
              </w:rPr>
              <w:t>June 29, 2022</w:t>
            </w: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Vesting Date is on June 30, 2022</w:t>
            </w:r>
          </w:p>
        </w:tc>
      </w:tr>
      <w:tr>
        <w:trPr>
          <w:trHeight w:val="182"/>
        </w:trPr>
        <w:tc>
          <w:tcPr>
            <w:tcW w:w="2920" w:type="dxa"/>
            <w:vAlign w:val="bottom"/>
            <w:tcBorders>
              <w:left w:val="single" w:sz="8" w:color="BFBFBF"/>
              <w:right w:val="single" w:sz="8" w:color="BFBFBF"/>
            </w:tcBorders>
          </w:tcPr>
          <w:p>
            <w:pPr>
              <w:spacing w:after="0"/>
              <w:rPr>
                <w:sz w:val="15"/>
                <w:szCs w:val="15"/>
                <w:color w:val="auto"/>
              </w:rPr>
            </w:pPr>
          </w:p>
        </w:tc>
        <w:tc>
          <w:tcPr>
            <w:tcW w:w="3500" w:type="dxa"/>
            <w:vAlign w:val="bottom"/>
            <w:tcBorders>
              <w:bottom w:val="single" w:sz="8" w:color="BFBFBF"/>
              <w:right w:val="single" w:sz="8" w:color="BFBFBF"/>
            </w:tcBorders>
          </w:tcPr>
          <w:p>
            <w:pPr>
              <w:spacing w:after="0"/>
              <w:rPr>
                <w:sz w:val="15"/>
                <w:szCs w:val="15"/>
                <w:color w:val="auto"/>
              </w:rPr>
            </w:pPr>
          </w:p>
        </w:tc>
        <w:tc>
          <w:tcPr>
            <w:tcW w:w="3500" w:type="dxa"/>
            <w:vAlign w:val="bottom"/>
            <w:tcBorders>
              <w:right w:val="single" w:sz="8" w:color="BFBFBF"/>
            </w:tcBorders>
          </w:tcPr>
          <w:p>
            <w:pPr>
              <w:spacing w:after="0"/>
              <w:rPr>
                <w:sz w:val="15"/>
                <w:szCs w:val="15"/>
                <w:color w:val="auto"/>
              </w:rPr>
            </w:pPr>
          </w:p>
        </w:tc>
      </w:tr>
      <w:tr>
        <w:trPr>
          <w:trHeight w:val="217"/>
        </w:trPr>
        <w:tc>
          <w:tcPr>
            <w:tcW w:w="2920" w:type="dxa"/>
            <w:vAlign w:val="bottom"/>
            <w:tcBorders>
              <w:left w:val="single" w:sz="8" w:color="BFBFBF"/>
              <w:right w:val="single" w:sz="8" w:color="BFBFBF"/>
            </w:tcBorders>
          </w:tcPr>
          <w:p>
            <w:pPr>
              <w:spacing w:after="0"/>
              <w:rPr>
                <w:sz w:val="18"/>
                <w:szCs w:val="18"/>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Second Vesting Tranche</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Forfeited</w:t>
            </w:r>
          </w:p>
        </w:tc>
      </w:tr>
      <w:tr>
        <w:trPr>
          <w:trHeight w:val="127"/>
        </w:trPr>
        <w:tc>
          <w:tcPr>
            <w:tcW w:w="2920" w:type="dxa"/>
            <w:vAlign w:val="bottom"/>
            <w:tcBorders>
              <w:left w:val="single" w:sz="8" w:color="BFBFBF"/>
              <w:right w:val="single" w:sz="8" w:color="BFBFBF"/>
            </w:tcBorders>
          </w:tcPr>
          <w:p>
            <w:pPr>
              <w:spacing w:after="0"/>
              <w:rPr>
                <w:sz w:val="11"/>
                <w:szCs w:val="11"/>
                <w:color w:val="auto"/>
              </w:rPr>
            </w:pPr>
          </w:p>
        </w:tc>
        <w:tc>
          <w:tcPr>
            <w:tcW w:w="3500" w:type="dxa"/>
            <w:vAlign w:val="bottom"/>
            <w:tcBorders>
              <w:bottom w:val="single" w:sz="8" w:color="BFBFBF"/>
              <w:right w:val="single" w:sz="8" w:color="BFBFBF"/>
            </w:tcBorders>
          </w:tcPr>
          <w:p>
            <w:pPr>
              <w:spacing w:after="0"/>
              <w:rPr>
                <w:sz w:val="11"/>
                <w:szCs w:val="11"/>
                <w:color w:val="auto"/>
              </w:rPr>
            </w:pPr>
          </w:p>
        </w:tc>
        <w:tc>
          <w:tcPr>
            <w:tcW w:w="3500" w:type="dxa"/>
            <w:vAlign w:val="bottom"/>
            <w:tcBorders>
              <w:right w:val="single" w:sz="8" w:color="BFBFBF"/>
            </w:tcBorders>
          </w:tcPr>
          <w:p>
            <w:pPr>
              <w:spacing w:after="0"/>
              <w:rPr>
                <w:sz w:val="11"/>
                <w:szCs w:val="11"/>
                <w:color w:val="auto"/>
              </w:rPr>
            </w:pPr>
          </w:p>
        </w:tc>
      </w:tr>
      <w:tr>
        <w:trPr>
          <w:trHeight w:val="217"/>
        </w:trPr>
        <w:tc>
          <w:tcPr>
            <w:tcW w:w="2920" w:type="dxa"/>
            <w:vAlign w:val="bottom"/>
            <w:tcBorders>
              <w:left w:val="single" w:sz="8" w:color="BFBFBF"/>
              <w:right w:val="single" w:sz="8" w:color="BFBFBF"/>
            </w:tcBorders>
          </w:tcPr>
          <w:p>
            <w:pPr>
              <w:spacing w:after="0"/>
              <w:rPr>
                <w:sz w:val="18"/>
                <w:szCs w:val="18"/>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Third Vesting Tranche</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Forfeited</w:t>
            </w:r>
          </w:p>
        </w:tc>
      </w:tr>
      <w:tr>
        <w:trPr>
          <w:trHeight w:val="127"/>
        </w:trPr>
        <w:tc>
          <w:tcPr>
            <w:tcW w:w="2920" w:type="dxa"/>
            <w:vAlign w:val="bottom"/>
            <w:tcBorders>
              <w:left w:val="single" w:sz="8" w:color="BFBFBF"/>
              <w:bottom w:val="single" w:sz="8" w:color="BFBFBF"/>
              <w:right w:val="single" w:sz="8" w:color="BFBFBF"/>
            </w:tcBorders>
          </w:tcPr>
          <w:p>
            <w:pPr>
              <w:spacing w:after="0"/>
              <w:rPr>
                <w:sz w:val="11"/>
                <w:szCs w:val="11"/>
                <w:color w:val="auto"/>
              </w:rPr>
            </w:pPr>
          </w:p>
        </w:tc>
        <w:tc>
          <w:tcPr>
            <w:tcW w:w="3500" w:type="dxa"/>
            <w:vAlign w:val="bottom"/>
            <w:tcBorders>
              <w:bottom w:val="single" w:sz="8" w:color="BFBFBF"/>
              <w:right w:val="single" w:sz="8" w:color="BFBFBF"/>
            </w:tcBorders>
          </w:tcPr>
          <w:p>
            <w:pPr>
              <w:spacing w:after="0"/>
              <w:rPr>
                <w:sz w:val="11"/>
                <w:szCs w:val="11"/>
                <w:color w:val="auto"/>
              </w:rPr>
            </w:pPr>
          </w:p>
        </w:tc>
        <w:tc>
          <w:tcPr>
            <w:tcW w:w="3500" w:type="dxa"/>
            <w:vAlign w:val="bottom"/>
            <w:tcBorders>
              <w:bottom w:val="single" w:sz="8" w:color="BFBFBF"/>
              <w:right w:val="single" w:sz="8" w:color="BFBFBF"/>
            </w:tcBorders>
          </w:tcPr>
          <w:p>
            <w:pPr>
              <w:spacing w:after="0"/>
              <w:rPr>
                <w:sz w:val="11"/>
                <w:szCs w:val="11"/>
                <w:color w:val="auto"/>
              </w:rPr>
            </w:pPr>
          </w:p>
        </w:tc>
      </w:tr>
      <w:tr>
        <w:trPr>
          <w:trHeight w:val="211"/>
        </w:trPr>
        <w:tc>
          <w:tcPr>
            <w:tcW w:w="2920" w:type="dxa"/>
            <w:vAlign w:val="bottom"/>
            <w:tcBorders>
              <w:left w:val="single" w:sz="8" w:color="BFBFBF"/>
              <w:right w:val="single" w:sz="8" w:color="BFBFBF"/>
            </w:tcBorders>
            <w:shd w:val="clear" w:color="auto" w:fill="F2F2F2"/>
          </w:tcPr>
          <w:p>
            <w:pPr>
              <w:ind w:left="440"/>
              <w:spacing w:after="0"/>
              <w:rPr>
                <w:sz w:val="20"/>
                <w:szCs w:val="20"/>
                <w:color w:val="auto"/>
              </w:rPr>
            </w:pPr>
            <w:r>
              <w:rPr>
                <w:rFonts w:ascii="Arial" w:cs="Arial" w:eastAsia="Arial" w:hAnsi="Arial"/>
                <w:sz w:val="16"/>
                <w:szCs w:val="16"/>
                <w:color w:val="auto"/>
              </w:rPr>
              <w:t>Between June 30, 2022 and</w:t>
            </w: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First Vesting Tranche</w:t>
            </w: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To the extent not vested as of the</w:t>
            </w:r>
          </w:p>
        </w:tc>
      </w:tr>
      <w:tr>
        <w:trPr>
          <w:trHeight w:val="189"/>
        </w:trPr>
        <w:tc>
          <w:tcPr>
            <w:tcW w:w="2920" w:type="dxa"/>
            <w:vAlign w:val="bottom"/>
            <w:tcBorders>
              <w:left w:val="single" w:sz="8" w:color="BFBFBF"/>
              <w:right w:val="single" w:sz="8" w:color="BFBFBF"/>
            </w:tcBorders>
            <w:shd w:val="clear" w:color="auto" w:fill="F2F2F2"/>
          </w:tcPr>
          <w:p>
            <w:pPr>
              <w:ind w:left="440"/>
              <w:spacing w:after="0"/>
              <w:rPr>
                <w:sz w:val="20"/>
                <w:szCs w:val="20"/>
                <w:color w:val="auto"/>
              </w:rPr>
            </w:pPr>
            <w:r>
              <w:rPr>
                <w:rFonts w:ascii="Arial" w:cs="Arial" w:eastAsia="Arial" w:hAnsi="Arial"/>
                <w:sz w:val="16"/>
                <w:szCs w:val="16"/>
                <w:color w:val="auto"/>
              </w:rPr>
              <w:t>June 30, 2023</w:t>
            </w:r>
          </w:p>
        </w:tc>
        <w:tc>
          <w:tcPr>
            <w:tcW w:w="3500" w:type="dxa"/>
            <w:vAlign w:val="bottom"/>
            <w:tcBorders>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Termination  Date,  full  number  of</w:t>
            </w:r>
          </w:p>
        </w:tc>
      </w:tr>
      <w:tr>
        <w:trPr>
          <w:trHeight w:val="189"/>
        </w:trPr>
        <w:tc>
          <w:tcPr>
            <w:tcW w:w="2920" w:type="dxa"/>
            <w:vAlign w:val="bottom"/>
            <w:tcBorders>
              <w:left w:val="single" w:sz="8" w:color="BFBFBF"/>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PRSUs  in  such  Vesting  Tranche  if</w:t>
            </w:r>
          </w:p>
        </w:tc>
      </w:tr>
      <w:tr>
        <w:trPr>
          <w:trHeight w:val="189"/>
        </w:trPr>
        <w:tc>
          <w:tcPr>
            <w:tcW w:w="2920" w:type="dxa"/>
            <w:vAlign w:val="bottom"/>
            <w:tcBorders>
              <w:left w:val="single" w:sz="8" w:color="BFBFBF"/>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Vesting Date is on or prior to June 30,</w:t>
            </w:r>
          </w:p>
        </w:tc>
      </w:tr>
      <w:tr>
        <w:trPr>
          <w:trHeight w:val="195"/>
        </w:trPr>
        <w:tc>
          <w:tcPr>
            <w:tcW w:w="2920" w:type="dxa"/>
            <w:vAlign w:val="bottom"/>
            <w:tcBorders>
              <w:left w:val="single" w:sz="8" w:color="BFBFBF"/>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2023</w:t>
            </w:r>
          </w:p>
        </w:tc>
      </w:tr>
      <w:tr>
        <w:trPr>
          <w:trHeight w:val="195"/>
        </w:trPr>
        <w:tc>
          <w:tcPr>
            <w:tcW w:w="2920" w:type="dxa"/>
            <w:vAlign w:val="bottom"/>
            <w:tcBorders>
              <w:left w:val="single" w:sz="8" w:color="BFBFBF"/>
              <w:bottom w:val="single" w:sz="8" w:color="F2F2F2"/>
              <w:right w:val="single" w:sz="8" w:color="BFBFBF"/>
            </w:tcBorders>
            <w:shd w:val="clear" w:color="auto" w:fill="F2F2F2"/>
          </w:tcPr>
          <w:p>
            <w:pPr>
              <w:spacing w:after="0"/>
              <w:rPr>
                <w:sz w:val="16"/>
                <w:szCs w:val="16"/>
                <w:color w:val="auto"/>
              </w:rPr>
            </w:pPr>
          </w:p>
        </w:tc>
        <w:tc>
          <w:tcPr>
            <w:tcW w:w="3500" w:type="dxa"/>
            <w:vAlign w:val="bottom"/>
            <w:tcBorders>
              <w:bottom w:val="single" w:sz="8" w:color="BFBFBF"/>
              <w:right w:val="single" w:sz="8" w:color="BFBFBF"/>
            </w:tcBorders>
            <w:shd w:val="clear" w:color="auto" w:fill="F2F2F2"/>
          </w:tcPr>
          <w:p>
            <w:pPr>
              <w:spacing w:after="0"/>
              <w:rPr>
                <w:sz w:val="16"/>
                <w:szCs w:val="16"/>
                <w:color w:val="auto"/>
              </w:rPr>
            </w:pPr>
          </w:p>
        </w:tc>
        <w:tc>
          <w:tcPr>
            <w:tcW w:w="3500" w:type="dxa"/>
            <w:vAlign w:val="bottom"/>
            <w:tcBorders>
              <w:bottom w:val="single" w:sz="8" w:color="BFBFBF"/>
              <w:right w:val="single" w:sz="8" w:color="BFBFBF"/>
            </w:tcBorders>
            <w:shd w:val="clear" w:color="auto" w:fill="F2F2F2"/>
          </w:tcPr>
          <w:p>
            <w:pPr>
              <w:spacing w:after="0"/>
              <w:rPr>
                <w:sz w:val="16"/>
                <w:szCs w:val="16"/>
                <w:color w:val="auto"/>
              </w:rPr>
            </w:pPr>
          </w:p>
        </w:tc>
      </w:tr>
      <w:tr>
        <w:trPr>
          <w:trHeight w:val="211"/>
        </w:trPr>
        <w:tc>
          <w:tcPr>
            <w:tcW w:w="2920" w:type="dxa"/>
            <w:vAlign w:val="bottom"/>
            <w:tcBorders>
              <w:left w:val="single" w:sz="8" w:color="BFBFBF"/>
              <w:right w:val="single" w:sz="8" w:color="BFBFBF"/>
            </w:tcBorders>
            <w:shd w:val="clear" w:color="auto" w:fill="F2F2F2"/>
          </w:tcPr>
          <w:p>
            <w:pPr>
              <w:spacing w:after="0"/>
              <w:rPr>
                <w:sz w:val="18"/>
                <w:szCs w:val="18"/>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Second Vesting Tranche</w:t>
            </w: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Pro-Rata Amount (defined below) if</w:t>
            </w:r>
          </w:p>
        </w:tc>
      </w:tr>
      <w:tr>
        <w:trPr>
          <w:trHeight w:val="195"/>
        </w:trPr>
        <w:tc>
          <w:tcPr>
            <w:tcW w:w="2920" w:type="dxa"/>
            <w:vAlign w:val="bottom"/>
            <w:tcBorders>
              <w:left w:val="single" w:sz="8" w:color="BFBFBF"/>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spacing w:after="0"/>
              <w:rPr>
                <w:sz w:val="16"/>
                <w:szCs w:val="16"/>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Vesting Date is on June 30, 2023</w:t>
            </w:r>
          </w:p>
        </w:tc>
      </w:tr>
      <w:tr>
        <w:trPr>
          <w:trHeight w:val="182"/>
        </w:trPr>
        <w:tc>
          <w:tcPr>
            <w:tcW w:w="2920" w:type="dxa"/>
            <w:vAlign w:val="bottom"/>
            <w:tcBorders>
              <w:left w:val="single" w:sz="8" w:color="BFBFBF"/>
              <w:bottom w:val="single" w:sz="8" w:color="F2F2F2"/>
              <w:right w:val="single" w:sz="8" w:color="BFBFBF"/>
            </w:tcBorders>
            <w:shd w:val="clear" w:color="auto" w:fill="F2F2F2"/>
          </w:tcPr>
          <w:p>
            <w:pPr>
              <w:spacing w:after="0"/>
              <w:rPr>
                <w:sz w:val="15"/>
                <w:szCs w:val="15"/>
                <w:color w:val="auto"/>
              </w:rPr>
            </w:pPr>
          </w:p>
        </w:tc>
        <w:tc>
          <w:tcPr>
            <w:tcW w:w="3500" w:type="dxa"/>
            <w:vAlign w:val="bottom"/>
            <w:tcBorders>
              <w:bottom w:val="single" w:sz="8" w:color="BFBFBF"/>
              <w:right w:val="single" w:sz="8" w:color="BFBFBF"/>
            </w:tcBorders>
            <w:shd w:val="clear" w:color="auto" w:fill="F2F2F2"/>
          </w:tcPr>
          <w:p>
            <w:pPr>
              <w:spacing w:after="0"/>
              <w:rPr>
                <w:sz w:val="15"/>
                <w:szCs w:val="15"/>
                <w:color w:val="auto"/>
              </w:rPr>
            </w:pPr>
          </w:p>
        </w:tc>
        <w:tc>
          <w:tcPr>
            <w:tcW w:w="3500" w:type="dxa"/>
            <w:vAlign w:val="bottom"/>
            <w:tcBorders>
              <w:bottom w:val="single" w:sz="8" w:color="BFBFBF"/>
              <w:right w:val="single" w:sz="8" w:color="BFBFBF"/>
            </w:tcBorders>
            <w:shd w:val="clear" w:color="auto" w:fill="F2F2F2"/>
          </w:tcPr>
          <w:p>
            <w:pPr>
              <w:spacing w:after="0"/>
              <w:rPr>
                <w:sz w:val="15"/>
                <w:szCs w:val="15"/>
                <w:color w:val="auto"/>
              </w:rPr>
            </w:pPr>
          </w:p>
        </w:tc>
      </w:tr>
      <w:tr>
        <w:trPr>
          <w:trHeight w:val="217"/>
        </w:trPr>
        <w:tc>
          <w:tcPr>
            <w:tcW w:w="2920" w:type="dxa"/>
            <w:vAlign w:val="bottom"/>
            <w:tcBorders>
              <w:left w:val="single" w:sz="8" w:color="BFBFBF"/>
              <w:right w:val="single" w:sz="8" w:color="BFBFBF"/>
            </w:tcBorders>
            <w:shd w:val="clear" w:color="auto" w:fill="F2F2F2"/>
          </w:tcPr>
          <w:p>
            <w:pPr>
              <w:spacing w:after="0"/>
              <w:rPr>
                <w:sz w:val="18"/>
                <w:szCs w:val="18"/>
                <w:color w:val="auto"/>
              </w:rPr>
            </w:pP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Third Vesting Tranche</w:t>
            </w:r>
          </w:p>
        </w:tc>
        <w:tc>
          <w:tcPr>
            <w:tcW w:w="3500" w:type="dxa"/>
            <w:vAlign w:val="bottom"/>
            <w:tcBorders>
              <w:right w:val="single" w:sz="8" w:color="BFBFBF"/>
            </w:tcBorders>
            <w:shd w:val="clear" w:color="auto" w:fill="F2F2F2"/>
          </w:tcPr>
          <w:p>
            <w:pPr>
              <w:ind w:left="420"/>
              <w:spacing w:after="0"/>
              <w:rPr>
                <w:sz w:val="20"/>
                <w:szCs w:val="20"/>
                <w:color w:val="auto"/>
              </w:rPr>
            </w:pPr>
            <w:r>
              <w:rPr>
                <w:rFonts w:ascii="Arial" w:cs="Arial" w:eastAsia="Arial" w:hAnsi="Arial"/>
                <w:sz w:val="16"/>
                <w:szCs w:val="16"/>
                <w:color w:val="auto"/>
              </w:rPr>
              <w:t>Forfeited</w:t>
            </w:r>
          </w:p>
        </w:tc>
      </w:tr>
      <w:tr>
        <w:trPr>
          <w:trHeight w:val="128"/>
        </w:trPr>
        <w:tc>
          <w:tcPr>
            <w:tcW w:w="2920" w:type="dxa"/>
            <w:vAlign w:val="bottom"/>
            <w:tcBorders>
              <w:left w:val="single" w:sz="8" w:color="BFBFBF"/>
              <w:bottom w:val="single" w:sz="8" w:color="BFBFBF"/>
              <w:right w:val="single" w:sz="8" w:color="BFBFBF"/>
            </w:tcBorders>
            <w:shd w:val="clear" w:color="auto" w:fill="F2F2F2"/>
          </w:tcPr>
          <w:p>
            <w:pPr>
              <w:spacing w:after="0"/>
              <w:rPr>
                <w:sz w:val="11"/>
                <w:szCs w:val="11"/>
                <w:color w:val="auto"/>
              </w:rPr>
            </w:pPr>
          </w:p>
        </w:tc>
        <w:tc>
          <w:tcPr>
            <w:tcW w:w="3500" w:type="dxa"/>
            <w:vAlign w:val="bottom"/>
            <w:tcBorders>
              <w:bottom w:val="single" w:sz="8" w:color="BFBFBF"/>
              <w:right w:val="single" w:sz="8" w:color="BFBFBF"/>
            </w:tcBorders>
            <w:shd w:val="clear" w:color="auto" w:fill="F2F2F2"/>
          </w:tcPr>
          <w:p>
            <w:pPr>
              <w:spacing w:after="0"/>
              <w:rPr>
                <w:sz w:val="11"/>
                <w:szCs w:val="11"/>
                <w:color w:val="auto"/>
              </w:rPr>
            </w:pPr>
          </w:p>
        </w:tc>
        <w:tc>
          <w:tcPr>
            <w:tcW w:w="3500" w:type="dxa"/>
            <w:vAlign w:val="bottom"/>
            <w:tcBorders>
              <w:bottom w:val="single" w:sz="8" w:color="BFBFBF"/>
              <w:right w:val="single" w:sz="8" w:color="BFBFBF"/>
            </w:tcBorders>
            <w:shd w:val="clear" w:color="auto" w:fill="F2F2F2"/>
          </w:tcPr>
          <w:p>
            <w:pPr>
              <w:spacing w:after="0"/>
              <w:rPr>
                <w:sz w:val="11"/>
                <w:szCs w:val="11"/>
                <w:color w:val="auto"/>
              </w:rPr>
            </w:pPr>
          </w:p>
        </w:tc>
      </w:tr>
      <w:tr>
        <w:trPr>
          <w:trHeight w:val="211"/>
        </w:trPr>
        <w:tc>
          <w:tcPr>
            <w:tcW w:w="2920" w:type="dxa"/>
            <w:vAlign w:val="bottom"/>
            <w:tcBorders>
              <w:left w:val="single" w:sz="8" w:color="BFBFBF"/>
              <w:right w:val="single" w:sz="8" w:color="BFBFBF"/>
            </w:tcBorders>
          </w:tcPr>
          <w:p>
            <w:pPr>
              <w:ind w:left="440"/>
              <w:spacing w:after="0"/>
              <w:rPr>
                <w:sz w:val="20"/>
                <w:szCs w:val="20"/>
                <w:color w:val="auto"/>
              </w:rPr>
            </w:pPr>
            <w:r>
              <w:rPr>
                <w:rFonts w:ascii="Arial" w:cs="Arial" w:eastAsia="Arial" w:hAnsi="Arial"/>
                <w:sz w:val="16"/>
                <w:szCs w:val="16"/>
                <w:color w:val="auto"/>
              </w:rPr>
              <w:t>Between June 30, 2023 and</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First Vesting Tranche</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To the extent not vested as of the</w:t>
            </w:r>
          </w:p>
        </w:tc>
      </w:tr>
      <w:tr>
        <w:trPr>
          <w:trHeight w:val="189"/>
        </w:trPr>
        <w:tc>
          <w:tcPr>
            <w:tcW w:w="2920" w:type="dxa"/>
            <w:vAlign w:val="bottom"/>
            <w:tcBorders>
              <w:left w:val="single" w:sz="8" w:color="BFBFBF"/>
              <w:right w:val="single" w:sz="8" w:color="BFBFBF"/>
            </w:tcBorders>
          </w:tcPr>
          <w:p>
            <w:pPr>
              <w:ind w:left="440"/>
              <w:spacing w:after="0"/>
              <w:rPr>
                <w:sz w:val="20"/>
                <w:szCs w:val="20"/>
                <w:color w:val="auto"/>
              </w:rPr>
            </w:pPr>
            <w:r>
              <w:rPr>
                <w:rFonts w:ascii="Arial" w:cs="Arial" w:eastAsia="Arial" w:hAnsi="Arial"/>
                <w:sz w:val="16"/>
                <w:szCs w:val="16"/>
                <w:color w:val="auto"/>
              </w:rPr>
              <w:t>June 30, 2024</w:t>
            </w: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Termination  Date,  full  number  of</w:t>
            </w:r>
          </w:p>
        </w:tc>
      </w:tr>
      <w:tr>
        <w:trPr>
          <w:trHeight w:val="189"/>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PRSUs  in  such  Vesting  Tranche  if</w:t>
            </w:r>
          </w:p>
        </w:tc>
      </w:tr>
      <w:tr>
        <w:trPr>
          <w:trHeight w:val="189"/>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Vesting Date is on or prior to June 30,</w:t>
            </w:r>
          </w:p>
        </w:tc>
      </w:tr>
      <w:tr>
        <w:trPr>
          <w:trHeight w:val="195"/>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2024</w:t>
            </w:r>
          </w:p>
        </w:tc>
      </w:tr>
      <w:tr>
        <w:trPr>
          <w:trHeight w:val="195"/>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bottom w:val="single" w:sz="8" w:color="BFBFBF"/>
              <w:right w:val="single" w:sz="8" w:color="BFBFBF"/>
            </w:tcBorders>
          </w:tcPr>
          <w:p>
            <w:pPr>
              <w:spacing w:after="0"/>
              <w:rPr>
                <w:sz w:val="16"/>
                <w:szCs w:val="16"/>
                <w:color w:val="auto"/>
              </w:rPr>
            </w:pPr>
          </w:p>
        </w:tc>
        <w:tc>
          <w:tcPr>
            <w:tcW w:w="3500" w:type="dxa"/>
            <w:vAlign w:val="bottom"/>
            <w:tcBorders>
              <w:bottom w:val="single" w:sz="8" w:color="BFBFBF"/>
              <w:right w:val="single" w:sz="8" w:color="BFBFBF"/>
            </w:tcBorders>
          </w:tcPr>
          <w:p>
            <w:pPr>
              <w:spacing w:after="0"/>
              <w:rPr>
                <w:sz w:val="16"/>
                <w:szCs w:val="16"/>
                <w:color w:val="auto"/>
              </w:rPr>
            </w:pPr>
          </w:p>
        </w:tc>
      </w:tr>
      <w:tr>
        <w:trPr>
          <w:trHeight w:val="211"/>
        </w:trPr>
        <w:tc>
          <w:tcPr>
            <w:tcW w:w="2920" w:type="dxa"/>
            <w:vAlign w:val="bottom"/>
            <w:tcBorders>
              <w:left w:val="single" w:sz="8" w:color="BFBFBF"/>
              <w:right w:val="single" w:sz="8" w:color="BFBFBF"/>
            </w:tcBorders>
          </w:tcPr>
          <w:p>
            <w:pPr>
              <w:spacing w:after="0"/>
              <w:rPr>
                <w:sz w:val="18"/>
                <w:szCs w:val="18"/>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Second Vesting Tranche</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To the extent not vested as of the</w:t>
            </w:r>
          </w:p>
        </w:tc>
      </w:tr>
      <w:tr>
        <w:trPr>
          <w:trHeight w:val="189"/>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Termination  Date,  full  number  of</w:t>
            </w:r>
          </w:p>
        </w:tc>
      </w:tr>
      <w:tr>
        <w:trPr>
          <w:trHeight w:val="189"/>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PRSUs  in  such  Vesting  Tranche  if</w:t>
            </w:r>
          </w:p>
        </w:tc>
      </w:tr>
      <w:tr>
        <w:trPr>
          <w:trHeight w:val="189"/>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Vesting Date is on or prior to June 30,</w:t>
            </w:r>
          </w:p>
        </w:tc>
      </w:tr>
      <w:tr>
        <w:trPr>
          <w:trHeight w:val="195"/>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2024</w:t>
            </w:r>
          </w:p>
        </w:tc>
      </w:tr>
      <w:tr>
        <w:trPr>
          <w:trHeight w:val="195"/>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bottom w:val="single" w:sz="8" w:color="BFBFBF"/>
              <w:right w:val="single" w:sz="8" w:color="BFBFBF"/>
            </w:tcBorders>
          </w:tcPr>
          <w:p>
            <w:pPr>
              <w:spacing w:after="0"/>
              <w:rPr>
                <w:sz w:val="16"/>
                <w:szCs w:val="16"/>
                <w:color w:val="auto"/>
              </w:rPr>
            </w:pPr>
          </w:p>
        </w:tc>
        <w:tc>
          <w:tcPr>
            <w:tcW w:w="3500" w:type="dxa"/>
            <w:vAlign w:val="bottom"/>
            <w:tcBorders>
              <w:bottom w:val="single" w:sz="8" w:color="BFBFBF"/>
              <w:right w:val="single" w:sz="8" w:color="BFBFBF"/>
            </w:tcBorders>
          </w:tcPr>
          <w:p>
            <w:pPr>
              <w:spacing w:after="0"/>
              <w:rPr>
                <w:sz w:val="16"/>
                <w:szCs w:val="16"/>
                <w:color w:val="auto"/>
              </w:rPr>
            </w:pPr>
          </w:p>
        </w:tc>
      </w:tr>
      <w:tr>
        <w:trPr>
          <w:trHeight w:val="211"/>
        </w:trPr>
        <w:tc>
          <w:tcPr>
            <w:tcW w:w="2920" w:type="dxa"/>
            <w:vAlign w:val="bottom"/>
            <w:tcBorders>
              <w:left w:val="single" w:sz="8" w:color="BFBFBF"/>
              <w:right w:val="single" w:sz="8" w:color="BFBFBF"/>
            </w:tcBorders>
          </w:tcPr>
          <w:p>
            <w:pPr>
              <w:spacing w:after="0"/>
              <w:rPr>
                <w:sz w:val="18"/>
                <w:szCs w:val="18"/>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Third Vesting Tranche</w:t>
            </w: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Pro-Rata Amount (defined below) if</w:t>
            </w:r>
          </w:p>
        </w:tc>
      </w:tr>
      <w:tr>
        <w:trPr>
          <w:trHeight w:val="195"/>
        </w:trPr>
        <w:tc>
          <w:tcPr>
            <w:tcW w:w="2920" w:type="dxa"/>
            <w:vAlign w:val="bottom"/>
            <w:tcBorders>
              <w:left w:val="single" w:sz="8" w:color="BFBFBF"/>
              <w:right w:val="single" w:sz="8" w:color="BFBFBF"/>
            </w:tcBorders>
          </w:tcPr>
          <w:p>
            <w:pPr>
              <w:spacing w:after="0"/>
              <w:rPr>
                <w:sz w:val="16"/>
                <w:szCs w:val="16"/>
                <w:color w:val="auto"/>
              </w:rPr>
            </w:pPr>
          </w:p>
        </w:tc>
        <w:tc>
          <w:tcPr>
            <w:tcW w:w="3500" w:type="dxa"/>
            <w:vAlign w:val="bottom"/>
            <w:tcBorders>
              <w:right w:val="single" w:sz="8" w:color="BFBFBF"/>
            </w:tcBorders>
          </w:tcPr>
          <w:p>
            <w:pPr>
              <w:spacing w:after="0"/>
              <w:rPr>
                <w:sz w:val="16"/>
                <w:szCs w:val="16"/>
                <w:color w:val="auto"/>
              </w:rPr>
            </w:pPr>
          </w:p>
        </w:tc>
        <w:tc>
          <w:tcPr>
            <w:tcW w:w="3500" w:type="dxa"/>
            <w:vAlign w:val="bottom"/>
            <w:tcBorders>
              <w:right w:val="single" w:sz="8" w:color="BFBFBF"/>
            </w:tcBorders>
          </w:tcPr>
          <w:p>
            <w:pPr>
              <w:ind w:left="420"/>
              <w:spacing w:after="0"/>
              <w:rPr>
                <w:sz w:val="20"/>
                <w:szCs w:val="20"/>
                <w:color w:val="auto"/>
              </w:rPr>
            </w:pPr>
            <w:r>
              <w:rPr>
                <w:rFonts w:ascii="Arial" w:cs="Arial" w:eastAsia="Arial" w:hAnsi="Arial"/>
                <w:sz w:val="16"/>
                <w:szCs w:val="16"/>
                <w:color w:val="auto"/>
              </w:rPr>
              <w:t>Vesting Date is on June 30, 2024</w:t>
            </w:r>
          </w:p>
        </w:tc>
      </w:tr>
      <w:tr>
        <w:trPr>
          <w:trHeight w:val="181"/>
        </w:trPr>
        <w:tc>
          <w:tcPr>
            <w:tcW w:w="2920" w:type="dxa"/>
            <w:vAlign w:val="bottom"/>
            <w:tcBorders>
              <w:left w:val="single" w:sz="8" w:color="BFBFBF"/>
              <w:bottom w:val="single" w:sz="8" w:color="BFBFBF"/>
              <w:right w:val="single" w:sz="8" w:color="BFBFBF"/>
            </w:tcBorders>
          </w:tcPr>
          <w:p>
            <w:pPr>
              <w:spacing w:after="0"/>
              <w:rPr>
                <w:sz w:val="15"/>
                <w:szCs w:val="15"/>
                <w:color w:val="auto"/>
              </w:rPr>
            </w:pPr>
          </w:p>
        </w:tc>
        <w:tc>
          <w:tcPr>
            <w:tcW w:w="3500" w:type="dxa"/>
            <w:vAlign w:val="bottom"/>
            <w:tcBorders>
              <w:bottom w:val="single" w:sz="8" w:color="BFBFBF"/>
              <w:right w:val="single" w:sz="8" w:color="BFBFBF"/>
            </w:tcBorders>
          </w:tcPr>
          <w:p>
            <w:pPr>
              <w:spacing w:after="0"/>
              <w:rPr>
                <w:sz w:val="15"/>
                <w:szCs w:val="15"/>
                <w:color w:val="auto"/>
              </w:rPr>
            </w:pPr>
          </w:p>
        </w:tc>
        <w:tc>
          <w:tcPr>
            <w:tcW w:w="3500" w:type="dxa"/>
            <w:vAlign w:val="bottom"/>
            <w:tcBorders>
              <w:bottom w:val="single" w:sz="8" w:color="BFBFBF"/>
              <w:right w:val="single" w:sz="8" w:color="BFBFBF"/>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-3505835</wp:posOffset>
            </wp:positionV>
            <wp:extent cx="2237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-3736975</wp:posOffset>
            </wp:positionV>
            <wp:extent cx="2237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left="897" w:right="26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will be equal to the number of PRSUs subject to the applicable Vesting Tranche, multiplied by a fraction, the numerator of which is the number of full months elapsed since the most recent Service Vesting Date immediately preceding such Termination Date (or, where the Termination Date is prior to the first Service Vesting Date, the Date of Grant) and the denominator of which is 12.</w:t>
      </w:r>
    </w:p>
    <w:p>
      <w:pPr>
        <w:spacing w:after="0" w:line="144" w:lineRule="exact"/>
        <w:rPr>
          <w:sz w:val="20"/>
          <w:szCs w:val="20"/>
          <w:color w:val="auto"/>
        </w:rPr>
      </w:pPr>
    </w:p>
    <w:p>
      <w:pPr>
        <w:jc w:val="both"/>
        <w:ind w:left="897" w:right="260"/>
        <w:spacing w:after="0" w:line="256" w:lineRule="auto"/>
        <w:rPr>
          <w:sz w:val="20"/>
          <w:szCs w:val="20"/>
          <w:color w:val="auto"/>
        </w:rPr>
      </w:pPr>
      <w:r>
        <w:rPr>
          <w:rFonts w:ascii="Arial" w:cs="Arial" w:eastAsia="Arial" w:hAnsi="Arial"/>
          <w:sz w:val="18"/>
          <w:szCs w:val="18"/>
          <w:color w:val="auto"/>
        </w:rPr>
        <w:t>The vesting of such PRSUs, and any dividend equivalents with respect thereto, shall remain subject to the achievement of the applicable Share Price Condition on or prior to the date indicated in the table above, and shall be settled within 60 days following the Vesting Date in</w:t>
      </w:r>
    </w:p>
    <w:p>
      <w:pPr>
        <w:sectPr>
          <w:pgSz w:w="11900" w:h="16838" w:orient="portrait"/>
          <w:cols w:equalWidth="0" w:num="1">
            <w:col w:w="10837"/>
          </w:cols>
          <w:pgMar w:left="723"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3"/>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837"/>
          </w:cols>
          <w:pgMar w:left="723" w:top="1111" w:right="339" w:bottom="1440" w:gutter="0" w:footer="0" w:header="0"/>
          <w:type w:val="continuous"/>
        </w:sectPr>
      </w:pPr>
    </w:p>
    <w:bookmarkStart w:id="53" w:name="page54"/>
    <w:bookmarkEnd w:id="53"/>
    <w:p>
      <w:pPr>
        <w:jc w:val="both"/>
        <w:ind w:left="806" w:right="260"/>
        <w:spacing w:after="0" w:line="253" w:lineRule="auto"/>
        <w:rPr>
          <w:sz w:val="20"/>
          <w:szCs w:val="20"/>
          <w:color w:val="auto"/>
        </w:rPr>
      </w:pPr>
      <w:r>
        <w:rPr>
          <w:rFonts w:ascii="Arial" w:cs="Arial" w:eastAsia="Arial" w:hAnsi="Arial"/>
          <w:sz w:val="18"/>
          <w:szCs w:val="18"/>
          <w:color w:val="auto"/>
        </w:rPr>
        <w:t xml:space="preserve">accordance with Section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pursuant to the table set forth above shall be forfeited.</w:t>
      </w:r>
    </w:p>
    <w:p>
      <w:pPr>
        <w:spacing w:after="0" w:line="133" w:lineRule="exact"/>
        <w:rPr>
          <w:sz w:val="20"/>
          <w:szCs w:val="20"/>
          <w:color w:val="auto"/>
        </w:rPr>
      </w:pPr>
    </w:p>
    <w:p>
      <w:pPr>
        <w:jc w:val="both"/>
        <w:ind w:left="806" w:right="260" w:firstLine="4"/>
        <w:spacing w:after="0" w:line="254" w:lineRule="auto"/>
        <w:tabs>
          <w:tab w:leader="none" w:pos="159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of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right="260" w:firstLine="4"/>
        <w:spacing w:after="0" w:line="258" w:lineRule="auto"/>
        <w:tabs>
          <w:tab w:leader="none" w:pos="1256"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the Employer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prior to a Change in Control, the PRSUs covered by this Agreement, and any dividend equivalents with respect thereto, shall remain eligible to vest pursuant to Section 3 as if such Employee remained employed through each applicable Service Vesting Date and shall be settled within 60 days following the applicable Vesting Date in accordance with Section 2, without proration.</w:t>
      </w:r>
    </w:p>
    <w:p>
      <w:pPr>
        <w:spacing w:after="0" w:line="129" w:lineRule="exact"/>
        <w:rPr>
          <w:rFonts w:ascii="Arial" w:cs="Arial" w:eastAsia="Arial" w:hAnsi="Arial"/>
          <w:sz w:val="18"/>
          <w:szCs w:val="18"/>
          <w:color w:val="auto"/>
        </w:rPr>
      </w:pPr>
    </w:p>
    <w:p>
      <w:pPr>
        <w:jc w:val="both"/>
        <w:ind w:left="806" w:right="260" w:firstLine="4"/>
        <w:spacing w:after="0" w:line="261" w:lineRule="auto"/>
        <w:tabs>
          <w:tab w:leader="none" w:pos="127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the Employer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Cause, the PRSUs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122" w:lineRule="exact"/>
        <w:rPr>
          <w:sz w:val="20"/>
          <w:szCs w:val="20"/>
          <w:color w:val="auto"/>
        </w:rPr>
      </w:pPr>
    </w:p>
    <w:p>
      <w:pPr>
        <w:ind w:left="226" w:hanging="226"/>
        <w:spacing w:after="0" w:line="287" w:lineRule="auto"/>
        <w:tabs>
          <w:tab w:leader="none" w:pos="57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2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Employee within two years of the occurrence of any of the following circumstances, provided that (1) such circumstance occurs without Employee’s express written consent after a Change in Control, and (2) Employee gives the Company notice of the occurrence of the offending circumstance(s) within 90 days of the first occurrence of the circumstance(s), and the Company fails to cure the circumstance(s) within 30 days of receipt of this notice (or the Company notifies Employee in writing prior to the expiration of such 30-day period that the circumstance(s) will not be cured):</w:t>
      </w:r>
    </w:p>
    <w:p>
      <w:pPr>
        <w:spacing w:after="0" w:line="147" w:lineRule="exact"/>
        <w:rPr>
          <w:sz w:val="20"/>
          <w:szCs w:val="20"/>
          <w:color w:val="auto"/>
        </w:rPr>
      </w:pPr>
    </w:p>
    <w:p>
      <w:pPr>
        <w:ind w:left="806" w:firstLine="4"/>
        <w:spacing w:after="0" w:line="261" w:lineRule="auto"/>
        <w:tabs>
          <w:tab w:leader="none" w:pos="12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material diminution of Employee’s authority, duties, or responsibilities from those in effect immediately prior to a Change in Control;</w:t>
      </w:r>
    </w:p>
    <w:p>
      <w:pPr>
        <w:spacing w:after="0" w:line="143" w:lineRule="exact"/>
        <w:rPr>
          <w:rFonts w:ascii="Arial" w:cs="Arial" w:eastAsia="Arial" w:hAnsi="Arial"/>
          <w:sz w:val="18"/>
          <w:szCs w:val="18"/>
          <w:color w:val="auto"/>
        </w:rPr>
      </w:pPr>
    </w:p>
    <w:p>
      <w:pPr>
        <w:jc w:val="both"/>
        <w:ind w:left="806" w:firstLine="4"/>
        <w:spacing w:after="0" w:line="252" w:lineRule="auto"/>
        <w:tabs>
          <w:tab w:leader="none" w:pos="12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the following: (1) A material reduction in Employee’s annual base salary and/or annual target bonus, (2) a failure by the Company to increase Employee’s annual base salary following a Change in Control at such periodic intervals not materially inconsistent with the Company’s practice prior thereto by at least a percentage equal to the average of the percentage increases in Employee’s base salary for the three merit pay periods immediately preceding such Change in Control, or (3) the failure to increase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46"/>
          </w:cols>
          <w:pgMar w:left="814" w:top="1111" w:right="339" w:bottom="1440" w:gutter="0" w:footer="0" w:header="0"/>
        </w:sectPr>
      </w:pPr>
    </w:p>
    <w:bookmarkStart w:id="54" w:name="page55"/>
    <w:bookmarkEnd w:id="54"/>
    <w:p>
      <w:pPr>
        <w:jc w:val="both"/>
        <w:ind w:left="1130" w:firstLine="4"/>
        <w:spacing w:after="0" w:line="254" w:lineRule="auto"/>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requiring Employee to be based anywhere other than in the metropolitan area in which Employee was based immediately before the Change in Control (except for required travel on the Company’s business to an extent substantially consistent with Employee’s present business travel obligations), provided that such required relocation constitutes a material change in the geographic location at which Employee is required to perform the services;</w:t>
      </w:r>
    </w:p>
    <w:p>
      <w:pPr>
        <w:spacing w:after="0" w:line="149" w:lineRule="exact"/>
        <w:rPr>
          <w:rFonts w:ascii="Arial" w:cs="Arial" w:eastAsia="Arial" w:hAnsi="Arial"/>
          <w:sz w:val="18"/>
          <w:szCs w:val="18"/>
          <w:color w:val="auto"/>
        </w:rPr>
      </w:pPr>
    </w:p>
    <w:p>
      <w:pPr>
        <w:jc w:val="both"/>
        <w:ind w:left="1130" w:firstLine="4"/>
        <w:spacing w:after="0" w:line="252" w:lineRule="auto"/>
        <w:tabs>
          <w:tab w:leader="none" w:pos="16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Employee’s participation therein (or in such substitute or alternative plan) on a basis not materially less favorable, both in terms of the amount of benefits provided and the level of Employee’s participation relative to other employees, than existed at the time of the Change in Control; or</w:t>
      </w:r>
    </w:p>
    <w:p>
      <w:pPr>
        <w:spacing w:after="0" w:line="152" w:lineRule="exact"/>
        <w:rPr>
          <w:rFonts w:ascii="Arial" w:cs="Arial" w:eastAsia="Arial" w:hAnsi="Arial"/>
          <w:sz w:val="18"/>
          <w:szCs w:val="18"/>
          <w:color w:val="auto"/>
        </w:rPr>
      </w:pPr>
    </w:p>
    <w:p>
      <w:pPr>
        <w:ind w:left="1130" w:firstLine="4"/>
        <w:spacing w:after="0" w:line="261" w:lineRule="auto"/>
        <w:tabs>
          <w:tab w:leader="none" w:pos="1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144" w:lineRule="exact"/>
        <w:rPr>
          <w:sz w:val="20"/>
          <w:szCs w:val="20"/>
          <w:color w:val="auto"/>
        </w:rPr>
      </w:pPr>
    </w:p>
    <w:p>
      <w:pPr>
        <w:jc w:val="both"/>
        <w:ind w:left="1130"/>
        <w:spacing w:after="0" w:line="253" w:lineRule="auto"/>
        <w:rPr>
          <w:sz w:val="20"/>
          <w:szCs w:val="20"/>
          <w:color w:val="auto"/>
        </w:rPr>
      </w:pPr>
      <w:r>
        <w:rPr>
          <w:rFonts w:ascii="Arial" w:cs="Arial" w:eastAsia="Arial" w:hAnsi="Arial"/>
          <w:sz w:val="18"/>
          <w:szCs w:val="18"/>
          <w:color w:val="auto"/>
        </w:rPr>
        <w:t>A termination by Employee of his or her employment shall not fail to be a Termination for Good Reason merely because of Employee’s incapacity due to physical or mental illness, or because Employee’s employment continued after the occurrence of any of the events listed in this subsection. For the avoidance of doubt, a Termination for Good Reason by Employee shall not mean the Company’s reasonable accommodation or modification of Employee’s authority, duties, or responsibilities because of Employee’s Disability.</w:t>
      </w:r>
    </w:p>
    <w:p>
      <w:pPr>
        <w:spacing w:after="0" w:line="129" w:lineRule="exact"/>
        <w:rPr>
          <w:sz w:val="20"/>
          <w:szCs w:val="20"/>
          <w:color w:val="auto"/>
        </w:rPr>
      </w:pPr>
    </w:p>
    <w:p>
      <w:pPr>
        <w:jc w:val="both"/>
        <w:ind w:left="3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ind w:left="3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the Employer.</w:t>
      </w:r>
    </w:p>
    <w:p>
      <w:pPr>
        <w:spacing w:after="0" w:line="171" w:lineRule="exact"/>
        <w:rPr>
          <w:sz w:val="20"/>
          <w:szCs w:val="20"/>
          <w:color w:val="auto"/>
        </w:rPr>
      </w:pPr>
    </w:p>
    <w:p>
      <w:pPr>
        <w:jc w:val="both"/>
        <w:ind w:left="3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3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21" w:lineRule="exact"/>
        <w:rPr>
          <w:sz w:val="20"/>
          <w:szCs w:val="20"/>
          <w:color w:val="auto"/>
        </w:rPr>
      </w:pPr>
    </w:p>
    <w:p>
      <w:pPr>
        <w:jc w:val="both"/>
        <w:ind w:left="490" w:hanging="263"/>
        <w:spacing w:after="0" w:line="251" w:lineRule="auto"/>
        <w:tabs>
          <w:tab w:leader="none" w:pos="5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Divestiture. Notwithstanding the above, the termination of the Employee’s employment with the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PRSUs shall vest and be paid as provided in Section 8(a)(ii) above; provided, however, that in the event such Termination Date occurs prior to June 30, 2022, the Employee shall be eligible to vest with respect to the First Vesting Tranche to the extent that the Vesting Date for such tranche occurs on or prior to June 30, 2023, prorated based on a fraction, the numerator of which is the number of full months elapsed since the Date of Grant and the denominator of which is 12, and the remaining PRSUs shall be forfeited; and provided, further,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w:t>
      </w:r>
    </w:p>
    <w:p>
      <w:pPr>
        <w:spacing w:after="0" w:line="156" w:lineRule="exact"/>
        <w:rPr>
          <w:rFonts w:ascii="Arial" w:cs="Arial" w:eastAsia="Arial" w:hAnsi="Arial"/>
          <w:sz w:val="18"/>
          <w:szCs w:val="18"/>
          <w:color w:val="auto"/>
        </w:rPr>
      </w:pPr>
    </w:p>
    <w:p>
      <w:pPr>
        <w:jc w:val="both"/>
        <w:ind w:left="10" w:hanging="10"/>
        <w:spacing w:after="0" w:line="253" w:lineRule="auto"/>
        <w:tabs>
          <w:tab w:leader="none" w:pos="38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70"/>
          </w:cols>
          <w:pgMar w:left="490" w:top="1111" w:right="339" w:bottom="1440" w:gutter="0" w:footer="0" w:header="0"/>
        </w:sectPr>
      </w:pPr>
    </w:p>
    <w:bookmarkStart w:id="55" w:name="page56"/>
    <w:bookmarkEnd w:id="55"/>
    <w:p>
      <w:pPr>
        <w:ind w:left="10"/>
        <w:spacing w:after="0" w:line="261" w:lineRule="auto"/>
        <w:rPr>
          <w:sz w:val="20"/>
          <w:szCs w:val="20"/>
          <w:color w:val="auto"/>
        </w:rPr>
      </w:pPr>
      <w:r>
        <w:rPr>
          <w:rFonts w:ascii="Arial" w:cs="Arial" w:eastAsia="Arial" w:hAnsi="Arial"/>
          <w:sz w:val="18"/>
          <w:szCs w:val="18"/>
          <w:color w:val="auto"/>
        </w:rPr>
        <w:t>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44" w:lineRule="exact"/>
        <w:rPr>
          <w:sz w:val="20"/>
          <w:szCs w:val="20"/>
          <w:color w:val="auto"/>
        </w:rPr>
      </w:pPr>
    </w:p>
    <w:p>
      <w:pPr>
        <w:jc w:val="both"/>
        <w:ind w:left="10" w:hanging="10"/>
        <w:spacing w:after="0" w:line="252"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151" w:lineRule="exact"/>
        <w:rPr>
          <w:rFonts w:ascii="Arial" w:cs="Arial" w:eastAsia="Arial" w:hAnsi="Arial"/>
          <w:sz w:val="18"/>
          <w:szCs w:val="18"/>
          <w:color w:val="auto"/>
        </w:rPr>
      </w:pPr>
    </w:p>
    <w:p>
      <w:pPr>
        <w:ind w:left="450" w:hanging="450"/>
        <w:spacing w:after="0"/>
        <w:tabs>
          <w:tab w:leader="none" w:pos="4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250" w:hanging="7"/>
        <w:spacing w:after="0" w:line="256" w:lineRule="auto"/>
        <w:tabs>
          <w:tab w:leader="none" w:pos="71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47" w:lineRule="exact"/>
        <w:rPr>
          <w:rFonts w:ascii="Arial" w:cs="Arial" w:eastAsia="Arial" w:hAnsi="Arial"/>
          <w:sz w:val="18"/>
          <w:szCs w:val="18"/>
          <w:color w:val="auto"/>
        </w:rPr>
      </w:pPr>
    </w:p>
    <w:p>
      <w:pPr>
        <w:ind w:left="250" w:right="20" w:firstLine="74"/>
        <w:spacing w:after="0" w:line="261" w:lineRule="auto"/>
        <w:tabs>
          <w:tab w:leader="none" w:pos="113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143" w:lineRule="exact"/>
        <w:rPr>
          <w:rFonts w:ascii="Arial" w:cs="Arial" w:eastAsia="Arial" w:hAnsi="Arial"/>
          <w:sz w:val="18"/>
          <w:szCs w:val="18"/>
          <w:color w:val="auto"/>
        </w:rPr>
      </w:pPr>
    </w:p>
    <w:p>
      <w:pPr>
        <w:ind w:left="250" w:firstLine="74"/>
        <w:spacing w:after="0" w:line="261" w:lineRule="auto"/>
        <w:tabs>
          <w:tab w:leader="none" w:pos="113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143"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PRSU award and Employee’s participation in the Plan will not be interpreted to form an employment contract or relationship with the Employer;</w:t>
      </w:r>
    </w:p>
    <w:p>
      <w:pPr>
        <w:spacing w:after="0" w:line="147" w:lineRule="exact"/>
        <w:rPr>
          <w:rFonts w:ascii="Arial" w:cs="Arial" w:eastAsia="Arial" w:hAnsi="Arial"/>
          <w:sz w:val="18"/>
          <w:szCs w:val="18"/>
          <w:color w:val="auto"/>
        </w:rPr>
      </w:pPr>
    </w:p>
    <w:p>
      <w:pPr>
        <w:ind w:left="1130" w:hanging="806"/>
        <w:spacing w:after="0"/>
        <w:tabs>
          <w:tab w:leader="none" w:pos="113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56" w:lineRule="auto"/>
        <w:tabs>
          <w:tab w:leader="none" w:pos="1135"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47" w:lineRule="exact"/>
        <w:rPr>
          <w:rFonts w:ascii="Arial" w:cs="Arial" w:eastAsia="Arial" w:hAnsi="Arial"/>
          <w:sz w:val="18"/>
          <w:szCs w:val="18"/>
          <w:color w:val="auto"/>
        </w:rPr>
      </w:pPr>
    </w:p>
    <w:p>
      <w:pPr>
        <w:ind w:left="250" w:firstLine="74"/>
        <w:spacing w:after="0" w:line="261" w:lineRule="auto"/>
        <w:tabs>
          <w:tab w:leader="none" w:pos="113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143" w:lineRule="exact"/>
        <w:rPr>
          <w:rFonts w:ascii="Arial" w:cs="Arial" w:eastAsia="Arial" w:hAnsi="Arial"/>
          <w:sz w:val="18"/>
          <w:szCs w:val="18"/>
          <w:color w:val="auto"/>
        </w:rPr>
      </w:pPr>
    </w:p>
    <w:p>
      <w:pPr>
        <w:jc w:val="both"/>
        <w:ind w:left="250" w:firstLine="74"/>
        <w:spacing w:after="0" w:line="254" w:lineRule="auto"/>
        <w:tabs>
          <w:tab w:leader="none" w:pos="113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50" w:lineRule="exact"/>
        <w:rPr>
          <w:sz w:val="20"/>
          <w:szCs w:val="20"/>
          <w:color w:val="auto"/>
        </w:rPr>
      </w:pPr>
    </w:p>
    <w:p>
      <w:pPr>
        <w:ind w:left="330"/>
        <w:spacing w:after="0"/>
        <w:rPr>
          <w:sz w:val="20"/>
          <w:szCs w:val="20"/>
          <w:color w:val="auto"/>
        </w:rPr>
      </w:pPr>
      <w:r>
        <w:rPr>
          <w:rFonts w:ascii="Arial" w:cs="Arial" w:eastAsia="Arial" w:hAnsi="Arial"/>
          <w:sz w:val="18"/>
          <w:szCs w:val="18"/>
          <w:color w:val="auto"/>
        </w:rPr>
        <w:t>(i)the future value of the underlying shares of Common Stock is unknown and cannot be predicted with certainty;</w:t>
      </w:r>
    </w:p>
    <w:p>
      <w:pPr>
        <w:spacing w:after="0" w:line="171" w:lineRule="exact"/>
        <w:rPr>
          <w:sz w:val="20"/>
          <w:szCs w:val="20"/>
          <w:color w:val="auto"/>
        </w:rPr>
      </w:pPr>
    </w:p>
    <w:p>
      <w:pPr>
        <w:jc w:val="both"/>
        <w:ind w:left="250" w:firstLine="81"/>
        <w:spacing w:after="0" w:line="252" w:lineRule="auto"/>
        <w:rPr>
          <w:sz w:val="20"/>
          <w:szCs w:val="20"/>
          <w:color w:val="auto"/>
        </w:rPr>
      </w:pPr>
      <w:r>
        <w:rPr>
          <w:rFonts w:ascii="Arial" w:cs="Arial" w:eastAsia="Arial" w:hAnsi="Arial"/>
          <w:sz w:val="18"/>
          <w:szCs w:val="18"/>
          <w:color w:val="auto"/>
        </w:rPr>
        <w:t>(j)in consideration of the award of the PRSUs, no claim or entitlement to compensation or damages shall arise from forfeiture of the PRSUs,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70"/>
          </w:cols>
          <w:pgMar w:left="490" w:top="1111" w:right="339" w:bottom="1440" w:gutter="0" w:footer="0" w:header="0"/>
        </w:sectPr>
      </w:pPr>
    </w:p>
    <w:bookmarkStart w:id="56" w:name="page57"/>
    <w:bookmarkEnd w:id="56"/>
    <w:p>
      <w:pPr>
        <w:ind w:left="250" w:firstLine="74"/>
        <w:spacing w:after="0" w:line="261" w:lineRule="auto"/>
        <w:tabs>
          <w:tab w:leader="none" w:pos="11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49" w:lineRule="exact"/>
        <w:rPr>
          <w:rFonts w:ascii="Arial" w:cs="Arial" w:eastAsia="Arial" w:hAnsi="Arial"/>
          <w:sz w:val="18"/>
          <w:szCs w:val="18"/>
          <w:color w:val="auto"/>
        </w:rPr>
      </w:pPr>
    </w:p>
    <w:p>
      <w:pPr>
        <w:ind w:left="10" w:hanging="10"/>
        <w:spacing w:after="0" w:line="261" w:lineRule="auto"/>
        <w:tabs>
          <w:tab w:leader="none" w:pos="52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this Award and the delivery of any shares of Common Stock hereunder are contingent on the Employee executing, and the Employee’s continued compliance with, the Non-Competition and Non-Solicitation Agreement set forth as Exhibit A to this Agreement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0" w:hanging="10"/>
        <w:spacing w:after="0" w:line="261" w:lineRule="auto"/>
        <w:tabs>
          <w:tab w:leader="none" w:pos="51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143" w:lineRule="exact"/>
        <w:rPr>
          <w:rFonts w:ascii="Arial" w:cs="Arial" w:eastAsia="Arial" w:hAnsi="Arial"/>
          <w:sz w:val="18"/>
          <w:szCs w:val="18"/>
          <w:color w:val="auto"/>
        </w:rPr>
      </w:pPr>
    </w:p>
    <w:p>
      <w:pPr>
        <w:ind w:left="10" w:hanging="10"/>
        <w:spacing w:after="0" w:line="261" w:lineRule="auto"/>
        <w:tabs>
          <w:tab w:leader="none" w:pos="5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Cancellation and Rescission of Award. Without limiting the foregoing Section 15, the Company may cancel any award provided hereunder if the Employee is not in compliance with all of the following conditions:</w:t>
      </w:r>
    </w:p>
    <w:p>
      <w:pPr>
        <w:spacing w:after="0" w:line="143" w:lineRule="exact"/>
        <w:rPr>
          <w:rFonts w:ascii="Arial" w:cs="Arial" w:eastAsia="Arial" w:hAnsi="Arial"/>
          <w:sz w:val="18"/>
          <w:szCs w:val="18"/>
          <w:color w:val="auto"/>
        </w:rPr>
      </w:pPr>
    </w:p>
    <w:p>
      <w:pPr>
        <w:jc w:val="both"/>
        <w:ind w:left="330" w:firstLine="216"/>
        <w:spacing w:after="0" w:line="256" w:lineRule="auto"/>
        <w:tabs>
          <w:tab w:leader="none" w:pos="827"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47" w:lineRule="exact"/>
        <w:rPr>
          <w:rFonts w:ascii="Arial" w:cs="Arial" w:eastAsia="Arial" w:hAnsi="Arial"/>
          <w:sz w:val="18"/>
          <w:szCs w:val="18"/>
          <w:color w:val="auto"/>
        </w:rPr>
      </w:pPr>
    </w:p>
    <w:p>
      <w:pPr>
        <w:jc w:val="both"/>
        <w:ind w:left="330" w:firstLine="194"/>
        <w:spacing w:after="0" w:line="254" w:lineRule="auto"/>
        <w:tabs>
          <w:tab w:leader="none" w:pos="8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50" w:lineRule="exact"/>
        <w:rPr>
          <w:sz w:val="20"/>
          <w:szCs w:val="20"/>
          <w:color w:val="auto"/>
        </w:rPr>
      </w:pPr>
    </w:p>
    <w:p>
      <w:pPr>
        <w:jc w:val="both"/>
        <w:ind w:left="330"/>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54" w:lineRule="exact"/>
        <w:rPr>
          <w:sz w:val="20"/>
          <w:szCs w:val="20"/>
          <w:color w:val="auto"/>
        </w:rPr>
      </w:pPr>
    </w:p>
    <w:p>
      <w:pPr>
        <w:jc w:val="both"/>
        <w:ind w:left="330" w:firstLine="378"/>
        <w:spacing w:after="0" w:line="253" w:lineRule="auto"/>
        <w:tabs>
          <w:tab w:leader="none" w:pos="10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51" w:lineRule="exact"/>
        <w:rPr>
          <w:rFonts w:ascii="Arial" w:cs="Arial" w:eastAsia="Arial" w:hAnsi="Arial"/>
          <w:sz w:val="18"/>
          <w:szCs w:val="18"/>
          <w:color w:val="auto"/>
        </w:rPr>
      </w:pPr>
    </w:p>
    <w:p>
      <w:pPr>
        <w:jc w:val="both"/>
        <w:ind w:left="330" w:firstLine="205"/>
        <w:spacing w:after="0" w:line="252" w:lineRule="auto"/>
        <w:tabs>
          <w:tab w:leader="none" w:pos="8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70"/>
          </w:cols>
          <w:pgMar w:left="490" w:top="1111" w:right="339" w:bottom="1440" w:gutter="0" w:footer="0" w:header="0"/>
        </w:sectPr>
      </w:pPr>
    </w:p>
    <w:bookmarkStart w:id="57" w:name="page58"/>
    <w:bookmarkEnd w:id="57"/>
    <w:p>
      <w:pPr>
        <w:jc w:val="both"/>
        <w:ind w:left="10" w:hanging="10"/>
        <w:spacing w:after="0" w:line="256" w:lineRule="auto"/>
        <w:tabs>
          <w:tab w:leader="none" w:pos="51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47" w:lineRule="exact"/>
        <w:rPr>
          <w:rFonts w:ascii="Arial" w:cs="Arial" w:eastAsia="Arial" w:hAnsi="Arial"/>
          <w:sz w:val="18"/>
          <w:szCs w:val="18"/>
          <w:color w:val="auto"/>
        </w:rPr>
      </w:pPr>
    </w:p>
    <w:p>
      <w:pPr>
        <w:ind w:left="10" w:hanging="10"/>
        <w:spacing w:after="0" w:line="261" w:lineRule="auto"/>
        <w:tabs>
          <w:tab w:leader="none" w:pos="4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51" w:lineRule="exact"/>
        <w:rPr>
          <w:rFonts w:ascii="Arial" w:cs="Arial" w:eastAsia="Arial" w:hAnsi="Arial"/>
          <w:sz w:val="18"/>
          <w:szCs w:val="18"/>
          <w:color w:val="auto"/>
        </w:rPr>
      </w:pPr>
    </w:p>
    <w:p>
      <w:pPr>
        <w:jc w:val="both"/>
        <w:ind w:left="10" w:hanging="10"/>
        <w:spacing w:after="0" w:line="252" w:lineRule="auto"/>
        <w:tabs>
          <w:tab w:leader="none" w:pos="51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54" w:lineRule="exact"/>
        <w:rPr>
          <w:rFonts w:ascii="Arial" w:cs="Arial" w:eastAsia="Arial" w:hAnsi="Arial"/>
          <w:sz w:val="18"/>
          <w:szCs w:val="18"/>
          <w:color w:val="auto"/>
        </w:rPr>
      </w:pPr>
    </w:p>
    <w:p>
      <w:pPr>
        <w:ind w:left="10" w:hanging="10"/>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52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51" w:lineRule="exact"/>
        <w:rPr>
          <w:rFonts w:ascii="Arial" w:cs="Arial" w:eastAsia="Arial" w:hAnsi="Arial"/>
          <w:sz w:val="18"/>
          <w:szCs w:val="18"/>
          <w:color w:val="auto"/>
        </w:rPr>
      </w:pPr>
    </w:p>
    <w:p>
      <w:pPr>
        <w:jc w:val="both"/>
        <w:ind w:left="10" w:hanging="10"/>
        <w:spacing w:after="0" w:line="256" w:lineRule="auto"/>
        <w:tabs>
          <w:tab w:leader="none" w:pos="31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4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51"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1" w:lineRule="exact"/>
        <w:rPr>
          <w:sz w:val="20"/>
          <w:szCs w:val="20"/>
          <w:color w:val="auto"/>
        </w:rPr>
      </w:pPr>
    </w:p>
    <w:p>
      <w:pPr>
        <w:jc w:val="both"/>
        <w:ind w:left="10" w:hanging="10"/>
        <w:spacing w:after="0" w:line="254" w:lineRule="auto"/>
        <w:tabs>
          <w:tab w:leader="none" w:pos="2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0" w:lineRule="exact"/>
        <w:rPr>
          <w:sz w:val="20"/>
          <w:szCs w:val="20"/>
          <w:color w:val="auto"/>
        </w:rPr>
      </w:pPr>
    </w:p>
    <w:p>
      <w:pPr>
        <w:ind w:left="10"/>
        <w:spacing w:after="0" w:line="261"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70"/>
          </w:cols>
          <w:pgMar w:left="490" w:top="1111" w:right="339" w:bottom="1440" w:gutter="0" w:footer="0" w:header="0"/>
        </w:sectPr>
      </w:pPr>
    </w:p>
    <w:bookmarkStart w:id="58" w:name="page59"/>
    <w:bookmarkEnd w:id="58"/>
    <w:p>
      <w:pPr>
        <w:jc w:val="both"/>
        <w:ind w:left="10"/>
        <w:spacing w:after="0" w:line="253" w:lineRule="auto"/>
        <w:rPr>
          <w:sz w:val="20"/>
          <w:szCs w:val="20"/>
          <w:color w:val="auto"/>
        </w:rPr>
      </w:pPr>
      <w:r>
        <w:rPr>
          <w:rFonts w:ascii="Arial" w:cs="Arial" w:eastAsia="Arial" w:hAnsi="Arial"/>
          <w:sz w:val="18"/>
          <w:szCs w:val="18"/>
          <w:color w:val="auto"/>
        </w:rPr>
        <w:t>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51" w:lineRule="exact"/>
        <w:rPr>
          <w:sz w:val="20"/>
          <w:szCs w:val="20"/>
          <w:color w:val="auto"/>
        </w:rPr>
      </w:pPr>
    </w:p>
    <w:p>
      <w:pPr>
        <w:jc w:val="both"/>
        <w:ind w:left="10" w:hanging="10"/>
        <w:spacing w:after="0" w:line="256" w:lineRule="auto"/>
        <w:tabs>
          <w:tab w:leader="none" w:pos="57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7" w:lineRule="exact"/>
        <w:rPr>
          <w:rFonts w:ascii="Arial" w:cs="Arial" w:eastAsia="Arial" w:hAnsi="Arial"/>
          <w:sz w:val="18"/>
          <w:szCs w:val="18"/>
          <w:color w:val="auto"/>
        </w:rPr>
      </w:pPr>
    </w:p>
    <w:p>
      <w:pPr>
        <w:ind w:left="10" w:hanging="10"/>
        <w:spacing w:after="0" w:line="261" w:lineRule="auto"/>
        <w:tabs>
          <w:tab w:leader="none" w:pos="52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51" w:lineRule="exact"/>
        <w:rPr>
          <w:rFonts w:ascii="Arial" w:cs="Arial" w:eastAsia="Arial" w:hAnsi="Arial"/>
          <w:sz w:val="18"/>
          <w:szCs w:val="18"/>
          <w:color w:val="auto"/>
        </w:rPr>
      </w:pPr>
    </w:p>
    <w:p>
      <w:pPr>
        <w:jc w:val="both"/>
        <w:ind w:left="10" w:hanging="10"/>
        <w:spacing w:after="0" w:line="253" w:lineRule="auto"/>
        <w:tabs>
          <w:tab w:leader="none" w:pos="56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69" w:lineRule="exact"/>
        <w:rPr>
          <w:sz w:val="20"/>
          <w:szCs w:val="20"/>
          <w:color w:val="auto"/>
        </w:rPr>
      </w:pPr>
    </w:p>
    <w:p>
      <w:pPr>
        <w:ind w:left="5030"/>
        <w:spacing w:after="0"/>
        <w:rPr>
          <w:sz w:val="20"/>
          <w:szCs w:val="20"/>
          <w:color w:val="auto"/>
        </w:rPr>
      </w:pPr>
      <w:r>
        <w:rPr>
          <w:rFonts w:ascii="Arial" w:cs="Arial" w:eastAsia="Arial" w:hAnsi="Arial"/>
          <w:sz w:val="22"/>
          <w:szCs w:val="22"/>
          <w:color w:val="auto"/>
        </w:rPr>
        <w:t>CONDUENT INCORPORATED</w:t>
      </w:r>
    </w:p>
    <w:p>
      <w:pPr>
        <w:spacing w:after="0" w:line="200" w:lineRule="exact"/>
        <w:rPr>
          <w:sz w:val="20"/>
          <w:szCs w:val="20"/>
          <w:color w:val="auto"/>
        </w:rPr>
      </w:pPr>
    </w:p>
    <w:p>
      <w:pPr>
        <w:spacing w:after="0" w:line="283"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By: /s/ CHRISTOPHER KUJAWA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3354070</wp:posOffset>
            </wp:positionH>
            <wp:positionV relativeFrom="paragraph">
              <wp:posOffset>-10160</wp:posOffset>
            </wp:positionV>
            <wp:extent cx="1433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433195" cy="8890"/>
                    </a:xfrm>
                    <a:prstGeom prst="rect">
                      <a:avLst/>
                    </a:prstGeom>
                    <a:noFill/>
                  </pic:spPr>
                </pic:pic>
              </a:graphicData>
            </a:graphic>
          </wp:anchor>
        </w:drawing>
      </w:r>
    </w:p>
    <w:p>
      <w:pPr>
        <w:spacing w:after="0" w:line="3"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Christopher Kujawa, Chief Human Resources Officer</w:t>
      </w:r>
    </w:p>
    <w:p>
      <w:pPr>
        <w:spacing w:after="0" w:line="9"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Date: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70"/>
          </w:cols>
          <w:pgMar w:left="490" w:top="111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333333"/>
        </w:rPr>
        <w:t>Non-Competition and Non-Solicitation Agreement</w:t>
      </w:r>
    </w:p>
    <w:p>
      <w:pPr>
        <w:spacing w:after="0" w:line="3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This Non-Competition and Non-Solicitation Agreement (“Agreement”) is made effective as of June 30, 2021 (“Effective Date”) between Conduent Business Services, LLC, its parent, subsidiaries, divisions and affiliates (collectively, “Conduent”) and the individual whose name appears in the Award Summary (“Employee”).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acknowledges that Conduent is in a competitive industry in which the creation, maintenance, and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Conduent and Employee agree as follows:</w:t>
      </w:r>
    </w:p>
    <w:p>
      <w:pPr>
        <w:spacing w:after="0" w:line="243" w:lineRule="exact"/>
        <w:rPr>
          <w:sz w:val="20"/>
          <w:szCs w:val="20"/>
          <w:color w:val="auto"/>
        </w:rPr>
      </w:pPr>
    </w:p>
    <w:p>
      <w:pPr>
        <w:jc w:val="both"/>
        <w:ind w:left="340" w:right="560" w:hanging="332"/>
        <w:spacing w:after="0" w:line="258" w:lineRule="auto"/>
        <w:tabs>
          <w:tab w:leader="none" w:pos="340"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(a) During the Non-Compete Period, Employee will not, directly or indirectly, own (beneficially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manage, operate, or render any services for (including, but not limited to, as an employee, proprietor, partner, agent, contractor, or consultant) any Entity that is engaged in any Competitive Activity in the Geographical Area.</w:t>
      </w:r>
    </w:p>
    <w:p>
      <w:pPr>
        <w:spacing w:after="0" w:line="192" w:lineRule="exact"/>
        <w:rPr>
          <w:rFonts w:ascii="Arial" w:cs="Arial" w:eastAsia="Arial" w:hAnsi="Arial"/>
          <w:sz w:val="19"/>
          <w:szCs w:val="19"/>
          <w:color w:val="auto"/>
        </w:rPr>
      </w:pPr>
    </w:p>
    <w:p>
      <w:pPr>
        <w:ind w:left="820" w:hanging="488"/>
        <w:spacing w:after="0"/>
        <w:tabs>
          <w:tab w:leader="none" w:pos="8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will have the meaning set forth below:</w:t>
      </w:r>
    </w:p>
    <w:p>
      <w:pPr>
        <w:spacing w:after="0" w:line="229" w:lineRule="exact"/>
        <w:rPr>
          <w:rFonts w:ascii="Arial" w:cs="Arial" w:eastAsia="Arial" w:hAnsi="Arial"/>
          <w:sz w:val="20"/>
          <w:szCs w:val="20"/>
          <w:color w:val="auto"/>
        </w:rPr>
      </w:pPr>
    </w:p>
    <w:p>
      <w:pPr>
        <w:jc w:val="both"/>
        <w:ind w:left="1300" w:hanging="80"/>
        <w:spacing w:after="0" w:line="231" w:lineRule="auto"/>
        <w:tabs>
          <w:tab w:leader="none" w:pos="1702" w:val="left"/>
        </w:tabs>
        <w:numPr>
          <w:ilvl w:val="2"/>
          <w:numId w:val="66"/>
        </w:numPr>
        <w:rPr>
          <w:rFonts w:ascii="Arial" w:cs="Arial" w:eastAsia="Arial" w:hAnsi="Arial"/>
          <w:sz w:val="20"/>
          <w:szCs w:val="20"/>
          <w:color w:val="auto"/>
        </w:rPr>
      </w:pPr>
      <w:r>
        <w:rPr>
          <w:rFonts w:ascii="Arial" w:cs="Arial" w:eastAsia="Arial" w:hAnsi="Arial"/>
          <w:sz w:val="20"/>
          <w:szCs w:val="20"/>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hanging="12"/>
        <w:spacing w:after="0" w:line="246" w:lineRule="auto"/>
        <w:tabs>
          <w:tab w:leader="none" w:pos="1911" w:val="left"/>
        </w:tabs>
        <w:numPr>
          <w:ilvl w:val="0"/>
          <w:numId w:val="67"/>
        </w:numPr>
        <w:rPr>
          <w:rFonts w:ascii="Arial" w:cs="Arial" w:eastAsia="Arial" w:hAnsi="Arial"/>
          <w:sz w:val="20"/>
          <w:szCs w:val="20"/>
          <w:color w:val="auto"/>
        </w:rPr>
      </w:pPr>
      <w:r>
        <w:rPr>
          <w:rFonts w:ascii="Arial" w:cs="Arial" w:eastAsia="Arial" w:hAnsi="Arial"/>
          <w:sz w:val="20"/>
          <w:szCs w:val="20"/>
          <w:color w:val="auto"/>
        </w:rPr>
        <w:t>“Employment Cessation Date” means the earlier of Employee’s last day of active employment with Conduent or Employee’s termination date as reflected in Conduent’s records.</w:t>
      </w:r>
    </w:p>
    <w:p>
      <w:pPr>
        <w:spacing w:after="0" w:line="204" w:lineRule="exact"/>
        <w:rPr>
          <w:sz w:val="20"/>
          <w:szCs w:val="20"/>
          <w:color w:val="auto"/>
        </w:rPr>
      </w:pPr>
    </w:p>
    <w:p>
      <w:pPr>
        <w:ind w:left="1300" w:hanging="45"/>
        <w:spacing w:after="0" w:line="246" w:lineRule="auto"/>
        <w:tabs>
          <w:tab w:leader="none" w:pos="1891" w:val="left"/>
        </w:tabs>
        <w:numPr>
          <w:ilvl w:val="0"/>
          <w:numId w:val="68"/>
        </w:numPr>
        <w:rPr>
          <w:rFonts w:ascii="Arial" w:cs="Arial" w:eastAsia="Arial" w:hAnsi="Arial"/>
          <w:sz w:val="20"/>
          <w:szCs w:val="20"/>
          <w:color w:val="auto"/>
        </w:rPr>
      </w:pPr>
      <w:r>
        <w:rPr>
          <w:rFonts w:ascii="Arial" w:cs="Arial" w:eastAsia="Arial" w:hAnsi="Arial"/>
          <w:sz w:val="20"/>
          <w:szCs w:val="20"/>
          <w:color w:val="auto"/>
        </w:rPr>
        <w:t>“Entity” means an individual, partnership, corporation, association, limited liability company, joint stock company, trust, joint venture, unincorporated organization or any other entity.</w:t>
      </w:r>
    </w:p>
    <w:p>
      <w:pPr>
        <w:spacing w:after="0" w:line="203" w:lineRule="exact"/>
        <w:rPr>
          <w:rFonts w:ascii="Arial" w:cs="Arial" w:eastAsia="Arial" w:hAnsi="Arial"/>
          <w:sz w:val="20"/>
          <w:szCs w:val="20"/>
          <w:color w:val="auto"/>
        </w:rPr>
      </w:pPr>
    </w:p>
    <w:p>
      <w:pPr>
        <w:jc w:val="both"/>
        <w:ind w:left="1300" w:hanging="46"/>
        <w:spacing w:after="0" w:line="237" w:lineRule="auto"/>
        <w:tabs>
          <w:tab w:leader="none" w:pos="181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9" w:right="339" w:bottom="1440" w:gutter="0" w:footer="0" w:header="0"/>
        </w:sectPr>
      </w:pPr>
    </w:p>
    <w:bookmarkStart w:id="60" w:name="page61"/>
    <w:bookmarkEnd w:id="60"/>
    <w:p>
      <w:pPr>
        <w:ind w:left="1300" w:hanging="861"/>
        <w:spacing w:after="0" w:line="272" w:lineRule="auto"/>
        <w:tabs>
          <w:tab w:leader="none" w:pos="881" w:val="left"/>
        </w:tabs>
        <w:numPr>
          <w:ilvl w:val="0"/>
          <w:numId w:val="69"/>
        </w:numPr>
        <w:rPr>
          <w:rFonts w:ascii="Arial" w:cs="Arial" w:eastAsia="Arial" w:hAnsi="Arial"/>
          <w:sz w:val="19"/>
          <w:szCs w:val="19"/>
          <w:color w:val="auto"/>
        </w:rPr>
      </w:pPr>
      <w:r>
        <w:rPr>
          <w:rFonts w:ascii="Arial" w:cs="Arial" w:eastAsia="Arial" w:hAnsi="Arial"/>
          <w:sz w:val="19"/>
          <w:szCs w:val="19"/>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80"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 w:lineRule="exact"/>
        <w:rPr>
          <w:sz w:val="20"/>
          <w:szCs w:val="20"/>
          <w:color w:val="auto"/>
        </w:rPr>
      </w:pPr>
    </w:p>
    <w:p>
      <w:pPr>
        <w:jc w:val="both"/>
        <w:ind w:left="340" w:hanging="332"/>
        <w:spacing w:after="0" w:line="239" w:lineRule="auto"/>
        <w:tabs>
          <w:tab w:leader="none" w:pos="412"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Non-Solicitation of Customers. </w:t>
      </w:r>
      <w:r>
        <w:rPr>
          <w:rFonts w:ascii="Arial" w:cs="Arial" w:eastAsia="Arial" w:hAnsi="Arial"/>
          <w:sz w:val="19"/>
          <w:szCs w:val="19"/>
          <w:color w:val="auto"/>
        </w:rPr>
        <w:t>During the term of Employee’s employment and for a period of twelve (12) months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75" w:lineRule="exact"/>
        <w:rPr>
          <w:rFonts w:ascii="Arial" w:cs="Arial" w:eastAsia="Arial" w:hAnsi="Arial"/>
          <w:sz w:val="19"/>
          <w:szCs w:val="19"/>
          <w:color w:val="auto"/>
        </w:rPr>
      </w:pPr>
    </w:p>
    <w:p>
      <w:pPr>
        <w:ind w:left="340" w:hanging="332"/>
        <w:spacing w:after="0" w:line="252" w:lineRule="auto"/>
        <w:tabs>
          <w:tab w:leader="none" w:pos="340"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Non-Solicitation of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Non-Solicit Period, as defined above, Employee will not, directly or indirectly, recruit,</w:t>
      </w:r>
      <w:r>
        <w:rPr>
          <w:rFonts w:ascii="Arial" w:cs="Arial" w:eastAsia="Arial" w:hAnsi="Arial"/>
          <w:sz w:val="20"/>
          <w:szCs w:val="20"/>
          <w:b w:val="1"/>
          <w:bCs w:val="1"/>
          <w:color w:val="auto"/>
        </w:rPr>
        <w:t xml:space="preserve"> </w:t>
      </w:r>
      <w:r>
        <w:rPr>
          <w:rFonts w:ascii="Arial" w:cs="Arial" w:eastAsia="Arial" w:hAnsi="Arial"/>
          <w:sz w:val="20"/>
          <w:szCs w:val="20"/>
          <w:color w:val="auto"/>
        </w:rPr>
        <w:t>solicit, induce, encourage or assist any employee of Conduent to leave Employee’s employment with Conduent.</w:t>
      </w:r>
    </w:p>
    <w:p>
      <w:pPr>
        <w:spacing w:after="0" w:line="17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color w:val="auto"/>
        </w:rPr>
        <w:t>. During the Non-Compete Period, Employee agrees that Employee will not, directly or indirectly, in any capacity</w:t>
      </w:r>
      <w:r>
        <w:rPr>
          <w:rFonts w:ascii="Arial" w:cs="Arial" w:eastAsia="Arial" w:hAnsi="Arial"/>
          <w:sz w:val="20"/>
          <w:szCs w:val="20"/>
          <w:b w:val="1"/>
          <w:bCs w:val="1"/>
          <w:color w:val="auto"/>
        </w:rPr>
        <w:t xml:space="preserve"> </w:t>
      </w:r>
      <w:r>
        <w:rPr>
          <w:rFonts w:ascii="Arial" w:cs="Arial" w:eastAsia="Arial" w:hAnsi="Arial"/>
          <w:sz w:val="20"/>
          <w:szCs w:val="20"/>
          <w:color w:val="auto"/>
        </w:rPr>
        <w:t>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88"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At Will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and Conduent agree and acknowledge that Employee’s employment with Conduent is at-will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60" w:lineRule="exact"/>
        <w:rPr>
          <w:rFonts w:ascii="Arial" w:cs="Arial" w:eastAsia="Arial" w:hAnsi="Arial"/>
          <w:sz w:val="20"/>
          <w:szCs w:val="20"/>
          <w:color w:val="auto"/>
        </w:rPr>
      </w:pPr>
    </w:p>
    <w:p>
      <w:pPr>
        <w:jc w:val="both"/>
        <w:ind w:left="340" w:hanging="332"/>
        <w:spacing w:after="0" w:line="258" w:lineRule="auto"/>
        <w:tabs>
          <w:tab w:leader="none" w:pos="340"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Certain Other Obligations</w:t>
      </w:r>
      <w:r>
        <w:rPr>
          <w:rFonts w:ascii="Arial" w:cs="Arial" w:eastAsia="Arial" w:hAnsi="Arial"/>
          <w:sz w:val="19"/>
          <w:szCs w:val="19"/>
          <w:color w:val="auto"/>
        </w:rPr>
        <w:t>. Employee and Conduent agree that any prior agreement between Employee and Conduent</w:t>
      </w:r>
      <w:r>
        <w:rPr>
          <w:rFonts w:ascii="Arial" w:cs="Arial" w:eastAsia="Arial" w:hAnsi="Arial"/>
          <w:sz w:val="19"/>
          <w:szCs w:val="19"/>
          <w:b w:val="1"/>
          <w:bCs w:val="1"/>
          <w:color w:val="auto"/>
        </w:rPr>
        <w:t xml:space="preserve"> </w:t>
      </w:r>
      <w:r>
        <w:rPr>
          <w:rFonts w:ascii="Arial" w:cs="Arial" w:eastAsia="Arial" w:hAnsi="Arial"/>
          <w:sz w:val="19"/>
          <w:szCs w:val="19"/>
          <w:color w:val="auto"/>
        </w:rPr>
        <w:t>containing a non-compete obligation, a non-solicitation of customers obligation or a non-solicitation of employees obligation is hereby terminated and Employee shall only be subject to this Agreement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-4272915</wp:posOffset>
            </wp:positionV>
            <wp:extent cx="1693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693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38" w:right="339" w:bottom="1440" w:gutter="0" w:footer="0" w:header="0"/>
        </w:sectPr>
      </w:pPr>
    </w:p>
    <w:bookmarkStart w:id="61" w:name="page62"/>
    <w:bookmarkEnd w:id="61"/>
    <w:p>
      <w:pPr>
        <w:ind w:left="340" w:right="20"/>
        <w:spacing w:after="0" w:line="246" w:lineRule="auto"/>
        <w:rPr>
          <w:sz w:val="20"/>
          <w:szCs w:val="20"/>
          <w:color w:val="auto"/>
        </w:rPr>
      </w:pPr>
      <w:r>
        <w:rPr>
          <w:rFonts w:ascii="Arial" w:cs="Arial" w:eastAsia="Arial" w:hAnsi="Arial"/>
          <w:sz w:val="20"/>
          <w:szCs w:val="20"/>
          <w:color w:val="auto"/>
        </w:rPr>
        <w:t>Except as provided by the preceding sentence, all other terms of all agreements between Employee and Conduent shall remain in full effect.</w:t>
      </w:r>
    </w:p>
    <w:p>
      <w:pPr>
        <w:spacing w:after="0" w:line="252" w:lineRule="exact"/>
        <w:rPr>
          <w:sz w:val="20"/>
          <w:szCs w:val="20"/>
          <w:color w:val="auto"/>
        </w:rPr>
      </w:pPr>
    </w:p>
    <w:p>
      <w:pPr>
        <w:jc w:val="both"/>
        <w:ind w:left="340" w:hanging="332"/>
        <w:spacing w:after="0" w:line="247" w:lineRule="auto"/>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Equitable Relief.</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Employee and Conduent agree that, in the event of breach of this Agreement by Employee, Conduent would be</w:t>
      </w:r>
      <w:r>
        <w:rPr>
          <w:rFonts w:ascii="Arial" w:cs="Arial" w:eastAsia="Arial" w:hAnsi="Arial"/>
          <w:sz w:val="19"/>
          <w:szCs w:val="19"/>
          <w:b w:val="1"/>
          <w:bCs w:val="1"/>
          <w:color w:val="auto"/>
        </w:rPr>
        <w:t xml:space="preserve"> </w:t>
      </w:r>
      <w:r>
        <w:rPr>
          <w:rFonts w:ascii="Arial" w:cs="Arial" w:eastAsia="Arial" w:hAnsi="Arial"/>
          <w:sz w:val="19"/>
          <w:szCs w:val="19"/>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 from the other party.</w:t>
      </w:r>
    </w:p>
    <w:p>
      <w:pPr>
        <w:spacing w:after="0" w:line="266" w:lineRule="exact"/>
        <w:rPr>
          <w:rFonts w:ascii="Arial" w:cs="Arial" w:eastAsia="Arial" w:hAnsi="Arial"/>
          <w:sz w:val="19"/>
          <w:szCs w:val="19"/>
          <w:color w:val="auto"/>
        </w:rPr>
      </w:pPr>
    </w:p>
    <w:p>
      <w:pPr>
        <w:jc w:val="both"/>
        <w:ind w:left="340" w:hanging="332"/>
        <w:spacing w:after="0" w:line="235" w:lineRule="auto"/>
        <w:tabs>
          <w:tab w:leader="none" w:pos="340"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highlight w:val="white"/>
        </w:rPr>
        <w:t>: This Agreement shall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73"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In the event that any of the provisions of this Agreement is deemed unenforceable or to exceed the protections afforded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60" w:lineRule="exact"/>
        <w:rPr>
          <w:rFonts w:ascii="Arial" w:cs="Arial" w:eastAsia="Arial" w:hAnsi="Arial"/>
          <w:sz w:val="20"/>
          <w:szCs w:val="20"/>
          <w:color w:val="auto"/>
        </w:rPr>
      </w:pPr>
    </w:p>
    <w:p>
      <w:pPr>
        <w:ind w:left="340" w:hanging="332"/>
        <w:spacing w:after="0" w:line="307" w:lineRule="auto"/>
        <w:tabs>
          <w:tab w:leader="none" w:pos="331"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highlight w:val="white"/>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12" w:lineRule="exact"/>
        <w:rPr>
          <w:rFonts w:ascii="Arial" w:cs="Arial" w:eastAsia="Arial" w:hAnsi="Arial"/>
          <w:sz w:val="18"/>
          <w:szCs w:val="18"/>
          <w:color w:val="auto"/>
        </w:rPr>
      </w:pPr>
    </w:p>
    <w:p>
      <w:pPr>
        <w:jc w:val="both"/>
        <w:ind w:left="340" w:hanging="332"/>
        <w:spacing w:after="0" w:line="239" w:lineRule="auto"/>
        <w:tabs>
          <w:tab w:leader="none" w:pos="323"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No Waiver</w:t>
      </w:r>
      <w:r>
        <w:rPr>
          <w:rFonts w:ascii="Arial" w:cs="Arial" w:eastAsia="Arial" w:hAnsi="Arial"/>
          <w:sz w:val="20"/>
          <w:szCs w:val="20"/>
          <w:color w:val="auto"/>
        </w:rPr>
        <w:t>. Any failure by Conduent to exercise any of its rights under this Agreement in the event of any breach of the Agreement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20"/>
          <w:szCs w:val="20"/>
          <w:color w:val="auto"/>
        </w:rPr>
      </w:pPr>
    </w:p>
    <w:p>
      <w:pPr>
        <w:jc w:val="both"/>
        <w:ind w:left="340" w:hanging="332"/>
        <w:spacing w:after="0" w:line="247" w:lineRule="auto"/>
        <w:tabs>
          <w:tab w:leader="none" w:pos="331"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assignable to and shall inure to the benefit of Conduent’s successors and assigns, including,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0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t>Exhibit 10.6(a)(xiii)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8"/>
        <w:spacing w:after="0"/>
        <w:rPr>
          <w:sz w:val="20"/>
          <w:szCs w:val="20"/>
          <w:color w:val="auto"/>
        </w:rPr>
      </w:pPr>
      <w:r>
        <w:rPr>
          <w:rFonts w:ascii="Arial" w:cs="Arial" w:eastAsia="Arial" w:hAnsi="Arial"/>
          <w:sz w:val="20"/>
          <w:szCs w:val="20"/>
          <w:color w:val="auto"/>
        </w:rPr>
        <w:t>AGREEMENT FOR NON-EMPLOYEE DIRECTORS PURSUANT TO CONDUENT</w:t>
      </w:r>
    </w:p>
    <w:p>
      <w:pPr>
        <w:spacing w:after="0" w:line="15" w:lineRule="exact"/>
        <w:rPr>
          <w:sz w:val="20"/>
          <w:szCs w:val="20"/>
          <w:color w:val="auto"/>
        </w:rPr>
      </w:pPr>
    </w:p>
    <w:p>
      <w:pPr>
        <w:jc w:val="center"/>
        <w:ind w:right="78"/>
        <w:spacing w:after="0"/>
        <w:rPr>
          <w:sz w:val="20"/>
          <w:szCs w:val="20"/>
          <w:color w:val="auto"/>
        </w:rPr>
      </w:pPr>
      <w:r>
        <w:rPr>
          <w:rFonts w:ascii="Arial" w:cs="Arial" w:eastAsia="Arial" w:hAnsi="Arial"/>
          <w:sz w:val="20"/>
          <w:szCs w:val="20"/>
          <w:color w:val="auto"/>
        </w:rPr>
        <w:t>INCORPORATED</w:t>
      </w:r>
    </w:p>
    <w:p>
      <w:pPr>
        <w:jc w:val="center"/>
        <w:ind w:right="78"/>
        <w:spacing w:after="0"/>
        <w:rPr>
          <w:sz w:val="20"/>
          <w:szCs w:val="20"/>
          <w:color w:val="auto"/>
        </w:rPr>
      </w:pPr>
      <w:r>
        <w:rPr>
          <w:rFonts w:ascii="Arial" w:cs="Arial" w:eastAsia="Arial" w:hAnsi="Arial"/>
          <w:sz w:val="20"/>
          <w:szCs w:val="20"/>
          <w:color w:val="auto"/>
        </w:rPr>
        <w:t>2021 PERFORMANCE INCENTIVE PLAN</w:t>
      </w:r>
    </w:p>
    <w:p>
      <w:pPr>
        <w:spacing w:after="0" w:line="200" w:lineRule="exact"/>
        <w:rPr>
          <w:sz w:val="20"/>
          <w:szCs w:val="20"/>
          <w:color w:val="auto"/>
        </w:rPr>
      </w:pPr>
    </w:p>
    <w:p>
      <w:pPr>
        <w:spacing w:after="0" w:line="283" w:lineRule="exact"/>
        <w:rPr>
          <w:sz w:val="20"/>
          <w:szCs w:val="20"/>
          <w:color w:val="auto"/>
        </w:rPr>
      </w:pPr>
    </w:p>
    <w:p>
      <w:pPr>
        <w:jc w:val="both"/>
        <w:ind w:left="2" w:right="120"/>
        <w:spacing w:after="0" w:line="250" w:lineRule="auto"/>
        <w:rPr>
          <w:sz w:val="20"/>
          <w:szCs w:val="20"/>
          <w:color w:val="auto"/>
        </w:rPr>
      </w:pPr>
      <w:r>
        <w:rPr>
          <w:rFonts w:ascii="Arial" w:cs="Arial" w:eastAsia="Arial" w:hAnsi="Arial"/>
          <w:sz w:val="20"/>
          <w:szCs w:val="20"/>
          <w:color w:val="auto"/>
        </w:rPr>
        <w:t>AGREEMENT, by Conduent Incorporated, a New York corporation (the "Company"), dated as of the date which appears as the "Date of Agreement and Award" in the Award Summary attached hereto (the "Award Summary") in favor of the individual whose name appears on the Award Summary, a non- employee Director of the Company (the "Director").</w:t>
      </w:r>
    </w:p>
    <w:p>
      <w:pPr>
        <w:spacing w:after="0" w:line="200" w:lineRule="exact"/>
        <w:rPr>
          <w:sz w:val="20"/>
          <w:szCs w:val="20"/>
          <w:color w:val="auto"/>
        </w:rPr>
      </w:pPr>
    </w:p>
    <w:p>
      <w:pPr>
        <w:spacing w:after="0" w:line="256" w:lineRule="exact"/>
        <w:rPr>
          <w:sz w:val="20"/>
          <w:szCs w:val="20"/>
          <w:color w:val="auto"/>
        </w:rPr>
      </w:pPr>
    </w:p>
    <w:p>
      <w:pPr>
        <w:jc w:val="both"/>
        <w:ind w:left="2" w:right="100"/>
        <w:spacing w:after="0" w:line="287" w:lineRule="auto"/>
        <w:rPr>
          <w:sz w:val="20"/>
          <w:szCs w:val="20"/>
          <w:color w:val="auto"/>
        </w:rPr>
      </w:pPr>
      <w:r>
        <w:rPr>
          <w:rFonts w:ascii="Arial" w:cs="Arial" w:eastAsia="Arial" w:hAnsi="Arial"/>
          <w:sz w:val="19"/>
          <w:szCs w:val="19"/>
          <w:color w:val="auto"/>
        </w:rPr>
        <w:t>In accordance with the provisions of the "Conduent Incorporated 2021 Performance Incentive Plan," as amended and restated (the "Plan"), the Board of Directors of the Company (the "Board") has authorized the execution and delivery of this Agreement.</w:t>
      </w:r>
    </w:p>
    <w:p>
      <w:pPr>
        <w:spacing w:after="0" w:line="179" w:lineRule="exact"/>
        <w:rPr>
          <w:sz w:val="20"/>
          <w:szCs w:val="20"/>
          <w:color w:val="auto"/>
        </w:rPr>
      </w:pPr>
    </w:p>
    <w:p>
      <w:pPr>
        <w:jc w:val="both"/>
        <w:ind w:left="2" w:right="120"/>
        <w:spacing w:after="0" w:line="260" w:lineRule="auto"/>
        <w:rPr>
          <w:sz w:val="20"/>
          <w:szCs w:val="20"/>
          <w:color w:val="auto"/>
        </w:rPr>
      </w:pPr>
      <w:r>
        <w:rPr>
          <w:rFonts w:ascii="Arial" w:cs="Arial" w:eastAsia="Arial" w:hAnsi="Arial"/>
          <w:sz w:val="20"/>
          <w:szCs w:val="20"/>
          <w:color w:val="auto"/>
        </w:rPr>
        <w:t>Terms used herein which are defined in the Plan or in this Agreement shall have the meanings assigned to them in the Plan or this Agreement, respectively.</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Award Summary contains the details of the awards covered by this Agreement and is incorporated herein in its entirety.</w:t>
      </w:r>
    </w:p>
    <w:p>
      <w:pPr>
        <w:spacing w:after="0" w:line="256" w:lineRule="exact"/>
        <w:rPr>
          <w:sz w:val="20"/>
          <w:szCs w:val="20"/>
          <w:color w:val="auto"/>
        </w:rPr>
      </w:pPr>
    </w:p>
    <w:p>
      <w:pPr>
        <w:ind w:left="2"/>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266" w:lineRule="exact"/>
        <w:rPr>
          <w:sz w:val="20"/>
          <w:szCs w:val="20"/>
          <w:color w:val="auto"/>
        </w:rPr>
      </w:pPr>
    </w:p>
    <w:p>
      <w:pPr>
        <w:jc w:val="center"/>
        <w:ind w:right="78"/>
        <w:spacing w:after="0"/>
        <w:rPr>
          <w:sz w:val="20"/>
          <w:szCs w:val="20"/>
          <w:color w:val="auto"/>
        </w:rPr>
      </w:pPr>
      <w:r>
        <w:rPr>
          <w:rFonts w:ascii="Arial" w:cs="Arial" w:eastAsia="Arial" w:hAnsi="Arial"/>
          <w:sz w:val="20"/>
          <w:szCs w:val="20"/>
          <w:color w:val="auto"/>
        </w:rPr>
        <w:t>AWARD OF DEFERRED STOCK UNITS</w:t>
      </w:r>
    </w:p>
    <w:p>
      <w:pPr>
        <w:spacing w:after="0" w:line="243" w:lineRule="exact"/>
        <w:rPr>
          <w:sz w:val="20"/>
          <w:szCs w:val="20"/>
          <w:color w:val="auto"/>
        </w:rPr>
      </w:pPr>
    </w:p>
    <w:p>
      <w:pPr>
        <w:jc w:val="both"/>
        <w:ind w:left="2" w:right="120" w:hanging="2"/>
        <w:spacing w:after="0" w:line="250" w:lineRule="auto"/>
        <w:tabs>
          <w:tab w:leader="none" w:pos="55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Award of Deferred Stock Units</w:t>
      </w:r>
      <w:r>
        <w:rPr>
          <w:rFonts w:ascii="Arial" w:cs="Arial" w:eastAsia="Arial" w:hAnsi="Arial"/>
          <w:sz w:val="20"/>
          <w:szCs w:val="20"/>
          <w:color w:val="auto"/>
        </w:rPr>
        <w:t>. Subject to all terms and conditions of the Plan and this Agreement, the Company has awarded to the Director on the date indicated on the Award Summary the number of Deferred Stock Units (individually, the "DSU") as shown on the Award Summary.</w:t>
      </w:r>
    </w:p>
    <w:p>
      <w:pPr>
        <w:spacing w:after="0" w:line="213" w:lineRule="exact"/>
        <w:rPr>
          <w:sz w:val="20"/>
          <w:szCs w:val="20"/>
          <w:color w:val="auto"/>
        </w:rPr>
      </w:pPr>
    </w:p>
    <w:p>
      <w:pPr>
        <w:jc w:val="center"/>
        <w:ind w:right="78"/>
        <w:spacing w:after="0"/>
        <w:rPr>
          <w:sz w:val="20"/>
          <w:szCs w:val="20"/>
          <w:color w:val="auto"/>
        </w:rPr>
      </w:pPr>
      <w:r>
        <w:rPr>
          <w:rFonts w:ascii="Arial" w:cs="Arial" w:eastAsia="Arial" w:hAnsi="Arial"/>
          <w:sz w:val="20"/>
          <w:szCs w:val="20"/>
          <w:color w:val="auto"/>
        </w:rPr>
        <w:t>TERMS OF THE DEFERRED STOCK UNIT</w:t>
      </w:r>
    </w:p>
    <w:p>
      <w:pPr>
        <w:spacing w:after="0" w:line="256" w:lineRule="exact"/>
        <w:rPr>
          <w:sz w:val="20"/>
          <w:szCs w:val="20"/>
          <w:color w:val="auto"/>
        </w:rPr>
      </w:pPr>
    </w:p>
    <w:p>
      <w:pPr>
        <w:jc w:val="both"/>
        <w:ind w:left="2" w:right="100" w:hanging="2"/>
        <w:spacing w:after="0" w:line="269" w:lineRule="auto"/>
        <w:tabs>
          <w:tab w:leader="none" w:pos="55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Deferral Period and Entitlement to Shares.</w:t>
      </w:r>
      <w:r>
        <w:rPr>
          <w:rFonts w:ascii="Arial" w:cs="Arial" w:eastAsia="Arial" w:hAnsi="Arial"/>
          <w:sz w:val="18"/>
          <w:szCs w:val="18"/>
          <w:color w:val="auto"/>
        </w:rPr>
        <w:t xml:space="preserve"> Upon the lapse of the “Deferral Period”, as indicated on the Award Summary in connection with the DSUs, which shall be the period commencing on the date of this Agreement through the earliest of: (1) the date of termination of Board service, so long as such termination of Board service occurs following the first anniversary of the date of this Agreement (the “First Anniversary”), (2) a date certain after the First Anniversary elected by Director in accordance with the procedures established for elections under the Plan, or if no such election is made, the First Anniversary, (3) the date of death, (4) the date necessary for any Federal officer or employee in the executive branch to comply with an ethics agreement with the Federal government in accordance with Section 1.409A-3(j)(4)(iii) of the Treasury Regulations and (5) the date of a Change in Control that is also a transaction described in Section 409A(a)(2) of the Code) (such period, the “Deferral Period”), the Company shall deliver to such person a certificate or certificates for a number of shares of Common Stock equal to the number of DSUs as to which a Deferral Period has lapsed. No fractional shares shall be issued. If service as a Director of the Company ends prior to the one-year anniversary of the first day of the month of the date of this Agreement, the number of shares issuable at the end of the Deferral Period will be prorated in the following manner: for each month of Board service following the date of the award, Director or his or her estate, as the case may be, will receive a prorated number of shares of one- twelfth of the total award provided pursuant to this Agreement. Termination of Board service prior to the end of a month will be treated as though Director served on the Board for the entire month for purposes of</w:t>
      </w:r>
    </w:p>
    <w:p>
      <w:pPr>
        <w:sectPr>
          <w:pgSz w:w="11900" w:h="16838" w:orient="portrait"/>
          <w:cols w:equalWidth="0" w:num="1">
            <w:col w:w="11142"/>
          </w:cols>
          <w:pgMar w:left="418" w:top="122" w:right="339" w:bottom="1440" w:gutter="0" w:footer="0" w:header="0"/>
        </w:sectPr>
      </w:pPr>
    </w:p>
    <w:bookmarkStart w:id="63" w:name="page64"/>
    <w:bookmarkEnd w:id="63"/>
    <w:p>
      <w:pPr>
        <w:ind w:left="2"/>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85470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82575"/>
                    </a:xfrm>
                    <a:prstGeom prst="rect">
                      <a:avLst/>
                    </a:prstGeom>
                    <a:noFill/>
                  </pic:spPr>
                </pic:pic>
              </a:graphicData>
            </a:graphic>
          </wp:anchor>
        </w:drawing>
        <w:t>the award.</w:t>
      </w:r>
    </w:p>
    <w:p>
      <w:pPr>
        <w:spacing w:after="0" w:line="200" w:lineRule="exact"/>
        <w:rPr>
          <w:sz w:val="20"/>
          <w:szCs w:val="20"/>
          <w:color w:val="auto"/>
        </w:rPr>
      </w:pPr>
    </w:p>
    <w:p>
      <w:pPr>
        <w:spacing w:after="0" w:line="286" w:lineRule="exact"/>
        <w:rPr>
          <w:sz w:val="20"/>
          <w:szCs w:val="20"/>
          <w:color w:val="auto"/>
        </w:rPr>
      </w:pPr>
    </w:p>
    <w:p>
      <w:pPr>
        <w:jc w:val="both"/>
        <w:ind w:left="2" w:hanging="2"/>
        <w:spacing w:after="0" w:line="276" w:lineRule="auto"/>
        <w:tabs>
          <w:tab w:leader="none" w:pos="55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Director shall be entitled to receive from the Company dividend equivalents, which are credited in the form of additional DSUs payable in Common Stock following the lapse of the Deferral Period, at the same time and in the same amounts that the holder of record of a number of shares of Common Stock equal to the number of DSUs covered by the Agreement would be entitled to receive as dividends on such Common Stock. Such right to dividend equivalents on a DSU covered hereby shall apply to all dividends the record date for which occurs at any time dung the period commencing on the date hereof and ending on the date that Director becomes a shareholder of record with respect to such DSU as a result of the lapse of a Deferral Period as provided under Paragraph 2.</w:t>
      </w: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OTHER TERMS</w:t>
      </w:r>
    </w:p>
    <w:p>
      <w:pPr>
        <w:spacing w:after="0" w:line="243" w:lineRule="exact"/>
        <w:rPr>
          <w:sz w:val="20"/>
          <w:szCs w:val="20"/>
          <w:color w:val="auto"/>
        </w:rPr>
      </w:pPr>
    </w:p>
    <w:p>
      <w:pPr>
        <w:jc w:val="both"/>
        <w:ind w:left="2" w:hanging="2"/>
        <w:spacing w:after="0" w:line="250" w:lineRule="auto"/>
        <w:tabs>
          <w:tab w:leader="none" w:pos="55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Ownership Guidelines</w:t>
      </w:r>
      <w:r>
        <w:rPr>
          <w:rFonts w:ascii="Arial" w:cs="Arial" w:eastAsia="Arial" w:hAnsi="Arial"/>
          <w:sz w:val="20"/>
          <w:szCs w:val="20"/>
          <w:color w:val="auto"/>
        </w:rPr>
        <w:t>. Guidelines pertaining to Director’s required ownership of Common Stock (the “</w:t>
      </w:r>
      <w:r>
        <w:rPr>
          <w:rFonts w:ascii="Arial" w:cs="Arial" w:eastAsia="Arial" w:hAnsi="Arial"/>
          <w:sz w:val="20"/>
          <w:szCs w:val="20"/>
          <w:u w:val="single" w:color="auto"/>
          <w:color w:val="auto"/>
        </w:rPr>
        <w:t>Stock Ownership</w:t>
      </w:r>
      <w:r>
        <w:rPr>
          <w:rFonts w:ascii="Arial" w:cs="Arial" w:eastAsia="Arial" w:hAnsi="Arial"/>
          <w:sz w:val="20"/>
          <w:szCs w:val="20"/>
          <w:color w:val="auto"/>
        </w:rPr>
        <w:t xml:space="preserve"> </w:t>
      </w:r>
      <w:r>
        <w:rPr>
          <w:rFonts w:ascii="Arial" w:cs="Arial" w:eastAsia="Arial" w:hAnsi="Arial"/>
          <w:sz w:val="20"/>
          <w:szCs w:val="20"/>
          <w:u w:val="single" w:color="auto"/>
          <w:color w:val="auto"/>
        </w:rPr>
        <w:t>Guidelines</w:t>
      </w:r>
      <w:r>
        <w:rPr>
          <w:rFonts w:ascii="Arial" w:cs="Arial" w:eastAsia="Arial" w:hAnsi="Arial"/>
          <w:sz w:val="20"/>
          <w:szCs w:val="20"/>
          <w:color w:val="auto"/>
        </w:rPr>
        <w:t>”) shall be determined by the Board or its authorized delegate, as applicable, in its sole discretion from time to time as communicated to Director in writing.</w:t>
      </w:r>
    </w:p>
    <w:p>
      <w:pPr>
        <w:spacing w:after="0" w:line="212" w:lineRule="exact"/>
        <w:rPr>
          <w:rFonts w:ascii="Arial" w:cs="Arial" w:eastAsia="Arial" w:hAnsi="Arial"/>
          <w:sz w:val="20"/>
          <w:szCs w:val="20"/>
          <w:color w:val="auto"/>
        </w:rPr>
      </w:pPr>
    </w:p>
    <w:p>
      <w:pPr>
        <w:jc w:val="both"/>
        <w:ind w:left="2" w:hanging="2"/>
        <w:spacing w:after="0" w:line="278" w:lineRule="auto"/>
        <w:tabs>
          <w:tab w:leader="none" w:pos="55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Holding Requirements</w:t>
      </w:r>
      <w:r>
        <w:rPr>
          <w:rFonts w:ascii="Arial" w:cs="Arial" w:eastAsia="Arial" w:hAnsi="Arial"/>
          <w:sz w:val="18"/>
          <w:szCs w:val="18"/>
          <w:color w:val="auto"/>
        </w:rPr>
        <w:t>. To the extent a Director is not in compliance with the Stock Ownership Guidelines under Section 4 hereof, the Director must retain fifty percent (50%) of the net shares of Common Stock acquired in connection with the settlement of DSUs (net of withholding tax and any applicable fees) until the threshold set forth in the Stock Ownership Guidelines is satisfied. Such shares shall be held in the Director’s Morgan Stanley account or in another account acceptable to the Company. In addition, shares used to maintain the Director’s ownership level pursuant to this award should be held with Morgan Stanley or in another account acceptable to the Company.</w:t>
      </w:r>
    </w:p>
    <w:p>
      <w:pPr>
        <w:spacing w:after="0" w:line="191" w:lineRule="exact"/>
        <w:rPr>
          <w:rFonts w:ascii="Arial" w:cs="Arial" w:eastAsia="Arial" w:hAnsi="Arial"/>
          <w:sz w:val="18"/>
          <w:szCs w:val="18"/>
          <w:color w:val="auto"/>
        </w:rPr>
      </w:pPr>
    </w:p>
    <w:p>
      <w:pPr>
        <w:jc w:val="both"/>
        <w:ind w:left="2" w:right="20" w:hanging="2"/>
        <w:spacing w:after="0" w:line="269" w:lineRule="auto"/>
        <w:tabs>
          <w:tab w:leader="none" w:pos="55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Rights of a Shareholder.</w:t>
      </w:r>
      <w:r>
        <w:rPr>
          <w:rFonts w:ascii="Arial" w:cs="Arial" w:eastAsia="Arial" w:hAnsi="Arial"/>
          <w:sz w:val="19"/>
          <w:szCs w:val="19"/>
          <w:color w:val="auto"/>
        </w:rPr>
        <w:t xml:space="preserve"> Director shall have no rights as a shareholder with respect to any shares covered by this Agreement until the date of issuance of a stock certificate to him for such shares. Except as otherwise provided herein, no adjustment shall be made for dividends or other rights for which the record date is prior to the date such stock certificate is issued.</w:t>
      </w:r>
    </w:p>
    <w:p>
      <w:pPr>
        <w:spacing w:after="0" w:line="196" w:lineRule="exact"/>
        <w:rPr>
          <w:rFonts w:ascii="Arial" w:cs="Arial" w:eastAsia="Arial" w:hAnsi="Arial"/>
          <w:sz w:val="19"/>
          <w:szCs w:val="19"/>
          <w:color w:val="auto"/>
        </w:rPr>
      </w:pPr>
    </w:p>
    <w:p>
      <w:pPr>
        <w:jc w:val="both"/>
        <w:ind w:left="2" w:hanging="2"/>
        <w:spacing w:after="0" w:line="250" w:lineRule="auto"/>
        <w:tabs>
          <w:tab w:leader="none" w:pos="55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Non-Assignability</w:t>
      </w:r>
      <w:r>
        <w:rPr>
          <w:rFonts w:ascii="Arial" w:cs="Arial" w:eastAsia="Arial" w:hAnsi="Arial"/>
          <w:sz w:val="20"/>
          <w:szCs w:val="20"/>
          <w:color w:val="auto"/>
        </w:rPr>
        <w:t>. This Agreement shall not be assignable or transferable by Director except by will or by the laws of descent and distribution except pursuant to a domestic relations order entered by a court of competent jurisdiction. During the lifetime of Director the shares of Common Stock issued in connection with DSUs shall be delivered only to Director.</w:t>
      </w:r>
    </w:p>
    <w:p>
      <w:pPr>
        <w:spacing w:after="0" w:line="212" w:lineRule="exact"/>
        <w:rPr>
          <w:rFonts w:ascii="Arial" w:cs="Arial" w:eastAsia="Arial" w:hAnsi="Arial"/>
          <w:sz w:val="20"/>
          <w:szCs w:val="20"/>
          <w:color w:val="auto"/>
        </w:rPr>
      </w:pPr>
    </w:p>
    <w:p>
      <w:pPr>
        <w:jc w:val="both"/>
        <w:ind w:left="2" w:hanging="2"/>
        <w:spacing w:after="0" w:line="259" w:lineRule="auto"/>
        <w:tabs>
          <w:tab w:leader="none" w:pos="55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General Restrictions.</w:t>
      </w:r>
      <w:r>
        <w:rPr>
          <w:rFonts w:ascii="Arial" w:cs="Arial" w:eastAsia="Arial" w:hAnsi="Arial"/>
          <w:sz w:val="19"/>
          <w:szCs w:val="19"/>
          <w:color w:val="auto"/>
        </w:rPr>
        <w:t xml:space="preserve"> If at any time the Chief Executive Officer of the Company ("CEO") shall determine, in his discretion, that the listing, registration or qualification of any shares subject to this Agreement upon any securities exchange or under any state or Federal law, or the consent or approval of any government regulatory body, is necessary or desirable as a condition of, or in connection with, the awarding of or the issuance of DSUs or shares hereunder, the DSUs or shares may not be awarded or issued unless such listing, registration, qualification, consent or approval shall have been effected or obtained free of any conditions not acceptable to the CEO and any delay caused thereby shall in no way affect the date of termination of the award.</w:t>
      </w:r>
    </w:p>
    <w:p>
      <w:pPr>
        <w:spacing w:after="0" w:line="218" w:lineRule="exact"/>
        <w:rPr>
          <w:rFonts w:ascii="Arial" w:cs="Arial" w:eastAsia="Arial" w:hAnsi="Arial"/>
          <w:sz w:val="19"/>
          <w:szCs w:val="19"/>
          <w:color w:val="auto"/>
        </w:rPr>
      </w:pPr>
    </w:p>
    <w:p>
      <w:pPr>
        <w:jc w:val="both"/>
        <w:ind w:left="2" w:hanging="2"/>
        <w:spacing w:after="0" w:line="263" w:lineRule="auto"/>
        <w:tabs>
          <w:tab w:leader="none" w:pos="55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Tax Withholding and Information Reporting.</w:t>
      </w:r>
      <w:r>
        <w:rPr>
          <w:rFonts w:ascii="Arial" w:cs="Arial" w:eastAsia="Arial" w:hAnsi="Arial"/>
          <w:sz w:val="19"/>
          <w:szCs w:val="19"/>
          <w:color w:val="auto"/>
        </w:rPr>
        <w:t xml:space="preserve"> Whenever the Plan provides that shares of Common Stock are to be delivered following the lapse of the Deferral Period, the Company shall have the right to require Director to remit to the Company an amount sufficient to satisfy any federal, state, and/or local withholding tax requirements prior to the delivery of such certificates. In addition, the Company shall have the right to satisfy any withholding requirements by withholding shares of Common Stock from the</w:t>
      </w:r>
    </w:p>
    <w:p>
      <w:pPr>
        <w:sectPr>
          <w:pgSz w:w="11900" w:h="16838" w:orient="portrait"/>
          <w:cols w:equalWidth="0" w:num="1">
            <w:col w:w="11042"/>
          </w:cols>
          <w:pgMar w:left="418" w:top="1405" w:right="439" w:bottom="1440" w:gutter="0" w:footer="0" w:header="0"/>
        </w:sectPr>
      </w:pPr>
    </w:p>
    <w:bookmarkStart w:id="64" w:name="page65"/>
    <w:bookmarkEnd w:id="64"/>
    <w:p>
      <w:pPr>
        <w:jc w:val="both"/>
        <w:ind w:left="2" w:right="20"/>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854700"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82575"/>
                    </a:xfrm>
                    <a:prstGeom prst="rect">
                      <a:avLst/>
                    </a:prstGeom>
                    <a:noFill/>
                  </pic:spPr>
                </pic:pic>
              </a:graphicData>
            </a:graphic>
          </wp:anchor>
        </w:drawing>
        <w:t>shares of Common Stock otherwise deliverable to Director, provided, however, that no shares of Common Stock are to be withheld with a value exceeding the minimum amount of tax required to be withheld by law. The Company will report income to Director on IRS Form 1099, 1042-S, or other appropriate information form or return.</w:t>
      </w:r>
    </w:p>
    <w:p>
      <w:pPr>
        <w:spacing w:after="0" w:line="213" w:lineRule="exact"/>
        <w:rPr>
          <w:sz w:val="20"/>
          <w:szCs w:val="20"/>
          <w:color w:val="auto"/>
        </w:rPr>
      </w:pPr>
    </w:p>
    <w:p>
      <w:pPr>
        <w:ind w:left="2" w:right="20" w:hanging="2"/>
        <w:spacing w:after="0" w:line="260" w:lineRule="auto"/>
        <w:tabs>
          <w:tab w:leader="none" w:pos="5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Amendment of this Agreement.</w:t>
      </w:r>
      <w:r>
        <w:rPr>
          <w:rFonts w:ascii="Arial" w:cs="Arial" w:eastAsia="Arial" w:hAnsi="Arial"/>
          <w:sz w:val="20"/>
          <w:szCs w:val="20"/>
          <w:color w:val="auto"/>
        </w:rPr>
        <w:t xml:space="preserve"> With the consent of Director, the Board may amend this Agreement in a manner not inconsistent with the Plan.</w:t>
      </w:r>
    </w:p>
    <w:p>
      <w:pPr>
        <w:spacing w:after="0" w:line="203" w:lineRule="exact"/>
        <w:rPr>
          <w:rFonts w:ascii="Arial" w:cs="Arial" w:eastAsia="Arial" w:hAnsi="Arial"/>
          <w:sz w:val="20"/>
          <w:szCs w:val="20"/>
          <w:color w:val="auto"/>
        </w:rPr>
      </w:pPr>
    </w:p>
    <w:p>
      <w:pPr>
        <w:jc w:val="both"/>
        <w:ind w:left="2" w:hanging="2"/>
        <w:spacing w:after="0" w:line="269" w:lineRule="auto"/>
        <w:tabs>
          <w:tab w:leader="none" w:pos="553"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Notices hereunder shall be in writing and if to the Company shall be mailed to the Company at 100 Campus Drive, Suite 200E, Florham Park, New Jersey 07932, addressed to the attention of Office of Corporate Secretary, and if to Director shall be delivered personally or mailed to Director at the address as the same appears on the records of the Company.</w:t>
      </w:r>
    </w:p>
    <w:p>
      <w:pPr>
        <w:spacing w:after="0" w:line="196" w:lineRule="exact"/>
        <w:rPr>
          <w:rFonts w:ascii="Arial" w:cs="Arial" w:eastAsia="Arial" w:hAnsi="Arial"/>
          <w:sz w:val="19"/>
          <w:szCs w:val="19"/>
          <w:color w:val="auto"/>
        </w:rPr>
      </w:pPr>
    </w:p>
    <w:p>
      <w:pPr>
        <w:jc w:val="both"/>
        <w:ind w:left="2" w:hanging="2"/>
        <w:spacing w:after="0" w:line="255" w:lineRule="auto"/>
        <w:tabs>
          <w:tab w:leader="none" w:pos="56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the provisions of this Agreement comply with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and all provisions of this Agreement shall be construed and interpreted in a manner consistent with the requirements for avoiding taxes or penalties under Section 409A. Neither Director nor any of Director’s creditors or beneficiaries shall have the right to subject any deferred compensation (within the meaning of Section 409A) payable under this Agreement to any anticipation, alienation, sale, transfer, assignment, pledge, encumbrance, attachment or garnishment. Except as permitted under Section 409A, any deferred compensation (within the meaning of Section 409A) payable to Director or for Director’s benefit under this Agreement may not be reduced by, or offset against, any amount owing by Director to the Company or any of its Affiliates. If, at the time of Director’s separation from service (within the meaning of Section 409A), (a) Director shall be a specified employee (within the meaning of Section 409A and using the identification methodology selected by the Company from time to time) and (b)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222" w:lineRule="exact"/>
        <w:rPr>
          <w:rFonts w:ascii="Arial" w:cs="Arial" w:eastAsia="Arial" w:hAnsi="Arial"/>
          <w:sz w:val="19"/>
          <w:szCs w:val="19"/>
          <w:color w:val="auto"/>
        </w:rPr>
      </w:pPr>
    </w:p>
    <w:p>
      <w:pPr>
        <w:jc w:val="both"/>
        <w:ind w:left="2" w:hanging="2"/>
        <w:spacing w:after="0" w:line="278" w:lineRule="auto"/>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xml:space="preserve"> The Board shall have the authority to interpret the Plan and this Agreement and to take whatever administrative actions, including correction of administrative errors in the awards subject to this Agreement and in this Agreement, as the Board in its or his sole good faith judgment shall be determined to be advisable. All decisions, interpretations and administrative actions made by the Board hereunder or under the Plan shall be binding and conclusive on the Company and Director. In the event there is inconsistency between the provisions of this Agreement and of the Plan, the provisions of the Plan shall govern.</w:t>
      </w:r>
    </w:p>
    <w:p>
      <w:pPr>
        <w:spacing w:after="0" w:line="191" w:lineRule="exact"/>
        <w:rPr>
          <w:rFonts w:ascii="Arial" w:cs="Arial" w:eastAsia="Arial" w:hAnsi="Arial"/>
          <w:sz w:val="18"/>
          <w:szCs w:val="18"/>
          <w:color w:val="auto"/>
        </w:rPr>
      </w:pPr>
    </w:p>
    <w:p>
      <w:pPr>
        <w:ind w:left="2" w:right="20" w:hanging="2"/>
        <w:spacing w:after="0" w:line="316" w:lineRule="auto"/>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and inure to the benefit of the parties hereto and the successors and assigns of the Company and to the extent provided in Paragraph 5 to the personal representatives, legatees and heirs of Director.</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9"/>
          <w:szCs w:val="19"/>
          <w:color w:val="auto"/>
        </w:rPr>
        <w:t>IN WITNESS WHEREOF, the Company has executed this Agreement as of the day and year set forth on the Award Summary.</w:t>
      </w:r>
    </w:p>
    <w:p>
      <w:pPr>
        <w:spacing w:after="0" w:line="27" w:lineRule="exact"/>
        <w:rPr>
          <w:sz w:val="20"/>
          <w:szCs w:val="20"/>
          <w:color w:val="auto"/>
        </w:rPr>
      </w:pPr>
    </w:p>
    <w:p>
      <w:pPr>
        <w:ind w:left="5182"/>
        <w:spacing w:after="0"/>
        <w:rPr>
          <w:sz w:val="20"/>
          <w:szCs w:val="20"/>
          <w:color w:val="auto"/>
        </w:rPr>
      </w:pPr>
      <w:r>
        <w:rPr>
          <w:rFonts w:ascii="Arial" w:cs="Arial" w:eastAsia="Arial" w:hAnsi="Arial"/>
          <w:sz w:val="20"/>
          <w:szCs w:val="20"/>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2"/>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-14605</wp:posOffset>
            </wp:positionV>
            <wp:extent cx="125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11042"/>
          </w:cols>
          <w:pgMar w:left="418" w:top="1405"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RESTRICTED STOCK UNIT AWARD AGREEMENT PURSUANT TO</w:t>
      </w: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3"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139" w:lineRule="exact"/>
        <w:rPr>
          <w:sz w:val="20"/>
          <w:szCs w:val="20"/>
          <w:color w:val="auto"/>
        </w:rPr>
      </w:pPr>
    </w:p>
    <w:p>
      <w:pPr>
        <w:jc w:val="both"/>
        <w:ind w:left="10"/>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139"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61"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93" w:lineRule="exact"/>
        <w:rPr>
          <w:sz w:val="20"/>
          <w:szCs w:val="20"/>
          <w:color w:val="auto"/>
        </w:rPr>
      </w:pPr>
    </w:p>
    <w:p>
      <w:pPr>
        <w:jc w:val="both"/>
        <w:ind w:left="10" w:hanging="10"/>
        <w:spacing w:after="0" w:line="256"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126"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RESTRICTED STOCK UNITS</w:t>
      </w:r>
    </w:p>
    <w:p>
      <w:pPr>
        <w:spacing w:after="0" w:line="193" w:lineRule="exact"/>
        <w:rPr>
          <w:sz w:val="20"/>
          <w:szCs w:val="20"/>
          <w:color w:val="auto"/>
        </w:rPr>
      </w:pPr>
    </w:p>
    <w:p>
      <w:pPr>
        <w:jc w:val="both"/>
        <w:ind w:left="10" w:hanging="10"/>
        <w:spacing w:after="0" w:line="252" w:lineRule="auto"/>
        <w:tabs>
          <w:tab w:leader="none" w:pos="4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53" w:lineRule="exact"/>
        <w:rPr>
          <w:rFonts w:ascii="Arial" w:cs="Arial" w:eastAsia="Arial" w:hAnsi="Arial"/>
          <w:sz w:val="18"/>
          <w:szCs w:val="18"/>
          <w:color w:val="auto"/>
        </w:rPr>
      </w:pPr>
    </w:p>
    <w:p>
      <w:pPr>
        <w:jc w:val="both"/>
        <w:ind w:left="10" w:hanging="10"/>
        <w:spacing w:after="0" w:line="253" w:lineRule="auto"/>
        <w:tabs>
          <w:tab w:leader="none" w:pos="23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6 of the Plan) or as otherwise provided in this Section 3 or Section 8, the vesting of RSUs covered hereby shall be subject to the Employee’s continued employment with the Company or a subsidiary or affiliate through the applicable Vesting Date. The Employee shall be eligible to vest in one-third of the shares of Common Stock covered by this Agreement as set forth in the Award Summary on each of June 30, 2022, June 30, 2023 and June 30, 2024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51" w:lineRule="exact"/>
        <w:rPr>
          <w:sz w:val="20"/>
          <w:szCs w:val="20"/>
          <w:color w:val="auto"/>
        </w:rPr>
      </w:pPr>
    </w:p>
    <w:p>
      <w:pPr>
        <w:jc w:val="both"/>
        <w:ind w:left="10"/>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RSUs outstanding on the date of such Change in Control, and any dividend equivalents with respect thereto, shall be assumed by the successor company (or its parent company) and remain outstanding and thereafter the vesting of such RSUs, and any dividend equivalents with respect thereto, shall be subject to Employee’s continued employment with the Company or a subsidiary or an affiliate through each applicable Vesting Date as provided in this Section 3, at which time such RSUs shall vest and shall be paid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 shall be paid to the extent provided in Section 8 in the event of the Employee’s termination of employment following such Change in Control and prior to a Vesting Date. Upon payment pursuant to the terms of the Plan, such awards shall be cancelled.</w:t>
      </w:r>
    </w:p>
    <w:p>
      <w:pPr>
        <w:sectPr>
          <w:pgSz w:w="11900" w:h="16838" w:orient="portrait"/>
          <w:cols w:equalWidth="0" w:num="1">
            <w:col w:w="11070"/>
          </w:cols>
          <w:pgMar w:left="490" w:top="147" w:right="339" w:bottom="1440" w:gutter="0" w:footer="0" w:header="0"/>
        </w:sectPr>
      </w:pPr>
    </w:p>
    <w:bookmarkStart w:id="66" w:name="page67"/>
    <w:bookmarkEnd w:id="66"/>
    <w:p>
      <w:pPr>
        <w:jc w:val="both"/>
        <w:ind w:left="10" w:hanging="10"/>
        <w:spacing w:after="0" w:line="253" w:lineRule="auto"/>
        <w:tabs>
          <w:tab w:leader="none" w:pos="41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9"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93" w:lineRule="exact"/>
        <w:rPr>
          <w:sz w:val="20"/>
          <w:szCs w:val="20"/>
          <w:color w:val="auto"/>
        </w:rPr>
      </w:pPr>
    </w:p>
    <w:p>
      <w:pPr>
        <w:jc w:val="both"/>
        <w:ind w:left="10" w:hanging="10"/>
        <w:spacing w:after="0" w:line="256" w:lineRule="auto"/>
        <w:tabs>
          <w:tab w:leader="none" w:pos="21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47" w:lineRule="exact"/>
        <w:rPr>
          <w:rFonts w:ascii="Arial" w:cs="Arial" w:eastAsia="Arial" w:hAnsi="Arial"/>
          <w:sz w:val="18"/>
          <w:szCs w:val="18"/>
          <w:color w:val="auto"/>
        </w:rPr>
      </w:pPr>
    </w:p>
    <w:p>
      <w:pPr>
        <w:jc w:val="both"/>
        <w:ind w:left="10" w:hanging="4"/>
        <w:spacing w:after="0" w:line="256" w:lineRule="auto"/>
        <w:tabs>
          <w:tab w:leader="none" w:pos="37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147" w:lineRule="exact"/>
        <w:rPr>
          <w:rFonts w:ascii="Arial" w:cs="Arial" w:eastAsia="Arial" w:hAnsi="Arial"/>
          <w:sz w:val="18"/>
          <w:szCs w:val="18"/>
          <w:color w:val="auto"/>
        </w:rPr>
      </w:pPr>
    </w:p>
    <w:p>
      <w:pPr>
        <w:jc w:val="both"/>
        <w:ind w:left="10" w:hanging="10"/>
        <w:spacing w:after="0" w:line="254" w:lineRule="auto"/>
        <w:tabs>
          <w:tab w:leader="none" w:pos="52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7(d)(ii) of the Plan. Any purported sale, assignment, alienation, transfer, pledge, attachment or other encumbrance of a RSU in violation of the provisions of this Section 7 and Section 7(d)(ii) of the Plan shall be void.</w:t>
      </w:r>
    </w:p>
    <w:p>
      <w:pPr>
        <w:spacing w:after="0" w:line="149" w:lineRule="exact"/>
        <w:rPr>
          <w:rFonts w:ascii="Arial" w:cs="Arial" w:eastAsia="Arial" w:hAnsi="Arial"/>
          <w:sz w:val="18"/>
          <w:szCs w:val="18"/>
          <w:color w:val="auto"/>
        </w:rPr>
      </w:pPr>
    </w:p>
    <w:p>
      <w:pPr>
        <w:ind w:left="350" w:hanging="350"/>
        <w:spacing w:after="0"/>
        <w:tabs>
          <w:tab w:leader="none" w:pos="35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510"/>
        <w:spacing w:after="0" w:line="261" w:lineRule="auto"/>
        <w:tabs>
          <w:tab w:leader="none" w:pos="661"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prior to June 30, 2024, the RSUs will be treated as set forth below.</w:t>
      </w:r>
    </w:p>
    <w:p>
      <w:pPr>
        <w:spacing w:after="0" w:line="143" w:lineRule="exact"/>
        <w:rPr>
          <w:rFonts w:ascii="Arial" w:cs="Arial" w:eastAsia="Arial" w:hAnsi="Arial"/>
          <w:sz w:val="18"/>
          <w:szCs w:val="18"/>
          <w:color w:val="auto"/>
        </w:rPr>
      </w:pPr>
    </w:p>
    <w:p>
      <w:pPr>
        <w:jc w:val="both"/>
        <w:ind w:left="730" w:hanging="1"/>
        <w:spacing w:after="0" w:line="256" w:lineRule="auto"/>
        <w:tabs>
          <w:tab w:leader="none" w:pos="950" w:val="left"/>
        </w:tabs>
        <w:numPr>
          <w:ilvl w:val="2"/>
          <w:numId w:val="80"/>
        </w:numPr>
        <w:rPr>
          <w:rFonts w:ascii="Arial" w:cs="Arial" w:eastAsia="Arial" w:hAnsi="Arial"/>
          <w:sz w:val="18"/>
          <w:szCs w:val="18"/>
          <w:color w:val="auto"/>
        </w:rPr>
      </w:pPr>
      <w:r>
        <w:rPr>
          <w:rFonts w:ascii="Arial" w:cs="Arial" w:eastAsia="Arial" w:hAnsi="Arial"/>
          <w:sz w:val="18"/>
          <w:szCs w:val="18"/>
          <w:color w:val="auto"/>
        </w:rPr>
        <w:t>Voluntary Resignation. In the event the Employee voluntarily ceases to be an employee of the Employer for any reason other than a Termination For Good Reason following a Change in Control, the RSUs that have not vested in accordance with Section 3 shall be canceled and forfeited on the date of such voluntary termination of employment.</w:t>
      </w:r>
    </w:p>
    <w:p>
      <w:pPr>
        <w:spacing w:after="0" w:line="147" w:lineRule="exact"/>
        <w:rPr>
          <w:rFonts w:ascii="Arial" w:cs="Arial" w:eastAsia="Arial" w:hAnsi="Arial"/>
          <w:sz w:val="18"/>
          <w:szCs w:val="18"/>
          <w:color w:val="auto"/>
        </w:rPr>
      </w:pPr>
    </w:p>
    <w:p>
      <w:pPr>
        <w:jc w:val="both"/>
        <w:ind w:left="730" w:hanging="1"/>
        <w:spacing w:after="0" w:line="251" w:lineRule="auto"/>
        <w:tabs>
          <w:tab w:leader="none" w:pos="987" w:val="left"/>
        </w:tabs>
        <w:numPr>
          <w:ilvl w:val="2"/>
          <w:numId w:val="80"/>
        </w:numPr>
        <w:rPr>
          <w:rFonts w:ascii="Arial" w:cs="Arial" w:eastAsia="Arial" w:hAnsi="Arial"/>
          <w:sz w:val="18"/>
          <w:szCs w:val="18"/>
          <w:color w:val="auto"/>
        </w:rPr>
      </w:pPr>
      <w:r>
        <w:rPr>
          <w:rFonts w:ascii="Arial" w:cs="Arial" w:eastAsia="Arial" w:hAnsi="Arial"/>
          <w:sz w:val="18"/>
          <w:szCs w:val="18"/>
          <w:color w:val="auto"/>
        </w:rPr>
        <w:t>Termination without Cause. In the event the Employee involuntarily ceases to be an employee of the Employer on or after the nine-month anniversary of the grant date and prior to a Change in Control for any reason other than due to death, Disability or a termination for Cause, the number of RSUs scheduled to vest on the Vesting Date immediately following such termination, and any dividend equivalents with respect thereto, shall be prorated based on a fraction, the numerator of which is the number of full months elapsed since the most recent Vesting Date immediately preceding such date of termination (or, in the event such termination is prior to the first Vesting Date, the number of full months elapsed since the Date of Grant) and the denominator of which is 12, and any remaining RSUs shall be forfeited. Such prorated number of RSUs, and any dividend equivalents with respect thereto, shall immediately vest and shall be settled in accordance with Section 2 within 60 days following the Vesting Date immediately following such termination; provided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In the event the Employee involuntarily ceases to be an employee of the Employer prior to the nine-month anniversary of the grant date, the RSUs shall be cancelled and forfeited on the date of such termination.</w:t>
      </w:r>
    </w:p>
    <w:p>
      <w:pPr>
        <w:spacing w:after="0" w:line="155" w:lineRule="exact"/>
        <w:rPr>
          <w:rFonts w:ascii="Arial" w:cs="Arial" w:eastAsia="Arial" w:hAnsi="Arial"/>
          <w:sz w:val="18"/>
          <w:szCs w:val="18"/>
          <w:color w:val="auto"/>
        </w:rPr>
      </w:pPr>
    </w:p>
    <w:p>
      <w:pPr>
        <w:jc w:val="both"/>
        <w:ind w:left="730" w:hanging="1"/>
        <w:spacing w:after="0" w:line="253" w:lineRule="auto"/>
        <w:tabs>
          <w:tab w:leader="none" w:pos="1025" w:val="left"/>
        </w:tabs>
        <w:numPr>
          <w:ilvl w:val="2"/>
          <w:numId w:val="80"/>
        </w:numPr>
        <w:rPr>
          <w:rFonts w:ascii="Arial" w:cs="Arial" w:eastAsia="Arial" w:hAnsi="Arial"/>
          <w:sz w:val="18"/>
          <w:szCs w:val="18"/>
          <w:color w:val="auto"/>
        </w:rPr>
      </w:pPr>
      <w:r>
        <w:rPr>
          <w:rFonts w:ascii="Arial" w:cs="Arial" w:eastAsia="Arial" w:hAnsi="Arial"/>
          <w:sz w:val="18"/>
          <w:szCs w:val="18"/>
          <w:color w:val="auto"/>
        </w:rPr>
        <w:t>Qualifying Termination Following Change in Control. In the event the Employee involuntarily ceases to be an employee of 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70"/>
          </w:cols>
          <w:pgMar w:left="490" w:top="1111" w:right="339" w:bottom="1440" w:gutter="0" w:footer="0" w:header="0"/>
        </w:sectPr>
      </w:pPr>
    </w:p>
    <w:bookmarkStart w:id="67" w:name="page68"/>
    <w:bookmarkEnd w:id="67"/>
    <w:p>
      <w:pPr>
        <w:jc w:val="both"/>
        <w:ind w:left="422"/>
        <w:spacing w:after="0" w:line="253" w:lineRule="auto"/>
        <w:rPr>
          <w:sz w:val="20"/>
          <w:szCs w:val="20"/>
          <w:color w:val="auto"/>
        </w:rPr>
      </w:pPr>
      <w:r>
        <w:rPr>
          <w:rFonts w:ascii="Arial" w:cs="Arial" w:eastAsia="Arial" w:hAnsi="Arial"/>
          <w:sz w:val="18"/>
          <w:szCs w:val="18"/>
          <w:color w:val="auto"/>
        </w:rPr>
        <w:t>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151" w:lineRule="exact"/>
        <w:rPr>
          <w:sz w:val="20"/>
          <w:szCs w:val="20"/>
          <w:color w:val="auto"/>
        </w:rPr>
      </w:pPr>
    </w:p>
    <w:p>
      <w:pPr>
        <w:jc w:val="both"/>
        <w:ind w:left="422" w:hanging="1"/>
        <w:spacing w:after="0" w:line="254" w:lineRule="auto"/>
        <w:tabs>
          <w:tab w:leader="none" w:pos="73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Death or Disability. In the event the Employee involuntarily ceases to be an employee of the Employer by reason of death or Disability, the RSUs covered by this Agreement, and any dividend equivalents with respect thereto, shall immediately vest if such termination of employment occurs prior to a Change in Control and shall be settled within 60 days following the Vesting Date immediately following such termination in accordance with Section 2, without proration.</w:t>
      </w:r>
    </w:p>
    <w:p>
      <w:pPr>
        <w:spacing w:after="0" w:line="149" w:lineRule="exact"/>
        <w:rPr>
          <w:rFonts w:ascii="Arial" w:cs="Arial" w:eastAsia="Arial" w:hAnsi="Arial"/>
          <w:sz w:val="18"/>
          <w:szCs w:val="18"/>
          <w:color w:val="auto"/>
        </w:rPr>
      </w:pPr>
    </w:p>
    <w:p>
      <w:pPr>
        <w:jc w:val="both"/>
        <w:ind w:left="422" w:hanging="1"/>
        <w:spacing w:after="0" w:line="254" w:lineRule="auto"/>
        <w:tabs>
          <w:tab w:leader="none" w:pos="691" w:val="left"/>
        </w:tabs>
        <w:numPr>
          <w:ilvl w:val="1"/>
          <w:numId w:val="81"/>
        </w:numPr>
        <w:rPr>
          <w:rFonts w:ascii="Arial" w:cs="Arial" w:eastAsia="Arial" w:hAnsi="Arial"/>
          <w:sz w:val="18"/>
          <w:szCs w:val="18"/>
          <w:color w:val="auto"/>
        </w:rPr>
      </w:pPr>
      <w:r>
        <w:rPr>
          <w:rFonts w:ascii="Arial" w:cs="Arial" w:eastAsia="Arial" w:hAnsi="Arial"/>
          <w:sz w:val="18"/>
          <w:szCs w:val="18"/>
          <w:color w:val="auto"/>
        </w:rPr>
        <w:t>Termination for Cause. In the event the Employee involuntarily ceases to be an employee of the Employer due to termination for Cause, the 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127" w:lineRule="exact"/>
        <w:rPr>
          <w:rFonts w:ascii="Arial" w:cs="Arial" w:eastAsia="Arial" w:hAnsi="Arial"/>
          <w:sz w:val="18"/>
          <w:szCs w:val="18"/>
          <w:color w:val="auto"/>
        </w:rPr>
      </w:pPr>
    </w:p>
    <w:p>
      <w:pPr>
        <w:ind w:left="422" w:hanging="422"/>
        <w:spacing w:after="0" w:line="287" w:lineRule="auto"/>
        <w:tabs>
          <w:tab w:leader="none" w:pos="52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42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Employee within two years of the occurrence of any of the following circumstances, provided that (1) such circumstance occurs without Employee’s express written consent after a Change in Control, and (2) Employee gives the Company notice of the occurrence of the offending circumstance(s) within 90 days of the first occurrence of the circumstance(s), and the Company fails to cure the circumstance(s) within 30 days of receipt of this notice (or the Company notifies Employee in writing prior to the expiration of such 30-day period that the circumstance(s) will not be cured):</w:t>
      </w:r>
    </w:p>
    <w:p>
      <w:pPr>
        <w:spacing w:after="0" w:line="150" w:lineRule="exact"/>
        <w:rPr>
          <w:sz w:val="20"/>
          <w:szCs w:val="20"/>
          <w:color w:val="auto"/>
        </w:rPr>
      </w:pPr>
    </w:p>
    <w:p>
      <w:pPr>
        <w:ind w:left="822" w:firstLine="4"/>
        <w:spacing w:after="0" w:line="261" w:lineRule="auto"/>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material diminution of Employee’s authority, duties, or responsibilities from those in effect immediately prior to a Change in Control;</w:t>
      </w:r>
    </w:p>
    <w:p>
      <w:pPr>
        <w:spacing w:after="0" w:line="143" w:lineRule="exact"/>
        <w:rPr>
          <w:rFonts w:ascii="Arial" w:cs="Arial" w:eastAsia="Arial" w:hAnsi="Arial"/>
          <w:sz w:val="18"/>
          <w:szCs w:val="18"/>
          <w:color w:val="auto"/>
        </w:rPr>
      </w:pPr>
    </w:p>
    <w:p>
      <w:pPr>
        <w:jc w:val="both"/>
        <w:ind w:left="822" w:firstLine="4"/>
        <w:spacing w:after="0" w:line="252" w:lineRule="auto"/>
        <w:tabs>
          <w:tab w:leader="none" w:pos="11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of the following: (1) A material reduction in Employee’s annual base salary and/or annual target bonus, (2) a failure by the Company to increase Employee’s annual base salary following a Change in Control at such periodic intervals not materially inconsistent with the Company’s practice prior thereto by at least a percentage equal to the average of the percentage increases in Employee’s base salary for the three merit pay periods immediately preceding such Change in Control, or (3) the failure to increase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52" w:lineRule="exact"/>
        <w:rPr>
          <w:rFonts w:ascii="Arial" w:cs="Arial" w:eastAsia="Arial" w:hAnsi="Arial"/>
          <w:sz w:val="18"/>
          <w:szCs w:val="18"/>
          <w:color w:val="auto"/>
        </w:rPr>
      </w:pPr>
    </w:p>
    <w:p>
      <w:pPr>
        <w:jc w:val="both"/>
        <w:ind w:left="822" w:firstLine="4"/>
        <w:spacing w:after="0" w:line="254" w:lineRule="auto"/>
        <w:tabs>
          <w:tab w:leader="none" w:pos="109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Company’s requiring Employee to be based anywhere other than in the metropolitan area in which Employee was based immediately before the Change in Control (except for required travel on the Company’s business to an extent substantially consistent with Employee’s present business travel obligations), provided that such required relocation constitutes a material change in the geographic location at which Employee is required to perform the services;</w:t>
      </w:r>
    </w:p>
    <w:p>
      <w:pPr>
        <w:spacing w:after="0" w:line="149" w:lineRule="exact"/>
        <w:rPr>
          <w:rFonts w:ascii="Arial" w:cs="Arial" w:eastAsia="Arial" w:hAnsi="Arial"/>
          <w:sz w:val="18"/>
          <w:szCs w:val="18"/>
          <w:color w:val="auto"/>
        </w:rPr>
      </w:pPr>
    </w:p>
    <w:p>
      <w:pPr>
        <w:jc w:val="both"/>
        <w:ind w:left="822" w:firstLine="4"/>
        <w:spacing w:after="0" w:line="252" w:lineRule="auto"/>
        <w:tabs>
          <w:tab w:leader="none" w:pos="11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Employee’s participation therein (or in such substitute or alternative plan) on a basis not materially less favorable, both in terms of the amount of benefits provided and the level of Employee’s participation relative to other employees, than existed at the time of the Change in Control; 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78"/>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62"/>
          </w:cols>
          <w:pgMar w:left="798" w:top="1111" w:right="339" w:bottom="1440" w:gutter="0" w:footer="0" w:header="0"/>
        </w:sectPr>
      </w:pPr>
    </w:p>
    <w:bookmarkStart w:id="68" w:name="page69"/>
    <w:bookmarkEnd w:id="68"/>
    <w:p>
      <w:pPr>
        <w:ind w:left="1130" w:firstLine="4"/>
        <w:spacing w:after="0" w:line="261" w:lineRule="auto"/>
        <w:tabs>
          <w:tab w:leader="none" w:pos="14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144" w:lineRule="exact"/>
        <w:rPr>
          <w:sz w:val="20"/>
          <w:szCs w:val="20"/>
          <w:color w:val="auto"/>
        </w:rPr>
      </w:pPr>
    </w:p>
    <w:p>
      <w:pPr>
        <w:jc w:val="both"/>
        <w:ind w:left="1130"/>
        <w:spacing w:after="0" w:line="253" w:lineRule="auto"/>
        <w:rPr>
          <w:sz w:val="20"/>
          <w:szCs w:val="20"/>
          <w:color w:val="auto"/>
        </w:rPr>
      </w:pPr>
      <w:r>
        <w:rPr>
          <w:rFonts w:ascii="Arial" w:cs="Arial" w:eastAsia="Arial" w:hAnsi="Arial"/>
          <w:sz w:val="18"/>
          <w:szCs w:val="18"/>
          <w:color w:val="auto"/>
        </w:rPr>
        <w:t>A termination by Employee of his or her employment shall not fail to be a Termination for Good Reason merely because of Employee’s incapacity due to physical or mental illness, or because Employee’s employment continued after the occurrence of any of the events listed in this subsection. For the avoidance of doubt, a Termination for Good Reason by Employee shall not mean the Company’s reasonable accommodation or modification of Employee’s authority, duties, or responsibilities because of Employee’s Disability.</w:t>
      </w:r>
    </w:p>
    <w:p>
      <w:pPr>
        <w:spacing w:after="0" w:line="129" w:lineRule="exact"/>
        <w:rPr>
          <w:sz w:val="20"/>
          <w:szCs w:val="20"/>
          <w:color w:val="auto"/>
        </w:rPr>
      </w:pPr>
    </w:p>
    <w:p>
      <w:pPr>
        <w:jc w:val="both"/>
        <w:ind w:left="7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7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7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21" w:lineRule="exact"/>
        <w:rPr>
          <w:sz w:val="20"/>
          <w:szCs w:val="20"/>
          <w:color w:val="auto"/>
        </w:rPr>
      </w:pPr>
    </w:p>
    <w:p>
      <w:pPr>
        <w:ind w:left="710" w:hanging="380"/>
        <w:spacing w:after="0" w:line="251" w:lineRule="auto"/>
        <w:tabs>
          <w:tab w:leader="none" w:pos="58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Divestiture. Notwithstanding the above, the termination of Employee’s employment with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RSUs shall vest and be paid as provided in Section 8(a)(ii) above, whether or not such termination occurs after the nine-month anniversary of the grant date of the RSUs; provided, however, that in the event such termination occurs prior to June 30, 2022, the Employee shall vest in the RSUs scheduled to vest on the Vesting Date immediately following such termination, prorated based on a fraction, the numerator of which is the number of full months elapsed since the Date of Grant and the denominator of which is 12, and the remaining RSUs shall be forfeited; and provided, further, that, in the event the Employee is offered a comparable position (as determined by the Committee in accordance with the Company’s severance policy) with the acquirer of such line of business and does not accept such offer, the RSUs shall be cancelled and forfeited on the date of termination of employment.</w:t>
      </w:r>
    </w:p>
    <w:p>
      <w:pPr>
        <w:spacing w:after="0" w:line="156" w:lineRule="exact"/>
        <w:rPr>
          <w:rFonts w:ascii="Arial" w:cs="Arial" w:eastAsia="Arial" w:hAnsi="Arial"/>
          <w:sz w:val="18"/>
          <w:szCs w:val="18"/>
          <w:color w:val="auto"/>
        </w:rPr>
      </w:pPr>
    </w:p>
    <w:p>
      <w:pPr>
        <w:jc w:val="both"/>
        <w:ind w:left="10" w:hanging="10"/>
        <w:spacing w:after="0" w:line="252" w:lineRule="auto"/>
        <w:tabs>
          <w:tab w:leader="none" w:pos="38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pacing w:after="0" w:line="152" w:lineRule="exact"/>
        <w:rPr>
          <w:rFonts w:ascii="Arial" w:cs="Arial" w:eastAsia="Arial" w:hAnsi="Arial"/>
          <w:sz w:val="18"/>
          <w:szCs w:val="18"/>
          <w:color w:val="auto"/>
        </w:rPr>
      </w:pPr>
    </w:p>
    <w:p>
      <w:pPr>
        <w:jc w:val="both"/>
        <w:ind w:left="10" w:hanging="10"/>
        <w:spacing w:after="0" w:line="252"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RSUs, the Employee may satisfy, in whole or in part, any withholding tax liability: (a) by cash payment of an amount equal to such withholding liability; or (b) by having the Company withhold from the number of RSUs in which the Employee would be entitled to vest a number of shares of Common Stock having a fair value equal to such withholding tax liability in accordance with the Company’s share withholding procedures.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70"/>
          </w:cols>
          <w:pgMar w:left="490" w:top="1111" w:right="339" w:bottom="1440" w:gutter="0" w:footer="0" w:header="0"/>
        </w:sectPr>
      </w:pPr>
    </w:p>
    <w:bookmarkStart w:id="69" w:name="page70"/>
    <w:bookmarkEnd w:id="69"/>
    <w:p>
      <w:pPr>
        <w:ind w:left="450" w:hanging="450"/>
        <w:spacing w:after="0"/>
        <w:tabs>
          <w:tab w:leader="none" w:pos="45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30" w:hanging="391"/>
        <w:spacing w:after="0" w:line="256" w:lineRule="auto"/>
        <w:tabs>
          <w:tab w:leader="none" w:pos="71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RSUs are subject to modification and adjustment under Section 9(c) of the Plan.</w:t>
      </w:r>
    </w:p>
    <w:p>
      <w:pPr>
        <w:spacing w:after="0" w:line="147" w:lineRule="exact"/>
        <w:rPr>
          <w:rFonts w:ascii="Arial" w:cs="Arial" w:eastAsia="Arial" w:hAnsi="Arial"/>
          <w:sz w:val="18"/>
          <w:szCs w:val="18"/>
          <w:color w:val="auto"/>
        </w:rPr>
      </w:pPr>
    </w:p>
    <w:p>
      <w:pPr>
        <w:ind w:left="630" w:hanging="391"/>
        <w:spacing w:after="0" w:line="261" w:lineRule="auto"/>
        <w:tabs>
          <w:tab w:leader="none" w:pos="62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143" w:lineRule="exact"/>
        <w:rPr>
          <w:rFonts w:ascii="Arial" w:cs="Arial" w:eastAsia="Arial" w:hAnsi="Arial"/>
          <w:sz w:val="18"/>
          <w:szCs w:val="18"/>
          <w:color w:val="auto"/>
        </w:rPr>
      </w:pPr>
    </w:p>
    <w:p>
      <w:pPr>
        <w:ind w:left="630" w:hanging="391"/>
        <w:spacing w:after="0" w:line="261" w:lineRule="auto"/>
        <w:tabs>
          <w:tab w:leader="none" w:pos="62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143" w:lineRule="exact"/>
        <w:rPr>
          <w:rFonts w:ascii="Arial" w:cs="Arial" w:eastAsia="Arial" w:hAnsi="Arial"/>
          <w:sz w:val="18"/>
          <w:szCs w:val="18"/>
          <w:color w:val="auto"/>
        </w:rPr>
      </w:pPr>
    </w:p>
    <w:p>
      <w:pPr>
        <w:jc w:val="both"/>
        <w:ind w:left="630" w:hanging="391"/>
        <w:spacing w:after="0" w:line="256" w:lineRule="auto"/>
        <w:tabs>
          <w:tab w:leader="none" w:pos="62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RSU award and Employee’s participation in the Plan will not be interpreted to form an employment contract or relationship with the Employer;</w:t>
      </w:r>
    </w:p>
    <w:p>
      <w:pPr>
        <w:spacing w:after="0" w:line="147" w:lineRule="exact"/>
        <w:rPr>
          <w:rFonts w:ascii="Arial" w:cs="Arial" w:eastAsia="Arial" w:hAnsi="Arial"/>
          <w:sz w:val="18"/>
          <w:szCs w:val="18"/>
          <w:color w:val="auto"/>
        </w:rPr>
      </w:pPr>
    </w:p>
    <w:p>
      <w:pPr>
        <w:ind w:left="630" w:hanging="391"/>
        <w:spacing w:after="0"/>
        <w:tabs>
          <w:tab w:leader="none" w:pos="63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630" w:hanging="391"/>
        <w:spacing w:after="0" w:line="256" w:lineRule="auto"/>
        <w:tabs>
          <w:tab w:leader="none" w:pos="627"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147" w:lineRule="exact"/>
        <w:rPr>
          <w:rFonts w:ascii="Arial" w:cs="Arial" w:eastAsia="Arial" w:hAnsi="Arial"/>
          <w:sz w:val="18"/>
          <w:szCs w:val="18"/>
          <w:color w:val="auto"/>
        </w:rPr>
      </w:pPr>
    </w:p>
    <w:p>
      <w:pPr>
        <w:ind w:left="630" w:hanging="391"/>
        <w:spacing w:after="0"/>
        <w:tabs>
          <w:tab w:leader="none" w:pos="63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171" w:lineRule="exact"/>
        <w:rPr>
          <w:rFonts w:ascii="Arial" w:cs="Arial" w:eastAsia="Arial" w:hAnsi="Arial"/>
          <w:sz w:val="18"/>
          <w:szCs w:val="18"/>
          <w:color w:val="auto"/>
        </w:rPr>
      </w:pPr>
    </w:p>
    <w:p>
      <w:pPr>
        <w:jc w:val="both"/>
        <w:ind w:left="630" w:hanging="391"/>
        <w:spacing w:after="0" w:line="254" w:lineRule="auto"/>
        <w:tabs>
          <w:tab w:leader="none" w:pos="62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49" w:lineRule="exact"/>
        <w:rPr>
          <w:rFonts w:ascii="Arial" w:cs="Arial" w:eastAsia="Arial" w:hAnsi="Arial"/>
          <w:sz w:val="18"/>
          <w:szCs w:val="18"/>
          <w:color w:val="auto"/>
        </w:rPr>
      </w:pPr>
    </w:p>
    <w:p>
      <w:pPr>
        <w:ind w:left="610" w:hanging="371"/>
        <w:spacing w:after="0"/>
        <w:tabs>
          <w:tab w:leader="none" w:pos="61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30" w:hanging="391"/>
        <w:spacing w:after="0" w:line="252" w:lineRule="auto"/>
        <w:tabs>
          <w:tab w:leader="none" w:pos="617"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consideration of the award of the RSUs, no claim or entitlement to compensation or damages shall arise from forfeiture of the 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53" w:lineRule="exact"/>
        <w:rPr>
          <w:rFonts w:ascii="Arial" w:cs="Arial" w:eastAsia="Arial" w:hAnsi="Arial"/>
          <w:sz w:val="18"/>
          <w:szCs w:val="18"/>
          <w:color w:val="auto"/>
        </w:rPr>
      </w:pPr>
    </w:p>
    <w:p>
      <w:pPr>
        <w:ind w:left="630" w:hanging="391"/>
        <w:spacing w:after="0" w:line="261" w:lineRule="auto"/>
        <w:tabs>
          <w:tab w:leader="none" w:pos="626"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RSUs and the benefits under the Plan, if any, will not automatically transfer to another company in the case of a merger, take-over or transfer of liability.</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49" w:lineRule="exact"/>
        <w:rPr>
          <w:rFonts w:ascii="Arial" w:cs="Arial" w:eastAsia="Arial" w:hAnsi="Arial"/>
          <w:sz w:val="18"/>
          <w:szCs w:val="18"/>
          <w:color w:val="auto"/>
        </w:rPr>
      </w:pPr>
    </w:p>
    <w:p>
      <w:pPr>
        <w:ind w:left="10" w:hanging="10"/>
        <w:spacing w:after="0" w:line="261" w:lineRule="auto"/>
        <w:tabs>
          <w:tab w:leader="none" w:pos="52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43" w:lineRule="exact"/>
        <w:rPr>
          <w:rFonts w:ascii="Arial" w:cs="Arial" w:eastAsia="Arial" w:hAnsi="Arial"/>
          <w:sz w:val="18"/>
          <w:szCs w:val="18"/>
          <w:color w:val="auto"/>
        </w:rPr>
      </w:pPr>
    </w:p>
    <w:p>
      <w:pPr>
        <w:ind w:left="10" w:hanging="10"/>
        <w:spacing w:after="0" w:line="261" w:lineRule="auto"/>
        <w:tabs>
          <w:tab w:leader="none" w:pos="58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this Award and the delivery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70"/>
          </w:cols>
          <w:pgMar w:left="490" w:top="1111" w:right="339" w:bottom="1440" w:gutter="0" w:footer="0" w:header="0"/>
        </w:sectPr>
      </w:pPr>
    </w:p>
    <w:bookmarkStart w:id="70" w:name="page71"/>
    <w:bookmarkEnd w:id="70"/>
    <w:p>
      <w:pPr>
        <w:ind w:left="10"/>
        <w:spacing w:after="0" w:line="261" w:lineRule="auto"/>
        <w:rPr>
          <w:sz w:val="20"/>
          <w:szCs w:val="20"/>
          <w:color w:val="auto"/>
        </w:rPr>
      </w:pPr>
      <w:r>
        <w:rPr>
          <w:rFonts w:ascii="Arial" w:cs="Arial" w:eastAsia="Arial" w:hAnsi="Arial"/>
          <w:sz w:val="18"/>
          <w:szCs w:val="18"/>
          <w:color w:val="auto"/>
        </w:rPr>
        <w:t>of any shares of Common Stock hereunder are contingent on the Employee executing, and the Employee’s continued compliance with, the Non-Competition and Non-Solicitation Agreement set forth as Exhibit A to this Agreement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44" w:lineRule="exact"/>
        <w:rPr>
          <w:sz w:val="20"/>
          <w:szCs w:val="20"/>
          <w:color w:val="auto"/>
        </w:rPr>
      </w:pPr>
    </w:p>
    <w:p>
      <w:pPr>
        <w:ind w:left="10" w:hanging="10"/>
        <w:spacing w:after="0" w:line="261" w:lineRule="auto"/>
        <w:tabs>
          <w:tab w:leader="none" w:pos="51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143" w:lineRule="exact"/>
        <w:rPr>
          <w:rFonts w:ascii="Arial" w:cs="Arial" w:eastAsia="Arial" w:hAnsi="Arial"/>
          <w:sz w:val="18"/>
          <w:szCs w:val="18"/>
          <w:color w:val="auto"/>
        </w:rPr>
      </w:pPr>
    </w:p>
    <w:p>
      <w:pPr>
        <w:ind w:left="10" w:hanging="10"/>
        <w:spacing w:after="0" w:line="261" w:lineRule="auto"/>
        <w:tabs>
          <w:tab w:leader="none" w:pos="55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143" w:lineRule="exact"/>
        <w:rPr>
          <w:rFonts w:ascii="Arial" w:cs="Arial" w:eastAsia="Arial" w:hAnsi="Arial"/>
          <w:sz w:val="18"/>
          <w:szCs w:val="18"/>
          <w:color w:val="auto"/>
        </w:rPr>
      </w:pPr>
    </w:p>
    <w:p>
      <w:pPr>
        <w:jc w:val="both"/>
        <w:ind w:left="630" w:hanging="173"/>
        <w:spacing w:after="0" w:line="256" w:lineRule="auto"/>
        <w:tabs>
          <w:tab w:leader="none" w:pos="8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47" w:lineRule="exact"/>
        <w:rPr>
          <w:rFonts w:ascii="Arial" w:cs="Arial" w:eastAsia="Arial" w:hAnsi="Arial"/>
          <w:sz w:val="18"/>
          <w:szCs w:val="18"/>
          <w:color w:val="auto"/>
        </w:rPr>
      </w:pPr>
    </w:p>
    <w:p>
      <w:pPr>
        <w:jc w:val="both"/>
        <w:ind w:left="630" w:hanging="166"/>
        <w:spacing w:after="0" w:line="254" w:lineRule="auto"/>
        <w:tabs>
          <w:tab w:leader="none" w:pos="9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50" w:lineRule="exact"/>
        <w:rPr>
          <w:sz w:val="20"/>
          <w:szCs w:val="20"/>
          <w:color w:val="auto"/>
        </w:rPr>
      </w:pPr>
    </w:p>
    <w:p>
      <w:pPr>
        <w:jc w:val="both"/>
        <w:ind w:left="630" w:firstLine="154"/>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54" w:lineRule="exact"/>
        <w:rPr>
          <w:sz w:val="20"/>
          <w:szCs w:val="20"/>
          <w:color w:val="auto"/>
        </w:rPr>
      </w:pPr>
    </w:p>
    <w:p>
      <w:pPr>
        <w:jc w:val="both"/>
        <w:ind w:left="630" w:hanging="43"/>
        <w:spacing w:after="0" w:line="253" w:lineRule="auto"/>
        <w:tabs>
          <w:tab w:leader="none" w:pos="114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51" w:lineRule="exact"/>
        <w:rPr>
          <w:rFonts w:ascii="Arial" w:cs="Arial" w:eastAsia="Arial" w:hAnsi="Arial"/>
          <w:sz w:val="18"/>
          <w:szCs w:val="18"/>
          <w:color w:val="auto"/>
        </w:rPr>
      </w:pPr>
    </w:p>
    <w:p>
      <w:pPr>
        <w:jc w:val="both"/>
        <w:ind w:left="630" w:hanging="187"/>
        <w:spacing w:after="0" w:line="252" w:lineRule="auto"/>
        <w:tabs>
          <w:tab w:leader="none" w:pos="8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52" w:lineRule="exact"/>
        <w:rPr>
          <w:rFonts w:ascii="Arial" w:cs="Arial" w:eastAsia="Arial" w:hAnsi="Arial"/>
          <w:sz w:val="18"/>
          <w:szCs w:val="18"/>
          <w:color w:val="auto"/>
        </w:rPr>
      </w:pPr>
    </w:p>
    <w:p>
      <w:pPr>
        <w:jc w:val="both"/>
        <w:ind w:left="10" w:hanging="10"/>
        <w:spacing w:after="0" w:line="25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47" w:lineRule="exact"/>
        <w:rPr>
          <w:rFonts w:ascii="Arial" w:cs="Arial" w:eastAsia="Arial" w:hAnsi="Arial"/>
          <w:sz w:val="18"/>
          <w:szCs w:val="18"/>
          <w:color w:val="auto"/>
        </w:rPr>
      </w:pPr>
    </w:p>
    <w:p>
      <w:pPr>
        <w:ind w:left="10" w:hanging="10"/>
        <w:spacing w:after="0" w:line="261" w:lineRule="auto"/>
        <w:tabs>
          <w:tab w:leader="none" w:pos="48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47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70"/>
          </w:cols>
          <w:pgMar w:left="490" w:top="1111" w:right="339" w:bottom="1440" w:gutter="0" w:footer="0" w:header="0"/>
        </w:sectPr>
      </w:pPr>
    </w:p>
    <w:bookmarkStart w:id="71" w:name="page72"/>
    <w:bookmarkEnd w:id="71"/>
    <w:p>
      <w:pPr>
        <w:ind w:left="10"/>
        <w:spacing w:after="0" w:line="261" w:lineRule="auto"/>
        <w:rPr>
          <w:sz w:val="20"/>
          <w:szCs w:val="20"/>
          <w:color w:val="auto"/>
        </w:rPr>
      </w:pPr>
      <w:r>
        <w:rPr>
          <w:rFonts w:ascii="Arial" w:cs="Arial" w:eastAsia="Arial" w:hAnsi="Arial"/>
          <w:sz w:val="18"/>
          <w:szCs w:val="18"/>
          <w:color w:val="auto"/>
        </w:rPr>
        <w:t>cancelled for any employee who fails to comply with the Company’s acceptance requirement within 90 days of the effective date of the award.</w:t>
      </w:r>
    </w:p>
    <w:p>
      <w:pPr>
        <w:spacing w:after="0" w:line="144" w:lineRule="exact"/>
        <w:rPr>
          <w:sz w:val="20"/>
          <w:szCs w:val="20"/>
          <w:color w:val="auto"/>
        </w:rPr>
      </w:pPr>
    </w:p>
    <w:p>
      <w:pPr>
        <w:jc w:val="both"/>
        <w:ind w:left="10" w:hanging="10"/>
        <w:spacing w:after="0" w:line="252" w:lineRule="auto"/>
        <w:tabs>
          <w:tab w:leader="none" w:pos="51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54" w:lineRule="exact"/>
        <w:rPr>
          <w:rFonts w:ascii="Arial" w:cs="Arial" w:eastAsia="Arial" w:hAnsi="Arial"/>
          <w:sz w:val="18"/>
          <w:szCs w:val="18"/>
          <w:color w:val="auto"/>
        </w:rPr>
      </w:pPr>
    </w:p>
    <w:p>
      <w:pPr>
        <w:ind w:left="10" w:hanging="10"/>
        <w:spacing w:after="0" w:line="261"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52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51" w:lineRule="exact"/>
        <w:rPr>
          <w:rFonts w:ascii="Arial" w:cs="Arial" w:eastAsia="Arial" w:hAnsi="Arial"/>
          <w:sz w:val="18"/>
          <w:szCs w:val="18"/>
          <w:color w:val="auto"/>
        </w:rPr>
      </w:pPr>
    </w:p>
    <w:p>
      <w:pPr>
        <w:jc w:val="both"/>
        <w:ind w:left="10" w:hanging="10"/>
        <w:spacing w:after="0" w:line="256" w:lineRule="auto"/>
        <w:tabs>
          <w:tab w:leader="none" w:pos="31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4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151"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1" w:lineRule="exact"/>
        <w:rPr>
          <w:sz w:val="20"/>
          <w:szCs w:val="20"/>
          <w:color w:val="auto"/>
        </w:rPr>
      </w:pPr>
    </w:p>
    <w:p>
      <w:pPr>
        <w:jc w:val="both"/>
        <w:ind w:left="10" w:hanging="10"/>
        <w:spacing w:after="0" w:line="254" w:lineRule="auto"/>
        <w:tabs>
          <w:tab w:leader="none" w:pos="29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0"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54" w:lineRule="exact"/>
        <w:rPr>
          <w:sz w:val="20"/>
          <w:szCs w:val="20"/>
          <w:color w:val="auto"/>
        </w:rPr>
      </w:pPr>
    </w:p>
    <w:p>
      <w:pPr>
        <w:jc w:val="both"/>
        <w:ind w:left="10" w:hanging="10"/>
        <w:spacing w:after="0" w:line="256" w:lineRule="auto"/>
        <w:tabs>
          <w:tab w:leader="none" w:pos="57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7" w:lineRule="exact"/>
        <w:rPr>
          <w:rFonts w:ascii="Arial" w:cs="Arial" w:eastAsia="Arial" w:hAnsi="Arial"/>
          <w:sz w:val="18"/>
          <w:szCs w:val="18"/>
          <w:color w:val="auto"/>
        </w:rPr>
      </w:pPr>
    </w:p>
    <w:p>
      <w:pPr>
        <w:ind w:left="10" w:hanging="10"/>
        <w:spacing w:after="0" w:line="261" w:lineRule="auto"/>
        <w:tabs>
          <w:tab w:leader="none" w:pos="52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70"/>
          </w:cols>
          <w:pgMar w:left="490" w:top="1111" w:right="339" w:bottom="1440" w:gutter="0" w:footer="0" w:header="0"/>
        </w:sectPr>
      </w:pPr>
    </w:p>
    <w:bookmarkStart w:id="72" w:name="page73"/>
    <w:bookmarkEnd w:id="72"/>
    <w:p>
      <w:pPr>
        <w:jc w:val="both"/>
        <w:ind w:left="10" w:hanging="10"/>
        <w:spacing w:after="0" w:line="253" w:lineRule="auto"/>
        <w:tabs>
          <w:tab w:leader="none" w:pos="4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51" w:lineRule="exact"/>
        <w:rPr>
          <w:rFonts w:ascii="Arial" w:cs="Arial" w:eastAsia="Arial" w:hAnsi="Arial"/>
          <w:sz w:val="18"/>
          <w:szCs w:val="18"/>
          <w:color w:val="auto"/>
        </w:rPr>
      </w:pPr>
    </w:p>
    <w:p>
      <w:pPr>
        <w:jc w:val="both"/>
        <w:ind w:left="10" w:hanging="10"/>
        <w:spacing w:after="0" w:line="253" w:lineRule="auto"/>
        <w:tabs>
          <w:tab w:leader="none" w:pos="5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200" w:lineRule="exact"/>
        <w:rPr>
          <w:sz w:val="20"/>
          <w:szCs w:val="20"/>
          <w:color w:val="auto"/>
        </w:rPr>
      </w:pPr>
    </w:p>
    <w:p>
      <w:pPr>
        <w:spacing w:after="0" w:line="356"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164" w:lineRule="exact"/>
        <w:rPr>
          <w:sz w:val="20"/>
          <w:szCs w:val="20"/>
          <w:color w:val="auto"/>
        </w:rPr>
      </w:pPr>
    </w:p>
    <w:p>
      <w:pPr>
        <w:ind w:left="5030"/>
        <w:spacing w:after="0"/>
        <w:rPr>
          <w:sz w:val="20"/>
          <w:szCs w:val="20"/>
          <w:color w:val="auto"/>
        </w:rPr>
      </w:pPr>
      <w:r>
        <w:rPr>
          <w:rFonts w:ascii="Arial" w:cs="Arial" w:eastAsia="Arial" w:hAnsi="Arial"/>
          <w:sz w:val="22"/>
          <w:szCs w:val="22"/>
          <w:color w:val="auto"/>
        </w:rPr>
        <w:t>CONDUENT INCORPORATED</w:t>
      </w:r>
    </w:p>
    <w:p>
      <w:pPr>
        <w:spacing w:after="0" w:line="200" w:lineRule="exact"/>
        <w:rPr>
          <w:sz w:val="20"/>
          <w:szCs w:val="20"/>
          <w:color w:val="auto"/>
        </w:rPr>
      </w:pPr>
    </w:p>
    <w:p>
      <w:pPr>
        <w:spacing w:after="0" w:line="283"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By: /s/ CHRISTOPHER KUJAWA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3354070</wp:posOffset>
            </wp:positionH>
            <wp:positionV relativeFrom="paragraph">
              <wp:posOffset>-10160</wp:posOffset>
            </wp:positionV>
            <wp:extent cx="14331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3"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Christopher Kujawa, Chief Human Resources Officer</w:t>
      </w:r>
    </w:p>
    <w:p>
      <w:pPr>
        <w:spacing w:after="0" w:line="9" w:lineRule="exact"/>
        <w:rPr>
          <w:sz w:val="20"/>
          <w:szCs w:val="20"/>
          <w:color w:val="auto"/>
        </w:rPr>
      </w:pPr>
    </w:p>
    <w:p>
      <w:pPr>
        <w:ind w:left="5030"/>
        <w:spacing w:after="0"/>
        <w:rPr>
          <w:sz w:val="20"/>
          <w:szCs w:val="20"/>
          <w:color w:val="auto"/>
        </w:rPr>
      </w:pPr>
      <w:r>
        <w:rPr>
          <w:rFonts w:ascii="Arial" w:cs="Arial" w:eastAsia="Arial" w:hAnsi="Arial"/>
          <w:sz w:val="18"/>
          <w:szCs w:val="18"/>
          <w:color w:val="auto"/>
        </w:rPr>
        <w:t>Date: June 30, 2021</w:t>
      </w:r>
    </w:p>
    <w:p>
      <w:pPr>
        <w:sectPr>
          <w:pgSz w:w="11900" w:h="16838" w:orient="portrait"/>
          <w:cols w:equalWidth="0" w:num="1">
            <w:col w:w="11070"/>
          </w:cols>
          <w:pgMar w:left="49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7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70"/>
          </w:cols>
          <w:pgMar w:left="490" w:top="1111" w:right="33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174625</wp:posOffset>
            </wp:positionV>
            <wp:extent cx="1508760" cy="394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5087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333333"/>
        </w:rPr>
        <w:t>Non-Competition and Non-Solicitation Agreement</w:t>
      </w:r>
    </w:p>
    <w:p>
      <w:pPr>
        <w:spacing w:after="0" w:line="3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This Non-Competition and Non-Solicitation Agreement (“Agreement”) is made effective as of June 30, 2021 (“Effective Date”) between Conduent Business Services, LLC, its parent, subsidiaries, divisions and affiliates (collectively, “Conduent”) and the individual whose name appears in the Award Summary (“Employee”).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acknowledges that Conduent is in a competitive industry in which the creation, maintenance, and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Conduent and Employee agree as follows:</w:t>
      </w:r>
    </w:p>
    <w:p>
      <w:pPr>
        <w:spacing w:after="0" w:line="243" w:lineRule="exact"/>
        <w:rPr>
          <w:sz w:val="20"/>
          <w:szCs w:val="20"/>
          <w:color w:val="auto"/>
        </w:rPr>
      </w:pPr>
    </w:p>
    <w:p>
      <w:pPr>
        <w:jc w:val="both"/>
        <w:ind w:left="340" w:right="560" w:hanging="332"/>
        <w:spacing w:after="0" w:line="258" w:lineRule="auto"/>
        <w:tabs>
          <w:tab w:leader="none" w:pos="340" w:val="left"/>
        </w:tabs>
        <w:numPr>
          <w:ilvl w:val="0"/>
          <w:numId w:val="96"/>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(a) During the Non-Compete Period, Employee will not, directly or indirectly, own (beneficially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manage, operate, or render any services for (including, but not limited to, as an employee, proprietor, partner, agent, contractor, or consultant) any Entity that is engaged in any Competitive Activity in the Geographical Area.</w:t>
      </w:r>
    </w:p>
    <w:p>
      <w:pPr>
        <w:spacing w:after="0" w:line="192" w:lineRule="exact"/>
        <w:rPr>
          <w:rFonts w:ascii="Arial" w:cs="Arial" w:eastAsia="Arial" w:hAnsi="Arial"/>
          <w:sz w:val="19"/>
          <w:szCs w:val="19"/>
          <w:color w:val="auto"/>
        </w:rPr>
      </w:pPr>
    </w:p>
    <w:p>
      <w:pPr>
        <w:ind w:left="820" w:hanging="488"/>
        <w:spacing w:after="0"/>
        <w:tabs>
          <w:tab w:leader="none" w:pos="8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will have the meaning set forth below:</w:t>
      </w:r>
    </w:p>
    <w:p>
      <w:pPr>
        <w:spacing w:after="0" w:line="229" w:lineRule="exact"/>
        <w:rPr>
          <w:rFonts w:ascii="Arial" w:cs="Arial" w:eastAsia="Arial" w:hAnsi="Arial"/>
          <w:sz w:val="20"/>
          <w:szCs w:val="20"/>
          <w:color w:val="auto"/>
        </w:rPr>
      </w:pPr>
    </w:p>
    <w:p>
      <w:pPr>
        <w:jc w:val="both"/>
        <w:ind w:left="1300" w:hanging="80"/>
        <w:spacing w:after="0" w:line="231" w:lineRule="auto"/>
        <w:tabs>
          <w:tab w:leader="none" w:pos="1702" w:val="left"/>
        </w:tabs>
        <w:numPr>
          <w:ilvl w:val="2"/>
          <w:numId w:val="96"/>
        </w:numPr>
        <w:rPr>
          <w:rFonts w:ascii="Arial" w:cs="Arial" w:eastAsia="Arial" w:hAnsi="Arial"/>
          <w:sz w:val="20"/>
          <w:szCs w:val="20"/>
          <w:color w:val="auto"/>
        </w:rPr>
      </w:pPr>
      <w:r>
        <w:rPr>
          <w:rFonts w:ascii="Arial" w:cs="Arial" w:eastAsia="Arial" w:hAnsi="Arial"/>
          <w:sz w:val="20"/>
          <w:szCs w:val="20"/>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0" w:lineRule="exact"/>
        <w:rPr>
          <w:rFonts w:ascii="Arial" w:cs="Arial" w:eastAsia="Arial" w:hAnsi="Arial"/>
          <w:sz w:val="20"/>
          <w:szCs w:val="20"/>
          <w:color w:val="auto"/>
        </w:rPr>
      </w:pPr>
    </w:p>
    <w:p>
      <w:pPr>
        <w:ind w:left="1300" w:hanging="12"/>
        <w:spacing w:after="0" w:line="246" w:lineRule="auto"/>
        <w:tabs>
          <w:tab w:leader="none" w:pos="1911" w:val="left"/>
        </w:tabs>
        <w:numPr>
          <w:ilvl w:val="3"/>
          <w:numId w:val="96"/>
        </w:numPr>
        <w:rPr>
          <w:rFonts w:ascii="Arial" w:cs="Arial" w:eastAsia="Arial" w:hAnsi="Arial"/>
          <w:sz w:val="20"/>
          <w:szCs w:val="20"/>
          <w:color w:val="auto"/>
        </w:rPr>
      </w:pPr>
      <w:r>
        <w:rPr>
          <w:rFonts w:ascii="Arial" w:cs="Arial" w:eastAsia="Arial" w:hAnsi="Arial"/>
          <w:sz w:val="20"/>
          <w:szCs w:val="20"/>
          <w:color w:val="auto"/>
        </w:rPr>
        <w:t>“Employment Cessation Date” means the earlier of Employee’s last day of active employment with Conduent or Employee’s termination date as reflected in Conduent’s records.</w:t>
      </w:r>
    </w:p>
    <w:p>
      <w:pPr>
        <w:spacing w:after="0" w:line="204" w:lineRule="exact"/>
        <w:rPr>
          <w:sz w:val="20"/>
          <w:szCs w:val="20"/>
          <w:color w:val="auto"/>
        </w:rPr>
      </w:pPr>
    </w:p>
    <w:p>
      <w:pPr>
        <w:ind w:left="1300" w:hanging="45"/>
        <w:spacing w:after="0" w:line="246" w:lineRule="auto"/>
        <w:tabs>
          <w:tab w:leader="none" w:pos="1891" w:val="left"/>
        </w:tabs>
        <w:numPr>
          <w:ilvl w:val="0"/>
          <w:numId w:val="97"/>
        </w:numPr>
        <w:rPr>
          <w:rFonts w:ascii="Arial" w:cs="Arial" w:eastAsia="Arial" w:hAnsi="Arial"/>
          <w:sz w:val="20"/>
          <w:szCs w:val="20"/>
          <w:color w:val="auto"/>
        </w:rPr>
      </w:pPr>
      <w:r>
        <w:rPr>
          <w:rFonts w:ascii="Arial" w:cs="Arial" w:eastAsia="Arial" w:hAnsi="Arial"/>
          <w:sz w:val="20"/>
          <w:szCs w:val="20"/>
          <w:color w:val="auto"/>
        </w:rPr>
        <w:t>“Entity” means an individual, partnership, corporation, association, limited liability company, joint stock company, trust, joint venture, unincorporated organization or any other entity.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9" w:right="339" w:bottom="1440" w:gutter="0" w:footer="0" w:header="0"/>
        </w:sectPr>
      </w:pPr>
    </w:p>
    <w:bookmarkStart w:id="74" w:name="page75"/>
    <w:bookmarkEnd w:id="74"/>
    <w:p>
      <w:pPr>
        <w:jc w:val="both"/>
        <w:ind w:left="1300" w:hanging="46"/>
        <w:spacing w:after="0" w:line="237" w:lineRule="auto"/>
        <w:tabs>
          <w:tab w:leader="none" w:pos="1810" w:val="left"/>
        </w:tabs>
        <w:numPr>
          <w:ilvl w:val="1"/>
          <w:numId w:val="98"/>
        </w:numPr>
        <w:rPr>
          <w:rFonts w:ascii="Arial" w:cs="Arial" w:eastAsia="Arial" w:hAnsi="Arial"/>
          <w:sz w:val="20"/>
          <w:szCs w:val="20"/>
          <w:color w:val="auto"/>
        </w:rPr>
      </w:pPr>
      <w:r>
        <w:rPr>
          <w:rFonts w:ascii="Arial" w:cs="Arial" w:eastAsia="Arial" w:hAnsi="Arial"/>
          <w:sz w:val="20"/>
          <w:szCs w:val="20"/>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9" w:lineRule="exact"/>
        <w:rPr>
          <w:rFonts w:ascii="Arial" w:cs="Arial" w:eastAsia="Arial" w:hAnsi="Arial"/>
          <w:sz w:val="20"/>
          <w:szCs w:val="20"/>
          <w:color w:val="auto"/>
        </w:rPr>
      </w:pPr>
    </w:p>
    <w:p>
      <w:pPr>
        <w:ind w:left="1300" w:hanging="861"/>
        <w:spacing w:after="0" w:line="272" w:lineRule="auto"/>
        <w:tabs>
          <w:tab w:leader="none" w:pos="881" w:val="left"/>
        </w:tabs>
        <w:numPr>
          <w:ilvl w:val="0"/>
          <w:numId w:val="99"/>
        </w:numPr>
        <w:rPr>
          <w:rFonts w:ascii="Arial" w:cs="Arial" w:eastAsia="Arial" w:hAnsi="Arial"/>
          <w:sz w:val="19"/>
          <w:szCs w:val="19"/>
          <w:color w:val="auto"/>
        </w:rPr>
      </w:pPr>
      <w:r>
        <w:rPr>
          <w:rFonts w:ascii="Arial" w:cs="Arial" w:eastAsia="Arial" w:hAnsi="Arial"/>
          <w:sz w:val="19"/>
          <w:szCs w:val="19"/>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80"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 w:lineRule="exact"/>
        <w:rPr>
          <w:sz w:val="20"/>
          <w:szCs w:val="20"/>
          <w:color w:val="auto"/>
        </w:rPr>
      </w:pPr>
    </w:p>
    <w:p>
      <w:pPr>
        <w:jc w:val="both"/>
        <w:ind w:left="340" w:hanging="332"/>
        <w:spacing w:after="0" w:line="239" w:lineRule="auto"/>
        <w:tabs>
          <w:tab w:leader="none" w:pos="412"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Non-Solicitation of Customers. </w:t>
      </w:r>
      <w:r>
        <w:rPr>
          <w:rFonts w:ascii="Arial" w:cs="Arial" w:eastAsia="Arial" w:hAnsi="Arial"/>
          <w:sz w:val="19"/>
          <w:szCs w:val="19"/>
          <w:color w:val="auto"/>
        </w:rPr>
        <w:t>During the term of Employee’s employment and for a period of twelve (12) months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75" w:lineRule="exact"/>
        <w:rPr>
          <w:rFonts w:ascii="Arial" w:cs="Arial" w:eastAsia="Arial" w:hAnsi="Arial"/>
          <w:sz w:val="19"/>
          <w:szCs w:val="19"/>
          <w:color w:val="auto"/>
        </w:rPr>
      </w:pPr>
    </w:p>
    <w:p>
      <w:pPr>
        <w:ind w:left="340" w:hanging="332"/>
        <w:spacing w:after="0" w:line="252" w:lineRule="auto"/>
        <w:tabs>
          <w:tab w:leader="none" w:pos="340" w:val="left"/>
        </w:tabs>
        <w:numPr>
          <w:ilvl w:val="0"/>
          <w:numId w:val="100"/>
        </w:numPr>
        <w:rPr>
          <w:rFonts w:ascii="Arial" w:cs="Arial" w:eastAsia="Arial" w:hAnsi="Arial"/>
          <w:sz w:val="20"/>
          <w:szCs w:val="20"/>
          <w:color w:val="auto"/>
        </w:rPr>
      </w:pPr>
      <w:r>
        <w:rPr>
          <w:rFonts w:ascii="Arial" w:cs="Arial" w:eastAsia="Arial" w:hAnsi="Arial"/>
          <w:sz w:val="20"/>
          <w:szCs w:val="20"/>
          <w:b w:val="1"/>
          <w:bCs w:val="1"/>
          <w:u w:val="single" w:color="auto"/>
          <w:color w:val="auto"/>
        </w:rPr>
        <w:t>Non-Solicitation of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Non-Solicit Period, as defined above, Employee will not, directly or indirectly, recruit,</w:t>
      </w:r>
      <w:r>
        <w:rPr>
          <w:rFonts w:ascii="Arial" w:cs="Arial" w:eastAsia="Arial" w:hAnsi="Arial"/>
          <w:sz w:val="20"/>
          <w:szCs w:val="20"/>
          <w:b w:val="1"/>
          <w:bCs w:val="1"/>
          <w:color w:val="auto"/>
        </w:rPr>
        <w:t xml:space="preserve"> </w:t>
      </w:r>
      <w:r>
        <w:rPr>
          <w:rFonts w:ascii="Arial" w:cs="Arial" w:eastAsia="Arial" w:hAnsi="Arial"/>
          <w:sz w:val="20"/>
          <w:szCs w:val="20"/>
          <w:color w:val="auto"/>
        </w:rPr>
        <w:t>solicit, induce, encourage or assist any employee of Conduent to leave Employee’s employment with Conduent.</w:t>
      </w:r>
    </w:p>
    <w:p>
      <w:pPr>
        <w:spacing w:after="0" w:line="17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100"/>
        </w:numPr>
        <w:rPr>
          <w:rFonts w:ascii="Arial" w:cs="Arial" w:eastAsia="Arial" w:hAnsi="Arial"/>
          <w:sz w:val="20"/>
          <w:szCs w:val="20"/>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color w:val="auto"/>
        </w:rPr>
        <w:t>. During the Non-Compete Period, Employee agrees that Employee will not, directly or indirectly, in any capacity</w:t>
      </w:r>
      <w:r>
        <w:rPr>
          <w:rFonts w:ascii="Arial" w:cs="Arial" w:eastAsia="Arial" w:hAnsi="Arial"/>
          <w:sz w:val="20"/>
          <w:szCs w:val="20"/>
          <w:b w:val="1"/>
          <w:bCs w:val="1"/>
          <w:color w:val="auto"/>
        </w:rPr>
        <w:t xml:space="preserve"> </w:t>
      </w:r>
      <w:r>
        <w:rPr>
          <w:rFonts w:ascii="Arial" w:cs="Arial" w:eastAsia="Arial" w:hAnsi="Arial"/>
          <w:sz w:val="20"/>
          <w:szCs w:val="20"/>
          <w:color w:val="auto"/>
        </w:rPr>
        <w:t>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88"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100"/>
        </w:numPr>
        <w:rPr>
          <w:rFonts w:ascii="Arial" w:cs="Arial" w:eastAsia="Arial" w:hAnsi="Arial"/>
          <w:sz w:val="20"/>
          <w:szCs w:val="20"/>
          <w:color w:val="auto"/>
        </w:rPr>
      </w:pPr>
      <w:r>
        <w:rPr>
          <w:rFonts w:ascii="Arial" w:cs="Arial" w:eastAsia="Arial" w:hAnsi="Arial"/>
          <w:sz w:val="20"/>
          <w:szCs w:val="20"/>
          <w:b w:val="1"/>
          <w:bCs w:val="1"/>
          <w:u w:val="single" w:color="auto"/>
          <w:color w:val="auto"/>
        </w:rPr>
        <w:t>At Will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and Conduent agree and acknowledge that Employee’s employment with Conduent is at-will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-3660140</wp:posOffset>
            </wp:positionV>
            <wp:extent cx="1693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693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38" w:right="339" w:bottom="1440" w:gutter="0" w:footer="0" w:header="0"/>
        </w:sectPr>
      </w:pPr>
    </w:p>
    <w:bookmarkStart w:id="75" w:name="page76"/>
    <w:bookmarkEnd w:id="75"/>
    <w:p>
      <w:pPr>
        <w:jc w:val="both"/>
        <w:ind w:left="340" w:hanging="332"/>
        <w:spacing w:after="0" w:line="251" w:lineRule="auto"/>
        <w:tabs>
          <w:tab w:leader="none" w:pos="340" w:val="left"/>
        </w:tabs>
        <w:numPr>
          <w:ilvl w:val="0"/>
          <w:numId w:val="101"/>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Certain Other Obligations</w:t>
      </w:r>
      <w:r>
        <w:rPr>
          <w:rFonts w:ascii="Arial" w:cs="Arial" w:eastAsia="Arial" w:hAnsi="Arial"/>
          <w:sz w:val="19"/>
          <w:szCs w:val="19"/>
          <w:color w:val="auto"/>
        </w:rPr>
        <w:t>. Employee and Conduent agree that any prior agreement between Employee and Conduent</w:t>
      </w:r>
      <w:r>
        <w:rPr>
          <w:rFonts w:ascii="Arial" w:cs="Arial" w:eastAsia="Arial" w:hAnsi="Arial"/>
          <w:sz w:val="19"/>
          <w:szCs w:val="19"/>
          <w:b w:val="1"/>
          <w:bCs w:val="1"/>
          <w:color w:val="auto"/>
        </w:rPr>
        <w:t xml:space="preserve"> </w:t>
      </w:r>
      <w:r>
        <w:rPr>
          <w:rFonts w:ascii="Arial" w:cs="Arial" w:eastAsia="Arial" w:hAnsi="Arial"/>
          <w:sz w:val="19"/>
          <w:szCs w:val="19"/>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46" w:lineRule="exact"/>
        <w:rPr>
          <w:rFonts w:ascii="Arial" w:cs="Arial" w:eastAsia="Arial" w:hAnsi="Arial"/>
          <w:sz w:val="19"/>
          <w:szCs w:val="19"/>
          <w:color w:val="auto"/>
        </w:rPr>
      </w:pPr>
    </w:p>
    <w:p>
      <w:pPr>
        <w:jc w:val="both"/>
        <w:ind w:left="340" w:hanging="332"/>
        <w:spacing w:after="0" w:line="247" w:lineRule="auto"/>
        <w:tabs>
          <w:tab w:leader="none" w:pos="340" w:val="left"/>
        </w:tabs>
        <w:numPr>
          <w:ilvl w:val="0"/>
          <w:numId w:val="101"/>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Equitable Relief.</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Employee and Conduent agree that, in the event of breach of this Agreement by Employee, Conduent would be</w:t>
      </w:r>
      <w:r>
        <w:rPr>
          <w:rFonts w:ascii="Arial" w:cs="Arial" w:eastAsia="Arial" w:hAnsi="Arial"/>
          <w:sz w:val="19"/>
          <w:szCs w:val="19"/>
          <w:b w:val="1"/>
          <w:bCs w:val="1"/>
          <w:color w:val="auto"/>
        </w:rPr>
        <w:t xml:space="preserve"> </w:t>
      </w:r>
      <w:r>
        <w:rPr>
          <w:rFonts w:ascii="Arial" w:cs="Arial" w:eastAsia="Arial" w:hAnsi="Arial"/>
          <w:sz w:val="19"/>
          <w:szCs w:val="19"/>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 from the other party.</w:t>
      </w:r>
    </w:p>
    <w:p>
      <w:pPr>
        <w:spacing w:after="0" w:line="266" w:lineRule="exact"/>
        <w:rPr>
          <w:rFonts w:ascii="Arial" w:cs="Arial" w:eastAsia="Arial" w:hAnsi="Arial"/>
          <w:sz w:val="19"/>
          <w:szCs w:val="19"/>
          <w:color w:val="auto"/>
        </w:rPr>
      </w:pPr>
    </w:p>
    <w:p>
      <w:pPr>
        <w:jc w:val="both"/>
        <w:ind w:left="340" w:hanging="332"/>
        <w:spacing w:after="0" w:line="235" w:lineRule="auto"/>
        <w:tabs>
          <w:tab w:leader="none" w:pos="340" w:val="left"/>
        </w:tabs>
        <w:numPr>
          <w:ilvl w:val="0"/>
          <w:numId w:val="101"/>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highlight w:val="white"/>
        </w:rPr>
        <w:t>: This Agreement shall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73"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101"/>
        </w:numPr>
        <w:rPr>
          <w:rFonts w:ascii="Arial" w:cs="Arial" w:eastAsia="Arial" w:hAnsi="Arial"/>
          <w:sz w:val="20"/>
          <w:szCs w:val="20"/>
          <w:color w:val="auto"/>
        </w:rPr>
      </w:pP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In the event that any of the provisions of this Agreement is deemed unenforceable or to exceed the protections afforded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60" w:lineRule="exact"/>
        <w:rPr>
          <w:rFonts w:ascii="Arial" w:cs="Arial" w:eastAsia="Arial" w:hAnsi="Arial"/>
          <w:sz w:val="20"/>
          <w:szCs w:val="20"/>
          <w:color w:val="auto"/>
        </w:rPr>
      </w:pPr>
    </w:p>
    <w:p>
      <w:pPr>
        <w:ind w:left="340" w:hanging="332"/>
        <w:spacing w:after="0" w:line="307" w:lineRule="auto"/>
        <w:tabs>
          <w:tab w:leader="none" w:pos="331"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highlight w:val="white"/>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12" w:lineRule="exact"/>
        <w:rPr>
          <w:rFonts w:ascii="Arial" w:cs="Arial" w:eastAsia="Arial" w:hAnsi="Arial"/>
          <w:sz w:val="18"/>
          <w:szCs w:val="18"/>
          <w:color w:val="auto"/>
        </w:rPr>
      </w:pPr>
    </w:p>
    <w:p>
      <w:pPr>
        <w:jc w:val="both"/>
        <w:ind w:left="340" w:hanging="332"/>
        <w:spacing w:after="0" w:line="239" w:lineRule="auto"/>
        <w:tabs>
          <w:tab w:leader="none" w:pos="323" w:val="left"/>
        </w:tabs>
        <w:numPr>
          <w:ilvl w:val="0"/>
          <w:numId w:val="101"/>
        </w:numPr>
        <w:rPr>
          <w:rFonts w:ascii="Arial" w:cs="Arial" w:eastAsia="Arial" w:hAnsi="Arial"/>
          <w:sz w:val="20"/>
          <w:szCs w:val="20"/>
          <w:color w:val="auto"/>
        </w:rPr>
      </w:pPr>
      <w:r>
        <w:rPr>
          <w:rFonts w:ascii="Arial" w:cs="Arial" w:eastAsia="Arial" w:hAnsi="Arial"/>
          <w:sz w:val="20"/>
          <w:szCs w:val="20"/>
          <w:b w:val="1"/>
          <w:bCs w:val="1"/>
          <w:u w:val="single" w:color="auto"/>
          <w:color w:val="auto"/>
        </w:rPr>
        <w:t>No Waiver</w:t>
      </w:r>
      <w:r>
        <w:rPr>
          <w:rFonts w:ascii="Arial" w:cs="Arial" w:eastAsia="Arial" w:hAnsi="Arial"/>
          <w:sz w:val="20"/>
          <w:szCs w:val="20"/>
          <w:color w:val="auto"/>
        </w:rPr>
        <w:t>. Any failure by Conduent to exercise any of its rights under this Agreement in the event of any breach of the Agreement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20"/>
          <w:szCs w:val="20"/>
          <w:color w:val="auto"/>
        </w:rPr>
      </w:pPr>
    </w:p>
    <w:p>
      <w:pPr>
        <w:jc w:val="both"/>
        <w:ind w:left="340" w:hanging="332"/>
        <w:spacing w:after="0" w:line="247" w:lineRule="auto"/>
        <w:tabs>
          <w:tab w:leader="none" w:pos="331" w:val="left"/>
        </w:tabs>
        <w:numPr>
          <w:ilvl w:val="0"/>
          <w:numId w:val="101"/>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assignable to and shall inure to the benefit of Conduent’s successors and assigns, including,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39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18859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Clifford Skelton</w:t>
      </w: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63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Stephen Wood</w:t>
      </w: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Form 10-Q of Conduent Incorporated, a New York corporation (the “Company”), for the quarter ended June 30, 2021,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77"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Clifford Skelton</w:t>
      </w: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5, 2021</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Stephen Wood</w:t>
      </w: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5, 2021</w:t>
      </w:r>
    </w:p>
    <w:p>
      <w:pPr>
        <w:spacing w:after="0" w:line="3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lvl w:ilvl="1">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lowerLetter"/>
      <w:start w:val="1"/>
    </w:lvl>
  </w:abstractNum>
  <w:abstractNum w:abstractNumId="14">
    <w:nsid w:val="15B5AF5C"/>
    <w:multiLevelType w:val="hybridMultilevel"/>
    <w:lvl w:ilvl="0">
      <w:lvlJc w:val="left"/>
      <w:lvlText w:val="(%1)"/>
      <w:numFmt w:val="lowerLetter"/>
      <w:start w:val="2"/>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decimal"/>
      <w:start w:val="32"/>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1."/>
      <w:numFmt w:val="decimal"/>
      <w:start w:val="2"/>
    </w:lvl>
  </w:abstractNum>
  <w:abstractNum w:abstractNumId="20">
    <w:nsid w:val="7E0C57B1"/>
    <w:multiLevelType w:val="hybridMultilevel"/>
    <w:lvl w:ilvl="0">
      <w:lvlJc w:val="left"/>
      <w:lvlText w:val="(%1)"/>
      <w:numFmt w:val="lowerLetter"/>
      <w:start w:val="1"/>
    </w:lvl>
  </w:abstractNum>
  <w:abstractNum w:abstractNumId="21">
    <w:nsid w:val="77AE35EB"/>
    <w:multiLevelType w:val="hybridMultilevel"/>
    <w:lvl w:ilvl="0">
      <w:lvlJc w:val="left"/>
      <w:lvlText w:val="%1."/>
      <w:numFmt w:val="decimal"/>
      <w:start w:val="4"/>
    </w:lvl>
  </w:abstractNum>
  <w:abstractNum w:abstractNumId="22">
    <w:nsid w:val="579BE4F1"/>
    <w:multiLevelType w:val="hybridMultilevel"/>
    <w:lvl w:ilvl="0">
      <w:lvlJc w:val="left"/>
      <w:lvlText w:val="%1."/>
      <w:numFmt w:val="decimal"/>
      <w:start w:val="5"/>
    </w:lvl>
  </w:abstractNum>
  <w:abstractNum w:abstractNumId="23">
    <w:nsid w:val="310C50B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
    <w:nsid w:val="5FF87E05"/>
    <w:multiLevelType w:val="hybridMultilevel"/>
    <w:lvl w:ilvl="0">
      <w:lvlJc w:val="left"/>
      <w:lvlText w:val="(%1)"/>
      <w:numFmt w:val="lowerRoman"/>
      <w:start w:val="3"/>
    </w:lvl>
  </w:abstractNum>
  <w:abstractNum w:abstractNumId="25">
    <w:nsid w:val="2F305DEF"/>
    <w:multiLevelType w:val="hybridMultilevel"/>
    <w:lvl w:ilvl="0">
      <w:lvlJc w:val="left"/>
      <w:lvlText w:val="(%1)"/>
      <w:numFmt w:val="lowerRoman"/>
      <w:start w:val="4"/>
    </w:lvl>
  </w:abstractNum>
  <w:abstractNum w:abstractNumId="26">
    <w:nsid w:val="25A70BF7"/>
    <w:multiLevelType w:val="hybridMultilevel"/>
    <w:lvl w:ilvl="0">
      <w:lvlJc w:val="left"/>
      <w:lvlText w:val="(%1)"/>
      <w:numFmt w:val="lowerLetter"/>
      <w:start w:val="2"/>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1"/>
      <w:numFmt w:val="decimal"/>
      <w:start w:val="1"/>
    </w:lvl>
    <w:lvl w:ilvl="1">
      <w:lvlJc w:val="left"/>
      <w:lvlText w:val="(%2)"/>
      <w:numFmt w:val="lowerLetter"/>
      <w:start w:val="3"/>
    </w:lvl>
  </w:abstractNum>
  <w:abstractNum w:abstractNumId="29">
    <w:nsid w:val="1F48EAA1"/>
    <w:multiLevelType w:val="hybridMultilevel"/>
    <w:lvl w:ilvl="0">
      <w:lvlJc w:val="left"/>
      <w:lvlText w:val="%1."/>
      <w:numFmt w:val="decimal"/>
      <w:start w:val="9"/>
    </w:lvl>
    <w:lvl w:ilvl="1">
      <w:lvlJc w:val="left"/>
      <w:lvlText w:val="(%2)"/>
      <w:numFmt w:val="lowerLetter"/>
      <w:start w:val="1"/>
    </w:lvl>
  </w:abstractNum>
  <w:abstractNum w:abstractNumId="30">
    <w:nsid w:val="1381823A"/>
    <w:multiLevelType w:val="hybridMultilevel"/>
    <w:lvl w:ilvl="0">
      <w:lvlJc w:val="left"/>
      <w:lvlText w:val="%1"/>
      <w:numFmt w:val="decimal"/>
      <w:start w:val="1"/>
    </w:lvl>
    <w:lvl w:ilvl="1">
      <w:lvlJc w:val="left"/>
      <w:lvlText w:val="(%2)"/>
      <w:numFmt w:val="lowerLetter"/>
      <w:start w:val="2"/>
    </w:lvl>
  </w:abstractNum>
  <w:abstractNum w:abstractNumId="31">
    <w:nsid w:val="5DB70AE5"/>
    <w:multiLevelType w:val="hybridMultilevel"/>
    <w:lvl w:ilvl="0">
      <w:lvlJc w:val="left"/>
      <w:lvlText w:val="%1."/>
      <w:numFmt w:val="decimal"/>
      <w:start w:val="12"/>
    </w:lvl>
    <w:lvl w:ilvl="1">
      <w:lvlJc w:val="left"/>
      <w:lvlText w:val="%2"/>
      <w:numFmt w:val="lowerLetter"/>
      <w:start w:val="1"/>
    </w:lvl>
  </w:abstractNum>
  <w:abstractNum w:abstractNumId="32">
    <w:nsid w:val="100F8FCA"/>
    <w:multiLevelType w:val="hybridMultilevel"/>
    <w:lvl w:ilvl="0">
      <w:lvlJc w:val="left"/>
      <w:lvlText w:val="%1."/>
      <w:numFmt w:val="decimal"/>
      <w:start w:val="15"/>
    </w:lvl>
    <w:lvl w:ilvl="1">
      <w:lvlJc w:val="left"/>
      <w:lvlText w:val="(%2)"/>
      <w:numFmt w:val="lowerLetter"/>
      <w:start w:val="1"/>
    </w:lvl>
  </w:abstractNum>
  <w:abstractNum w:abstractNumId="33">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4">
    <w:nsid w:val="15014AC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5">
    <w:nsid w:val="5F5E7FD0"/>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36">
    <w:nsid w:val="98A3148"/>
    <w:multiLevelType w:val="hybridMultilevel"/>
    <w:lvl w:ilvl="0">
      <w:lvlJc w:val="left"/>
      <w:lvlText w:val="%1."/>
      <w:numFmt w:val="decimal"/>
      <w:start w:val="20"/>
    </w:lvl>
  </w:abstractNum>
  <w:abstractNum w:abstractNumId="37">
    <w:nsid w:val="799D0247"/>
    <w:multiLevelType w:val="hybridMultilevel"/>
    <w:lvl w:ilvl="0">
      <w:lvlJc w:val="left"/>
      <w:lvlText w:val="(%1)"/>
      <w:numFmt w:val="lowerLetter"/>
      <w:start w:val="2"/>
    </w:lvl>
  </w:abstractNum>
  <w:abstractNum w:abstractNumId="38">
    <w:nsid w:val="6B94764"/>
    <w:multiLevelType w:val="hybridMultilevel"/>
    <w:lvl w:ilvl="0">
      <w:lvlJc w:val="left"/>
      <w:lvlText w:val="%1."/>
      <w:numFmt w:val="decimal"/>
      <w:start w:val="24"/>
    </w:lvl>
  </w:abstractNum>
  <w:abstractNum w:abstractNumId="39">
    <w:nsid w:val="42C296BD"/>
    <w:multiLevelType w:val="hybridMultilevel"/>
    <w:lvl w:ilvl="0">
      <w:lvlJc w:val="left"/>
      <w:lvlText w:val="%1."/>
      <w:numFmt w:val="decimal"/>
      <w:start w:val="27"/>
    </w:lvl>
  </w:abstractNum>
  <w:abstractNum w:abstractNumId="40">
    <w:nsid w:val="168E121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41">
    <w:nsid w:val="1EBA5D23"/>
    <w:multiLevelType w:val="hybridMultilevel"/>
    <w:lvl w:ilvl="0">
      <w:lvlJc w:val="left"/>
      <w:lvlText w:val="(%1)"/>
      <w:numFmt w:val="lowerRoman"/>
      <w:start w:val="2"/>
    </w:lvl>
  </w:abstractNum>
  <w:abstractNum w:abstractNumId="42">
    <w:nsid w:val="661E3F1E"/>
    <w:multiLevelType w:val="hybridMultilevel"/>
    <w:lvl w:ilvl="0">
      <w:lvlJc w:val="left"/>
      <w:lvlText w:val="(%1)"/>
      <w:numFmt w:val="lowerRoman"/>
      <w:start w:val="3"/>
    </w:lvl>
  </w:abstractNum>
  <w:abstractNum w:abstractNumId="43">
    <w:nsid w:val="5DC79EA8"/>
    <w:multiLevelType w:val="hybridMultilevel"/>
    <w:lvl w:ilvl="0">
      <w:lvlJc w:val="left"/>
      <w:lvlText w:val="(%1)"/>
      <w:numFmt w:val="lowerRoman"/>
      <w:start w:val="5"/>
    </w:lvl>
  </w:abstractNum>
  <w:abstractNum w:abstractNumId="44">
    <w:nsid w:val="540A471C"/>
    <w:multiLevelType w:val="hybridMultilevel"/>
    <w:lvl w:ilvl="0">
      <w:lvlJc w:val="left"/>
      <w:lvlText w:val="%1."/>
      <w:numFmt w:val="decimal"/>
      <w:start w:val="2"/>
    </w:lvl>
  </w:abstractNum>
  <w:abstractNum w:abstractNumId="45">
    <w:nsid w:val="7BD3EE7B"/>
    <w:multiLevelType w:val="hybridMultilevel"/>
    <w:lvl w:ilvl="0">
      <w:lvlJc w:val="left"/>
      <w:lvlText w:val="%1."/>
      <w:numFmt w:val="decimal"/>
      <w:start w:val="7"/>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2"/>
    </w:lvl>
  </w:abstractNum>
  <w:abstractNum w:abstractNumId="48">
    <w:nsid w:val="BF72B14"/>
    <w:multiLevelType w:val="hybridMultilevel"/>
    <w:lvl w:ilvl="0">
      <w:lvlJc w:val="left"/>
      <w:lvlText w:val="%1."/>
      <w:numFmt w:val="decimal"/>
      <w:start w:val="4"/>
    </w:lvl>
  </w:abstractNum>
  <w:abstractNum w:abstractNumId="49">
    <w:nsid w:val="11447B73"/>
    <w:multiLevelType w:val="hybridMultilevel"/>
    <w:lvl w:ilvl="0">
      <w:lvlJc w:val="left"/>
      <w:lvlText w:val="%1."/>
      <w:numFmt w:val="decimal"/>
      <w:start w:val="5"/>
    </w:lvl>
  </w:abstractNum>
  <w:abstractNum w:abstractNumId="50">
    <w:nsid w:val="42963E5A"/>
    <w:multiLevelType w:val="hybridMultilevel"/>
    <w:lvl w:ilvl="0">
      <w:lvlJc w:val="left"/>
      <w:lvlText w:val="(%1)"/>
      <w:numFmt w:val="lowerLetter"/>
      <w:start w:val="1"/>
    </w:lvl>
    <w:lvl w:ilvl="1">
      <w:lvlJc w:val="left"/>
      <w:lvlText w:val="(%2)"/>
      <w:numFmt w:val="lowerRoman"/>
      <w:start w:val="1"/>
    </w:lvl>
  </w:abstractNum>
  <w:abstractNum w:abstractNumId="51">
    <w:nsid w:val="A0382C5"/>
    <w:multiLevelType w:val="hybridMultilevel"/>
    <w:lvl w:ilvl="0">
      <w:lvlJc w:val="left"/>
      <w:lvlText w:val="(%1)"/>
      <w:numFmt w:val="lowerRoman"/>
      <w:start w:val="3"/>
    </w:lvl>
  </w:abstractNum>
  <w:abstractNum w:abstractNumId="52">
    <w:nsid w:val="8F2B15E"/>
    <w:multiLevelType w:val="hybridMultilevel"/>
    <w:lvl w:ilvl="0">
      <w:lvlJc w:val="left"/>
      <w:lvlText w:val="(%1)"/>
      <w:numFmt w:val="lowerLetter"/>
      <w:start w:val="2"/>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3"/>
    </w:lvl>
  </w:abstractNum>
  <w:abstractNum w:abstractNumId="55">
    <w:nsid w:val="68EB2F63"/>
    <w:multiLevelType w:val="hybridMultilevel"/>
    <w:lvl w:ilvl="0">
      <w:lvlJc w:val="left"/>
      <w:lvlText w:val="%1"/>
      <w:numFmt w:val="decimal"/>
      <w:start w:val="1"/>
    </w:lvl>
    <w:lvl w:ilvl="1">
      <w:lvlJc w:val="left"/>
      <w:lvlText w:val="(%2)"/>
      <w:numFmt w:val="lowerLetter"/>
      <w:start w:val="3"/>
    </w:lvl>
  </w:abstractNum>
  <w:abstractNum w:abstractNumId="56">
    <w:nsid w:val="4962813B"/>
    <w:multiLevelType w:val="hybridMultilevel"/>
    <w:lvl w:ilvl="0">
      <w:lvlJc w:val="left"/>
      <w:lvlText w:val="%1."/>
      <w:numFmt w:val="decimal"/>
      <w:start w:val="9"/>
    </w:lvl>
    <w:lvl w:ilvl="1">
      <w:lvlJc w:val="left"/>
      <w:lvlText w:val="%2"/>
      <w:numFmt w:val="lowerLetter"/>
      <w:start w:val="1"/>
    </w:lvl>
  </w:abstractNum>
  <w:abstractNum w:abstractNumId="57">
    <w:nsid w:val="60B6DF7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58">
    <w:nsid w:val="6A5EE64"/>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lvl w:ilvl="3">
      <w:lvlJc w:val="left"/>
      <w:lvlText w:val="%4"/>
      <w:numFmt w:val="lowerLetter"/>
      <w:start w:val="1"/>
    </w:lvl>
  </w:abstractNum>
  <w:abstractNum w:abstractNumId="59">
    <w:nsid w:val="1433062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0">
    <w:nsid w:val="7FFFCA11"/>
    <w:multiLevelType w:val="hybridMultilevel"/>
    <w:lvl w:ilvl="0">
      <w:lvlJc w:val="left"/>
      <w:lvlText w:val="%1"/>
      <w:numFmt w:val="lowerLetter"/>
      <w:start w:val="1"/>
    </w:lvl>
    <w:lvl w:ilvl="1">
      <w:lvlJc w:val="left"/>
      <w:lvlText w:val="(%2)"/>
      <w:numFmt w:val="lowerLetter"/>
      <w:start w:val="3"/>
    </w:lvl>
  </w:abstractNum>
  <w:abstractNum w:abstractNumId="61">
    <w:nsid w:val="1A27709E"/>
    <w:multiLevelType w:val="hybridMultilevel"/>
    <w:lvl w:ilvl="0">
      <w:lvlJc w:val="left"/>
      <w:lvlText w:val="(%1)"/>
      <w:numFmt w:val="lowerLetter"/>
      <w:start w:val="4"/>
    </w:lvl>
    <w:lvl w:ilvl="1">
      <w:lvlJc w:val="left"/>
      <w:lvlText w:val="%2"/>
      <w:numFmt w:val="lowerLetter"/>
      <w:start w:val="1"/>
    </w:lvl>
  </w:abstractNum>
  <w:abstractNum w:abstractNumId="62">
    <w:nsid w:val="71EA1109"/>
    <w:multiLevelType w:val="hybridMultilevel"/>
    <w:lvl w:ilvl="0">
      <w:lvlJc w:val="left"/>
      <w:lvlText w:val="%1."/>
      <w:numFmt w:val="decimal"/>
      <w:start w:val="17"/>
    </w:lvl>
  </w:abstractNum>
  <w:abstractNum w:abstractNumId="63">
    <w:nsid w:val="100F59DC"/>
    <w:multiLevelType w:val="hybridMultilevel"/>
    <w:lvl w:ilvl="0">
      <w:lvlJc w:val="left"/>
      <w:lvlText w:val="(%1)"/>
      <w:numFmt w:val="lowerLetter"/>
      <w:start w:val="2"/>
    </w:lvl>
  </w:abstractNum>
  <w:abstractNum w:abstractNumId="64">
    <w:nsid w:val="7FB7E0AA"/>
    <w:multiLevelType w:val="hybridMultilevel"/>
    <w:lvl w:ilvl="0">
      <w:lvlJc w:val="left"/>
      <w:lvlText w:val="%1."/>
      <w:numFmt w:val="decimal"/>
      <w:start w:val="24"/>
    </w:lvl>
  </w:abstractNum>
  <w:abstractNum w:abstractNumId="65">
    <w:nsid w:val="6EB5BD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66">
    <w:nsid w:val="6F6DD9AC"/>
    <w:multiLevelType w:val="hybridMultilevel"/>
    <w:lvl w:ilvl="0">
      <w:lvlJc w:val="left"/>
      <w:lvlText w:val="(%1)"/>
      <w:numFmt w:val="lowerRoman"/>
      <w:start w:val="2"/>
    </w:lvl>
  </w:abstractNum>
  <w:abstractNum w:abstractNumId="67">
    <w:nsid w:val="94211F2"/>
    <w:multiLevelType w:val="hybridMultilevel"/>
    <w:lvl w:ilvl="0">
      <w:lvlJc w:val="left"/>
      <w:lvlText w:val="(%1)"/>
      <w:numFmt w:val="lowerRoman"/>
      <w:start w:val="3"/>
    </w:lvl>
  </w:abstractNum>
  <w:abstractNum w:abstractNumId="68">
    <w:nsid w:val="885E1B"/>
    <w:multiLevelType w:val="hybridMultilevel"/>
    <w:lvl w:ilvl="0">
      <w:lvlJc w:val="left"/>
      <w:lvlText w:val="(%1)"/>
      <w:numFmt w:val="lowerRoman"/>
      <w:start w:val="5"/>
    </w:lvl>
  </w:abstractNum>
  <w:abstractNum w:abstractNumId="69">
    <w:nsid w:val="76272110"/>
    <w:multiLevelType w:val="hybridMultilevel"/>
    <w:lvl w:ilvl="0">
      <w:lvlJc w:val="left"/>
      <w:lvlText w:val="%1."/>
      <w:numFmt w:val="decimal"/>
      <w:start w:val="2"/>
    </w:lvl>
  </w:abstractNum>
  <w:abstractNum w:abstractNumId="70">
    <w:nsid w:val="4C04A8AF"/>
    <w:multiLevelType w:val="hybridMultilevel"/>
    <w:lvl w:ilvl="0">
      <w:lvlJc w:val="left"/>
      <w:lvlText w:val="%1."/>
      <w:numFmt w:val="decimal"/>
      <w:start w:val="7"/>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2"/>
    </w:lvl>
  </w:abstractNum>
  <w:abstractNum w:abstractNumId="73">
    <w:nsid w:val="3222E7CD"/>
    <w:multiLevelType w:val="hybridMultilevel"/>
    <w:lvl w:ilvl="0">
      <w:lvlJc w:val="left"/>
      <w:lvlText w:val="%1."/>
      <w:numFmt w:val="decimal"/>
      <w:start w:val="3"/>
    </w:lvl>
  </w:abstractNum>
  <w:abstractNum w:abstractNumId="74">
    <w:nsid w:val="74DE0EE3"/>
    <w:multiLevelType w:val="hybridMultilevel"/>
    <w:lvl w:ilvl="0">
      <w:lvlJc w:val="left"/>
      <w:lvlText w:val="%1."/>
      <w:numFmt w:val="decimal"/>
      <w:start w:val="4"/>
    </w:lvl>
  </w:abstractNum>
  <w:abstractNum w:abstractNumId="75">
    <w:nsid w:val="68EBC550"/>
    <w:multiLevelType w:val="hybridMultilevel"/>
    <w:lvl w:ilvl="0">
      <w:lvlJc w:val="left"/>
      <w:lvlText w:val="%1."/>
      <w:numFmt w:val="decimal"/>
      <w:start w:val="10"/>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decimal"/>
      <w:start w:val="2"/>
    </w:lvl>
  </w:abstractNum>
  <w:abstractNum w:abstractNumId="78">
    <w:nsid w:val="4A2AC315"/>
    <w:multiLevelType w:val="hybridMultilevel"/>
    <w:lvl w:ilvl="0">
      <w:lvlJc w:val="left"/>
      <w:lvlText w:val="%1."/>
      <w:numFmt w:val="decimal"/>
      <w:start w:val="4"/>
    </w:lvl>
  </w:abstractNum>
  <w:abstractNum w:abstractNumId="79">
    <w:nsid w:val="39EE01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0">
    <w:nsid w:val="57FC4FBB"/>
    <w:multiLevelType w:val="hybridMultilevel"/>
    <w:lvl w:ilvl="0">
      <w:lvlJc w:val="left"/>
      <w:lvlText w:val="%1"/>
      <w:numFmt w:val="lowerLetter"/>
      <w:start w:val="1"/>
    </w:lvl>
    <w:lvl w:ilvl="1">
      <w:lvlJc w:val="left"/>
      <w:lvlText w:val="(%2)"/>
      <w:numFmt w:val="lowerRoman"/>
      <w:start w:val="4"/>
    </w:lvl>
  </w:abstractNum>
  <w:abstractNum w:abstractNumId="81">
    <w:nsid w:val="CC1016F"/>
    <w:multiLevelType w:val="hybridMultilevel"/>
    <w:lvl w:ilvl="0">
      <w:lvlJc w:val="left"/>
      <w:lvlText w:val="(%1)"/>
      <w:numFmt w:val="lowerLetter"/>
      <w:start w:val="2"/>
    </w:lvl>
    <w:lvl w:ilvl="1">
      <w:lvlJc w:val="left"/>
      <w:lvlText w:val="%2"/>
      <w:numFmt w:val="lowerRoman"/>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5"/>
    </w:lvl>
  </w:abstractNum>
  <w:abstractNum w:abstractNumId="84">
    <w:nsid w:val="26F324BA"/>
    <w:multiLevelType w:val="hybridMultilevel"/>
    <w:lvl w:ilvl="0">
      <w:lvlJc w:val="left"/>
      <w:lvlText w:val="%1"/>
      <w:numFmt w:val="decimal"/>
      <w:start w:val="1"/>
    </w:lvl>
    <w:lvl w:ilvl="1">
      <w:lvlJc w:val="left"/>
      <w:lvlText w:val="(%2)"/>
      <w:numFmt w:val="lowerLetter"/>
      <w:start w:val="3"/>
    </w:lvl>
  </w:abstractNum>
  <w:abstractNum w:abstractNumId="85">
    <w:nsid w:val="7F01579B"/>
    <w:multiLevelType w:val="hybridMultilevel"/>
    <w:lvl w:ilvl="0">
      <w:lvlJc w:val="left"/>
      <w:lvlText w:val="%1."/>
      <w:numFmt w:val="decimal"/>
      <w:start w:val="9"/>
    </w:lvl>
    <w:lvl w:ilvl="1">
      <w:lvlJc w:val="left"/>
      <w:lvlText w:val="%2"/>
      <w:numFmt w:val="lowerLetter"/>
      <w:start w:val="1"/>
    </w:lvl>
  </w:abstractNum>
  <w:abstractNum w:abstractNumId="86">
    <w:nsid w:val="49DA307D"/>
    <w:multiLevelType w:val="hybridMultilevel"/>
    <w:lvl w:ilvl="0">
      <w:lvlJc w:val="left"/>
      <w:lvlText w:val="%1."/>
      <w:numFmt w:val="decimal"/>
      <w:start w:val="11"/>
    </w:lvl>
    <w:lvl w:ilvl="1">
      <w:lvlJc w:val="left"/>
      <w:lvlText w:val="(%2)"/>
      <w:numFmt w:val="lowerLetter"/>
      <w:start w:val="1"/>
    </w:lvl>
  </w:abstractNum>
  <w:abstractNum w:abstractNumId="87">
    <w:nsid w:val="7055A5F5"/>
    <w:multiLevelType w:val="hybridMultilevel"/>
    <w:lvl w:ilvl="0">
      <w:lvlJc w:val="left"/>
      <w:lvlText w:val="%1."/>
      <w:numFmt w:val="decimal"/>
      <w:start w:val="15"/>
    </w:lvl>
    <w:lvl w:ilvl="1">
      <w:lvlJc w:val="left"/>
      <w:lvlText w:val="(%2)"/>
      <w:numFmt w:val="lowerLetter"/>
      <w:start w:val="1"/>
    </w:lvl>
  </w:abstractNum>
  <w:abstractNum w:abstractNumId="88">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9">
    <w:nsid w:val="50801EE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0">
    <w:nsid w:val="488AC1A"/>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91">
    <w:nsid w:val="5FB8011C"/>
    <w:multiLevelType w:val="hybridMultilevel"/>
    <w:lvl w:ilvl="0">
      <w:lvlJc w:val="left"/>
      <w:lvlText w:val="%1."/>
      <w:numFmt w:val="decimal"/>
      <w:start w:val="20"/>
    </w:lvl>
  </w:abstractNum>
  <w:abstractNum w:abstractNumId="92">
    <w:nsid w:val="6AA78F7F"/>
    <w:multiLevelType w:val="hybridMultilevel"/>
    <w:lvl w:ilvl="0">
      <w:lvlJc w:val="left"/>
      <w:lvlText w:val="(%1)"/>
      <w:numFmt w:val="lowerLetter"/>
      <w:start w:val="2"/>
    </w:lvl>
  </w:abstractNum>
  <w:abstractNum w:abstractNumId="93">
    <w:nsid w:val="7672BD23"/>
    <w:multiLevelType w:val="hybridMultilevel"/>
    <w:lvl w:ilvl="0">
      <w:lvlJc w:val="left"/>
      <w:lvlText w:val="%1."/>
      <w:numFmt w:val="decimal"/>
      <w:start w:val="24"/>
    </w:lvl>
  </w:abstractNum>
  <w:abstractNum w:abstractNumId="94">
    <w:nsid w:val="6FC75AF8"/>
    <w:multiLevelType w:val="hybridMultilevel"/>
    <w:lvl w:ilvl="0">
      <w:lvlJc w:val="left"/>
      <w:lvlText w:val="%1."/>
      <w:numFmt w:val="decimal"/>
      <w:start w:val="26"/>
    </w:lvl>
  </w:abstractNum>
  <w:abstractNum w:abstractNumId="95">
    <w:nsid w:val="6A5F70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35"/>
    </w:lvl>
  </w:abstractNum>
  <w:abstractNum w:abstractNumId="96">
    <w:nsid w:val="7D5E18F8"/>
    <w:multiLevelType w:val="hybridMultilevel"/>
    <w:lvl w:ilvl="0">
      <w:lvlJc w:val="left"/>
      <w:lvlText w:val="(%1)"/>
      <w:numFmt w:val="lowerRoman"/>
      <w:start w:val="3"/>
    </w:lvl>
  </w:abstractNum>
  <w:abstractNum w:abstractNumId="97">
    <w:nsid w:val="5F3534A4"/>
    <w:multiLevelType w:val="hybridMultilevel"/>
    <w:lvl w:ilvl="0">
      <w:lvlJc w:val="left"/>
      <w:lvlText w:val="%1"/>
      <w:numFmt w:val="lowerRoman"/>
      <w:start w:val="1"/>
    </w:lvl>
    <w:lvl w:ilvl="1">
      <w:lvlJc w:val="left"/>
      <w:lvlText w:val="(%2)"/>
      <w:numFmt w:val="lowerRoman"/>
      <w:start w:val="4"/>
    </w:lvl>
  </w:abstractNum>
  <w:abstractNum w:abstractNumId="98">
    <w:nsid w:val="73A1821B"/>
    <w:multiLevelType w:val="hybridMultilevel"/>
    <w:lvl w:ilvl="0">
      <w:lvlJc w:val="left"/>
      <w:lvlText w:val="(%1)"/>
      <w:numFmt w:val="lowerRoman"/>
      <w:start w:val="5"/>
    </w:lvl>
    <w:lvl w:ilvl="1">
      <w:lvlJc w:val="left"/>
      <w:lvlText w:val="%2"/>
      <w:numFmt w:val="lowerRoman"/>
      <w:start w:val="1"/>
    </w:lvl>
  </w:abstractNum>
  <w:abstractNum w:abstractNumId="99">
    <w:nsid w:val="7DE67713"/>
    <w:multiLevelType w:val="hybridMultilevel"/>
    <w:lvl w:ilvl="0">
      <w:lvlJc w:val="left"/>
      <w:lvlText w:val="%1."/>
      <w:numFmt w:val="decimal"/>
      <w:start w:val="2"/>
    </w:lvl>
  </w:abstractNum>
  <w:abstractNum w:abstractNumId="100">
    <w:nsid w:val="555C55B5"/>
    <w:multiLevelType w:val="hybridMultilevel"/>
    <w:lvl w:ilvl="0">
      <w:lvlJc w:val="left"/>
      <w:lvlText w:val="%1."/>
      <w:numFmt w:val="decimal"/>
      <w:start w:val="6"/>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jpeg"/><Relationship Id="rId59" Type="http://schemas.openxmlformats.org/officeDocument/2006/relationships/image" Target="media/image48.jpe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jpe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46" Type="http://schemas.openxmlformats.org/officeDocument/2006/relationships/hyperlink" Target="http://www.sec.gov/Archives/edgar/data/1677703/000119312516803247/d275811dex31.htm" TargetMode="External"/><Relationship Id="rId47" Type="http://schemas.openxmlformats.org/officeDocument/2006/relationships/hyperlink" Target="http://www.sec.gov/Archives/edgar/data/1677703/000119312516803247/d275811dex32.htm" TargetMode="External"/><Relationship Id="rId48" Type="http://schemas.openxmlformats.org/officeDocument/2006/relationships/hyperlink" Target="https://www.sec.gov/Archives/edgar/data/0001677703/000119312521110819/d110000ddef14a.htm#toc110000_d" TargetMode="External"/><Relationship Id="rId49" Type="http://schemas.openxmlformats.org/officeDocument/2006/relationships/hyperlink" Target="https://www.sec.gov/Archives/edgar/data/1677703/000167770321000026/ex101letteragreementdate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2021-08-05T15:49:43Z</dcterms:created>
  <dcterms:modified xsi:type="dcterms:W3CDTF">2021-08-05T15:49:43Z</dcterms:modified>
</cp:coreProperties>
</file>