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80645</wp:posOffset>
            </wp:positionV>
            <wp:extent cx="15087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CONDUENT INCORPORATED</w:t>
      </w:r>
    </w:p>
    <w:p>
      <w:pPr>
        <w:spacing w:after="0" w:line="79" w:lineRule="exact"/>
        <w:rPr>
          <w:sz w:val="24"/>
          <w:szCs w:val="24"/>
          <w:color w:val="auto"/>
        </w:rPr>
      </w:pPr>
    </w:p>
    <w:tbl>
      <w:tblPr>
        <w:tblLayout w:type="fixed"/>
        <w:tblInd w:w="60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540" w:type="dxa"/>
            <w:vAlign w:val="bottom"/>
          </w:tcPr>
          <w:p>
            <w:pPr>
              <w:spacing w:after="0"/>
              <w:rPr>
                <w:sz w:val="21"/>
                <w:szCs w:val="21"/>
                <w:color w:val="auto"/>
              </w:rPr>
            </w:pPr>
          </w:p>
        </w:tc>
      </w:tr>
      <w:tr>
        <w:trPr>
          <w:trHeight w:val="245"/>
        </w:trPr>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7"/>
              </w:rPr>
              <w:t>New York</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001-37817</w:t>
            </w:r>
          </w:p>
        </w:tc>
        <w:tc>
          <w:tcPr>
            <w:tcW w:w="1540" w:type="dxa"/>
            <w:vAlign w:val="bottom"/>
          </w:tcPr>
          <w:p>
            <w:pPr>
              <w:jc w:val="center"/>
              <w:ind w:left="342"/>
              <w:spacing w:after="0"/>
              <w:rPr>
                <w:sz w:val="20"/>
                <w:szCs w:val="20"/>
                <w:color w:val="auto"/>
              </w:rPr>
            </w:pPr>
            <w:r>
              <w:rPr>
                <w:rFonts w:ascii="Arial" w:cs="Arial" w:eastAsia="Arial" w:hAnsi="Arial"/>
                <w:sz w:val="18"/>
                <w:szCs w:val="18"/>
                <w:b w:val="1"/>
                <w:bCs w:val="1"/>
                <w:color w:val="auto"/>
                <w:w w:val="99"/>
              </w:rPr>
              <w:t>81-2983623</w:t>
            </w:r>
          </w:p>
        </w:tc>
      </w:tr>
      <w:tr>
        <w:trPr>
          <w:trHeight w:val="144"/>
        </w:trPr>
        <w:tc>
          <w:tcPr>
            <w:tcW w:w="2320" w:type="dxa"/>
            <w:vAlign w:val="bottom"/>
          </w:tcPr>
          <w:p>
            <w:pPr>
              <w:jc w:val="center"/>
              <w:ind w:right="362"/>
              <w:spacing w:after="0" w:line="145" w:lineRule="exact"/>
              <w:rPr>
                <w:sz w:val="20"/>
                <w:szCs w:val="20"/>
                <w:color w:val="auto"/>
              </w:rPr>
            </w:pPr>
            <w:r>
              <w:rPr>
                <w:rFonts w:ascii="Arial" w:cs="Arial" w:eastAsia="Arial" w:hAnsi="Arial"/>
                <w:sz w:val="14"/>
                <w:szCs w:val="14"/>
                <w:color w:val="auto"/>
              </w:rPr>
              <w:t>(State or other jurisdiction of</w:t>
            </w:r>
          </w:p>
        </w:tc>
        <w:tc>
          <w:tcPr>
            <w:tcW w:w="5300" w:type="dxa"/>
            <w:vAlign w:val="bottom"/>
          </w:tcPr>
          <w:p>
            <w:pPr>
              <w:ind w:left="2040"/>
              <w:spacing w:after="0" w:line="145" w:lineRule="exact"/>
              <w:rPr>
                <w:sz w:val="20"/>
                <w:szCs w:val="20"/>
                <w:color w:val="auto"/>
              </w:rPr>
            </w:pPr>
            <w:r>
              <w:rPr>
                <w:rFonts w:ascii="Arial" w:cs="Arial" w:eastAsia="Arial" w:hAnsi="Arial"/>
                <w:sz w:val="14"/>
                <w:szCs w:val="14"/>
                <w:color w:val="auto"/>
              </w:rPr>
              <w:t>(Commission</w:t>
            </w:r>
          </w:p>
        </w:tc>
        <w:tc>
          <w:tcPr>
            <w:tcW w:w="1540" w:type="dxa"/>
            <w:vAlign w:val="bottom"/>
          </w:tcPr>
          <w:p>
            <w:pPr>
              <w:jc w:val="center"/>
              <w:ind w:left="36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320" w:type="dxa"/>
            <w:vAlign w:val="bottom"/>
          </w:tcPr>
          <w:p>
            <w:pPr>
              <w:jc w:val="center"/>
              <w:ind w:right="362"/>
              <w:spacing w:after="0"/>
              <w:rPr>
                <w:sz w:val="20"/>
                <w:szCs w:val="20"/>
                <w:color w:val="auto"/>
              </w:rPr>
            </w:pPr>
            <w:r>
              <w:rPr>
                <w:rFonts w:ascii="Arial" w:cs="Arial" w:eastAsia="Arial" w:hAnsi="Arial"/>
                <w:sz w:val="14"/>
                <w:szCs w:val="14"/>
                <w:color w:val="auto"/>
              </w:rPr>
              <w:t>incorporation or organization)</w:t>
            </w:r>
          </w:p>
        </w:tc>
        <w:tc>
          <w:tcPr>
            <w:tcW w:w="5300" w:type="dxa"/>
            <w:vAlign w:val="bottom"/>
          </w:tcPr>
          <w:p>
            <w:pPr>
              <w:ind w:left="2040"/>
              <w:spacing w:after="0"/>
              <w:rPr>
                <w:sz w:val="20"/>
                <w:szCs w:val="20"/>
                <w:color w:val="auto"/>
              </w:rPr>
            </w:pPr>
            <w:r>
              <w:rPr>
                <w:rFonts w:ascii="Arial" w:cs="Arial" w:eastAsia="Arial" w:hAnsi="Arial"/>
                <w:sz w:val="14"/>
                <w:szCs w:val="14"/>
                <w:color w:val="auto"/>
              </w:rPr>
              <w:t>File Number)</w:t>
            </w:r>
          </w:p>
        </w:tc>
        <w:tc>
          <w:tcPr>
            <w:tcW w:w="1540" w:type="dxa"/>
            <w:vAlign w:val="bottom"/>
          </w:tcPr>
          <w:p>
            <w:pPr>
              <w:jc w:val="center"/>
              <w:ind w:left="342"/>
              <w:spacing w:after="0"/>
              <w:rPr>
                <w:sz w:val="20"/>
                <w:szCs w:val="20"/>
                <w:color w:val="auto"/>
              </w:rPr>
            </w:pPr>
            <w:r>
              <w:rPr>
                <w:rFonts w:ascii="Arial" w:cs="Arial" w:eastAsia="Arial" w:hAnsi="Arial"/>
                <w:sz w:val="14"/>
                <w:szCs w:val="14"/>
                <w:color w:val="auto"/>
              </w:rPr>
              <w:t>Identification No.)</w:t>
            </w:r>
          </w:p>
        </w:tc>
      </w:tr>
    </w:tbl>
    <w:p>
      <w:pPr>
        <w:spacing w:after="0" w:line="101" w:lineRule="exact"/>
        <w:rPr>
          <w:sz w:val="24"/>
          <w:szCs w:val="24"/>
          <w:color w:val="auto"/>
        </w:rPr>
      </w:pPr>
    </w:p>
    <w:p>
      <w:pPr>
        <w:ind w:left="4060"/>
        <w:spacing w:after="0"/>
        <w:tabs>
          <w:tab w:leader="none" w:pos="6080" w:val="left"/>
        </w:tabs>
        <w:rPr>
          <w:sz w:val="20"/>
          <w:szCs w:val="20"/>
          <w:color w:val="auto"/>
        </w:rPr>
      </w:pPr>
      <w:r>
        <w:rPr>
          <w:rFonts w:ascii="Arial" w:cs="Arial" w:eastAsia="Arial" w:hAnsi="Arial"/>
          <w:sz w:val="18"/>
          <w:szCs w:val="18"/>
          <w:b w:val="1"/>
          <w:bCs w:val="1"/>
          <w:color w:val="auto"/>
        </w:rPr>
        <w:t>100 Campus Drive,</w:t>
      </w:r>
      <w:r>
        <w:rPr>
          <w:sz w:val="20"/>
          <w:szCs w:val="20"/>
          <w:color w:val="auto"/>
        </w:rPr>
        <w:tab/>
      </w:r>
      <w:r>
        <w:rPr>
          <w:rFonts w:ascii="Arial" w:cs="Arial" w:eastAsia="Arial" w:hAnsi="Arial"/>
          <w:sz w:val="17"/>
          <w:szCs w:val="17"/>
          <w:b w:val="1"/>
          <w:bCs w:val="1"/>
          <w:color w:val="auto"/>
        </w:rPr>
        <w:t>Suite 200,</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Florham Park, New Jersey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07932</w:t>
      </w:r>
    </w:p>
    <w:p>
      <w:pPr>
        <w:spacing w:after="0" w:line="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(Address of principal executive offices) (Zip Code)</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50" w:right="339" w:bottom="1440" w:gutter="0" w:footer="0" w:header="0"/>
        </w:sectPr>
      </w:pPr>
    </w:p>
    <w:p>
      <w:pPr>
        <w:spacing w:after="0" w:line="50"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3420" w:space="720"/>
            <w:col w:w="2220" w:space="720"/>
            <w:col w:w="4160"/>
          </w:cols>
          <w:pgMar w:left="320" w:top="1050" w:right="339" w:bottom="1440" w:gutter="0" w:footer="0" w:header="0"/>
          <w:type w:val="continuous"/>
        </w:sectPr>
      </w:pPr>
    </w:p>
    <w:p>
      <w:pPr>
        <w:ind w:left="48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3760" w:space="720"/>
            <w:col w:w="2000" w:space="720"/>
            <w:col w:w="4040"/>
          </w:cols>
          <w:pgMar w:left="320" w:top="1050" w:right="339" w:bottom="1440" w:gutter="0" w:footer="0" w:header="0"/>
          <w:type w:val="continuous"/>
        </w:sectPr>
      </w:pPr>
    </w:p>
    <w:p>
      <w:pPr>
        <w:spacing w:after="0" w:line="12" w:lineRule="exact"/>
        <w:rPr>
          <w:sz w:val="24"/>
          <w:szCs w:val="24"/>
          <w:color w:val="auto"/>
        </w:rPr>
      </w:pPr>
    </w:p>
    <w:p>
      <w:pPr>
        <w:ind w:right="38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On May 21, 2026, Conduent Incorporated (the “Company”), by and through its wholly owned subsidiary Conduent Business Services, LLC (“CBS”), entered into an Equity Interest Purchase Agreement (the “Purchase Agreement”) with Modaxo USA Holdings, Inc. and Modaxo France Holdings SAS (collectively, “Buyer”), and Modaxo Group Inc. Under the Purchase Agreement, CBS agreed to sell all of the issued and outstanding equity interests of Conduent Transport Solutions, Inc. (“CTS”) and certain non</w:t>
      </w:r>
      <w:r>
        <w:rPr>
          <w:rFonts w:ascii="MS PGothic" w:cs="MS PGothic" w:eastAsia="MS PGothic" w:hAnsi="MS PGothic"/>
          <w:sz w:val="18"/>
          <w:szCs w:val="18"/>
          <w:color w:val="auto"/>
        </w:rPr>
        <w:t>‑</w:t>
      </w:r>
      <w:r>
        <w:rPr>
          <w:rFonts w:ascii="Arial" w:cs="Arial" w:eastAsia="Arial" w:hAnsi="Arial"/>
          <w:sz w:val="18"/>
          <w:szCs w:val="18"/>
          <w:color w:val="auto"/>
        </w:rPr>
        <w:t>U.S. subsidiaries (collectively, the “Purchased Subsidiaries”) that comprise the Company’s public transit and fare collection business (the “Transit Business”) on the terms and subject to the conditions set forth therein.</w:t>
      </w:r>
    </w:p>
    <w:p>
      <w:pPr>
        <w:spacing w:after="0" w:line="104" w:lineRule="exact"/>
        <w:rPr>
          <w:sz w:val="20"/>
          <w:szCs w:val="20"/>
          <w:color w:val="auto"/>
        </w:rPr>
      </w:pPr>
    </w:p>
    <w:p>
      <w:pPr>
        <w:jc w:val="both"/>
        <w:ind w:firstLine="648"/>
        <w:spacing w:after="0" w:line="245" w:lineRule="exact"/>
        <w:rPr>
          <w:sz w:val="20"/>
          <w:szCs w:val="20"/>
          <w:color w:val="auto"/>
        </w:rPr>
      </w:pPr>
      <w:r>
        <w:rPr>
          <w:rFonts w:ascii="Arial" w:cs="Arial" w:eastAsia="Arial" w:hAnsi="Arial"/>
          <w:sz w:val="18"/>
          <w:szCs w:val="18"/>
          <w:color w:val="auto"/>
        </w:rPr>
        <w:t>The purchase price is $164,000,000, subject to customary purchase price adjustments, including (i) a dollar</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dollar deduction for any shortfall in minimum cash, (ii) a net tangible asset (“NTA”) adjustment, and (iii) reductions for indebtedness and transaction expenses, all as determined pursuant to post</w:t>
      </w:r>
      <w:r>
        <w:rPr>
          <w:rFonts w:ascii="MS PGothic" w:cs="MS PGothic" w:eastAsia="MS PGothic" w:hAnsi="MS PGothic"/>
          <w:sz w:val="18"/>
          <w:szCs w:val="18"/>
          <w:color w:val="auto"/>
        </w:rPr>
        <w:t>‑</w:t>
      </w:r>
      <w:r>
        <w:rPr>
          <w:rFonts w:ascii="Arial" w:cs="Arial" w:eastAsia="Arial" w:hAnsi="Arial"/>
          <w:sz w:val="18"/>
          <w:szCs w:val="18"/>
          <w:color w:val="auto"/>
        </w:rPr>
        <w:t>closing true</w:t>
      </w:r>
      <w:r>
        <w:rPr>
          <w:rFonts w:ascii="MS PGothic" w:cs="MS PGothic" w:eastAsia="MS PGothic" w:hAnsi="MS PGothic"/>
          <w:sz w:val="18"/>
          <w:szCs w:val="18"/>
          <w:color w:val="auto"/>
        </w:rPr>
        <w:t>‑</w:t>
      </w:r>
      <w:r>
        <w:rPr>
          <w:rFonts w:ascii="Arial" w:cs="Arial" w:eastAsia="Arial" w:hAnsi="Arial"/>
          <w:sz w:val="18"/>
          <w:szCs w:val="18"/>
          <w:color w:val="auto"/>
        </w:rPr>
        <w:t>up procedures set forth in the Purchase Agreement.</w:t>
      </w:r>
    </w:p>
    <w:p>
      <w:pPr>
        <w:spacing w:after="0" w:line="75" w:lineRule="exact"/>
        <w:rPr>
          <w:sz w:val="20"/>
          <w:szCs w:val="20"/>
          <w:color w:val="auto"/>
        </w:rPr>
      </w:pPr>
    </w:p>
    <w:p>
      <w:pPr>
        <w:jc w:val="both"/>
        <w:ind w:firstLine="648"/>
        <w:spacing w:after="0" w:line="229" w:lineRule="exact"/>
        <w:rPr>
          <w:sz w:val="20"/>
          <w:szCs w:val="20"/>
          <w:color w:val="auto"/>
        </w:rPr>
      </w:pPr>
      <w:r>
        <w:rPr>
          <w:rFonts w:ascii="Arial" w:cs="Arial" w:eastAsia="Arial" w:hAnsi="Arial"/>
          <w:sz w:val="18"/>
          <w:szCs w:val="18"/>
          <w:color w:val="auto"/>
        </w:rPr>
        <w:t>At closing, Buyer will retain (i) a $10,000,000 purchase price holdback for one-year to secure NTA</w:t>
      </w:r>
      <w:r>
        <w:rPr>
          <w:rFonts w:ascii="MS PGothic" w:cs="MS PGothic" w:eastAsia="MS PGothic" w:hAnsi="MS PGothic"/>
          <w:sz w:val="18"/>
          <w:szCs w:val="18"/>
          <w:color w:val="auto"/>
        </w:rPr>
        <w:t>‑</w:t>
      </w:r>
      <w:r>
        <w:rPr>
          <w:rFonts w:ascii="Arial" w:cs="Arial" w:eastAsia="Arial" w:hAnsi="Arial"/>
          <w:sz w:val="18"/>
          <w:szCs w:val="18"/>
          <w:color w:val="auto"/>
        </w:rPr>
        <w:t>related adjustments and certain indemnification claims, (ii) a $12,000,000 special holdback, the timing of the release of which is dependent on certain target completion dates for a customer, and (iii) a holdback for one-year to secure the Company’s portion of the retention amount under Buyer’s representation and warranty policy in the event of breaches of certain representations and warranties, in each case, as further described in the Purchase Agreement.</w:t>
      </w:r>
    </w:p>
    <w:p>
      <w:pPr>
        <w:spacing w:after="0" w:line="9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Purchase Agreement contains customary representations and warranties and pre</w:t>
      </w:r>
      <w:r>
        <w:rPr>
          <w:rFonts w:ascii="MS PGothic" w:cs="MS PGothic" w:eastAsia="MS PGothic" w:hAnsi="MS PGothic"/>
          <w:sz w:val="18"/>
          <w:szCs w:val="18"/>
          <w:color w:val="auto"/>
        </w:rPr>
        <w:t>‑</w:t>
      </w:r>
      <w:r>
        <w:rPr>
          <w:rFonts w:ascii="Arial" w:cs="Arial" w:eastAsia="Arial" w:hAnsi="Arial"/>
          <w:sz w:val="18"/>
          <w:szCs w:val="18"/>
          <w:color w:val="auto"/>
        </w:rPr>
        <w:t>closing covenants for a transaction of this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type.</w:t>
      </w:r>
    </w:p>
    <w:p>
      <w:pPr>
        <w:spacing w:after="0" w:line="153"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Consummation of the transactions pursuant to the Purchase Agreement are subject to various conditions, including, among others (i) the absence of any legal restraint, (ii) receipt of required approvals under applicable competition and foreign investment control laws, (iii) receipt of specified third</w:t>
      </w:r>
      <w:r>
        <w:rPr>
          <w:rFonts w:ascii="MS PGothic" w:cs="MS PGothic" w:eastAsia="MS PGothic" w:hAnsi="MS PGothic"/>
          <w:sz w:val="18"/>
          <w:szCs w:val="18"/>
          <w:color w:val="auto"/>
        </w:rPr>
        <w:t>‑</w:t>
      </w:r>
      <w:r>
        <w:rPr>
          <w:rFonts w:ascii="Arial" w:cs="Arial" w:eastAsia="Arial" w:hAnsi="Arial"/>
          <w:sz w:val="18"/>
          <w:szCs w:val="18"/>
          <w:color w:val="auto"/>
        </w:rPr>
        <w:t>party consents, (iv) accuracy of representations and warranties (subject to agreed standards), (v) performance in all material respects of certain covenants, and (vi) satisfaction of the minimum cash condition.</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Purchase Agreement also contains certain customary termination rights for both CBS and Buyer. In consideration of the purchase price, CBS has agreed to a customary non-competition provision preventing CBS and its affiliates from participating in certain competitive activities.</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description of the Purchase Agreement does not purport to be complete and is subject to, and qualified in its entirety by, the full text of the Purchase Agreement, which will be filed as an exhibit to the Company’s next periodic report to be filed with the SEC.</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21, 2026, the Company issued a press release announcing the contemplated sale of the Transit Business.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 copy of the press release is attached as Exhibit 99.1 hereto. The information contained in Item 7.01 and in Exhibit 99.1 to this Current Report on Form 8-K shall not be deemed “filed” with the Securities and Exchange Commission for purposes of Section 18 of the Exchange Act of 1934, as amended, or otherwise subject to the liability of that section.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Regulation FD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gridSpan w:val="4"/>
          </w:tcPr>
          <w:p>
            <w:pPr>
              <w:ind w:left="460"/>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840" w:type="dxa"/>
            <w:vAlign w:val="bottom"/>
            <w:tcBorders>
              <w:top w:val="single" w:sz="8" w:color="auto"/>
            </w:tcBorders>
            <w:gridSpan w:val="3"/>
          </w:tcPr>
          <w:p>
            <w:pPr>
              <w:jc w:val="center"/>
              <w:ind w:right="720"/>
              <w:spacing w:after="0" w:line="18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80" w:type="dxa"/>
            <w:vAlign w:val="bottom"/>
          </w:tcPr>
          <w:p>
            <w:pPr>
              <w:spacing w:after="0"/>
              <w:rPr>
                <w:sz w:val="15"/>
                <w:szCs w:val="15"/>
                <w:color w:val="auto"/>
              </w:rPr>
            </w:pPr>
          </w:p>
        </w:tc>
        <w:tc>
          <w:tcPr>
            <w:tcW w:w="91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Press Release dated May 21, 2026 (furnished pursuant to Item 7.01).</w:t>
            </w:r>
          </w:p>
        </w:tc>
      </w:tr>
      <w:tr>
        <w:trPr>
          <w:trHeight w:val="254"/>
        </w:trPr>
        <w:tc>
          <w:tcPr>
            <w:tcW w:w="760" w:type="dxa"/>
            <w:vAlign w:val="bottom"/>
          </w:tcPr>
          <w:p>
            <w:pPr>
              <w:spacing w:after="0"/>
              <w:rPr>
                <w:sz w:val="22"/>
                <w:szCs w:val="22"/>
                <w:color w:val="auto"/>
              </w:rPr>
            </w:pPr>
          </w:p>
        </w:tc>
        <w:tc>
          <w:tcPr>
            <w:tcW w:w="34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9"/>
              </w:rPr>
              <w:t>104</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10"/>
        </w:trPr>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as they relate to us, are intended to identify forward-looking statements, but the absence of these words does not mean that a statement is not forward-looking. These statements include, but may not be limited to, statements regarding the expectation that the sale of the Company’s Transit Business to Buyer will be consummated and the timing of such consummation.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 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Current Report on Form 8-K, any exhibits to this Current Report on Form 8-K and other public statements we make. Important factors and uncertainties that could cause actual results to differ materially from those in our forward-looking statements include, but are not limited to: the Company’s ability to realize the benefits anticipated from the sale of the Company’s Transit Business to Buyer, including as a result of a delay or failure to obtain certain required regulatory approvals or the failure of any other condition to the closing of the transaction such that the closing of the transaction is delayed or does not occur; 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and other factors that are set forth in the “Risk Factors” and other sections of our Annual Report on Form 10-K, as well as in our Quarterly Reports on Form 10-Q and Current Reports on Form 8-K filed with the Securities and Exchange Commission (SEC). Any forward-looking statements made by us in this Form 8-K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CONDUENT INCORPORATED</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MICHAEL FISHERMAN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6351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Fisherman</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160"/>
          </w:cols>
          <w:pgMar w:left="320" w:top="998"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News from Conduent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31750</wp:posOffset>
            </wp:positionV>
            <wp:extent cx="113157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Conduent</w:t>
      </w:r>
    </w:p>
    <w:p>
      <w:pPr>
        <w:ind w:left="7160"/>
        <w:spacing w:after="0" w:line="205" w:lineRule="auto"/>
        <w:rPr>
          <w:sz w:val="20"/>
          <w:szCs w:val="20"/>
          <w:color w:val="auto"/>
        </w:rPr>
      </w:pPr>
      <w:r>
        <w:rPr>
          <w:rFonts w:ascii="Times New Roman" w:cs="Times New Roman" w:eastAsia="Times New Roman" w:hAnsi="Times New Roman"/>
          <w:sz w:val="18"/>
          <w:szCs w:val="18"/>
          <w:color w:val="auto"/>
        </w:rPr>
        <w:t>Incorporated 100</w:t>
      </w:r>
    </w:p>
    <w:p>
      <w:pPr>
        <w:ind w:left="7160"/>
        <w:spacing w:after="0" w:line="204" w:lineRule="auto"/>
        <w:rPr>
          <w:sz w:val="20"/>
          <w:szCs w:val="20"/>
          <w:color w:val="auto"/>
        </w:rPr>
      </w:pPr>
      <w:r>
        <w:rPr>
          <w:rFonts w:ascii="Times New Roman" w:cs="Times New Roman" w:eastAsia="Times New Roman" w:hAnsi="Times New Roman"/>
          <w:sz w:val="18"/>
          <w:szCs w:val="18"/>
          <w:color w:val="auto"/>
        </w:rPr>
        <w:t>Campus Drive</w:t>
      </w:r>
    </w:p>
    <w:p>
      <w:pPr>
        <w:ind w:left="7160"/>
        <w:spacing w:after="0" w:line="219" w:lineRule="auto"/>
        <w:rPr>
          <w:sz w:val="20"/>
          <w:szCs w:val="20"/>
          <w:color w:val="auto"/>
        </w:rPr>
      </w:pPr>
      <w:r>
        <w:rPr>
          <w:rFonts w:ascii="Times New Roman" w:cs="Times New Roman" w:eastAsia="Times New Roman" w:hAnsi="Times New Roman"/>
          <w:sz w:val="18"/>
          <w:szCs w:val="18"/>
          <w:color w:val="auto"/>
        </w:rPr>
        <w:t>Florham Park, N.J.</w:t>
      </w:r>
    </w:p>
    <w:p>
      <w:pPr>
        <w:ind w:left="7160"/>
        <w:spacing w:after="0" w:line="203" w:lineRule="auto"/>
        <w:rPr>
          <w:sz w:val="20"/>
          <w:szCs w:val="20"/>
          <w:color w:val="auto"/>
        </w:rPr>
      </w:pPr>
      <w:r>
        <w:rPr>
          <w:rFonts w:ascii="Times New Roman" w:cs="Times New Roman" w:eastAsia="Times New Roman" w:hAnsi="Times New Roman"/>
          <w:sz w:val="18"/>
          <w:szCs w:val="18"/>
          <w:color w:val="auto"/>
        </w:rPr>
        <w:t>07932</w:t>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www.Conduent.com</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Conduent Announces Agreement to Sell Its Public Transit Business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Modaxo for $164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Transaction Expected to Close Before the End of 2026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Conduent Continues to Fortify Its Balance Sheet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Conduent Retains Ownership of Tolling Business Segment</w:t>
      </w:r>
    </w:p>
    <w:p>
      <w:pPr>
        <w:spacing w:after="0" w:line="286" w:lineRule="exact"/>
        <w:rPr>
          <w:sz w:val="20"/>
          <w:szCs w:val="20"/>
          <w:color w:val="auto"/>
        </w:rPr>
      </w:pPr>
    </w:p>
    <w:p>
      <w:pPr>
        <w:ind w:right="60"/>
        <w:spacing w:after="0" w:line="253" w:lineRule="exact"/>
        <w:rPr>
          <w:sz w:val="20"/>
          <w:szCs w:val="20"/>
          <w:color w:val="auto"/>
        </w:rPr>
      </w:pPr>
      <w:r>
        <w:rPr>
          <w:rFonts w:ascii="Arial" w:cs="Arial" w:eastAsia="Arial" w:hAnsi="Arial"/>
          <w:sz w:val="19"/>
          <w:szCs w:val="19"/>
          <w:b w:val="1"/>
          <w:bCs w:val="1"/>
          <w:color w:val="auto"/>
        </w:rPr>
        <w:t xml:space="preserve">FLORHAM PARK, N.J., May 21, 2026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FF"/>
        </w:rPr>
        <w:t>Conduent 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(Nasdaq: CNDT), a global technology</w:t>
      </w:r>
      <w:r>
        <w:rPr>
          <w:rFonts w:ascii="MS PGothic" w:cs="MS PGothic" w:eastAsia="MS PGothic" w:hAnsi="MS PGothic"/>
          <w:sz w:val="19"/>
          <w:szCs w:val="19"/>
          <w:color w:val="auto"/>
        </w:rPr>
        <w:t>‑</w:t>
      </w:r>
      <w:r>
        <w:rPr>
          <w:rFonts w:ascii="Arial" w:cs="Arial" w:eastAsia="Arial" w:hAnsi="Arial"/>
          <w:sz w:val="19"/>
          <w:szCs w:val="19"/>
          <w:color w:val="auto"/>
        </w:rPr>
        <w:t>driven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solutions and services provider, today announced that it has entered into a definitive agreement to sell its Public Transit business, an operating unit of </w:t>
      </w:r>
      <w:r>
        <w:rPr>
          <w:rFonts w:ascii="Arial" w:cs="Arial" w:eastAsia="Arial" w:hAnsi="Arial"/>
          <w:sz w:val="19"/>
          <w:szCs w:val="19"/>
          <w:u w:val="single" w:color="auto"/>
          <w:color w:val="0000FF"/>
        </w:rPr>
        <w:t>Conduent Transportation</w:t>
      </w:r>
      <w:r>
        <w:rPr>
          <w:rFonts w:ascii="Arial" w:cs="Arial" w:eastAsia="Arial" w:hAnsi="Arial"/>
          <w:sz w:val="19"/>
          <w:szCs w:val="19"/>
          <w:color w:val="auto"/>
        </w:rPr>
        <w:t>, to Modaxo, a global technology organization focused on moving the world’s people. The Public Transit business consists of Transit Fare Management and Fleet Management Solutions businesses.</w:t>
      </w:r>
    </w:p>
    <w:p>
      <w:pPr>
        <w:spacing w:after="0" w:line="145"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sale has a purchase price of $164 million. The companies expect the transaction to close before the end of 2026, subject to customary conditions and regulatory approvals.</w:t>
      </w:r>
    </w:p>
    <w:p>
      <w:pPr>
        <w:spacing w:after="0" w:line="8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“This transaction advances our strategy to simplify the portfolio, sharpen focus on our core businesses, and strengthen our financial foundation. Consistent with the disciplined execution outlined in Q1, it further positions Conduent to deliver sustainable, long-term value for our shareholders, clients, and employees,” said Harsha V. Agadi, Conduent President and Chief Executive Officer. “Modaxo’s technology focus makes it a strong strategic fit for the Public Transit business and those it serves. We remain committed to delivering outstanding quality and performance for our Transportation clients as we prepare for closing and ensure a seamless transition for clients and employees.”</w:t>
      </w:r>
    </w:p>
    <w:p>
      <w:pPr>
        <w:spacing w:after="0" w:line="133" w:lineRule="exact"/>
        <w:rPr>
          <w:sz w:val="20"/>
          <w:szCs w:val="20"/>
          <w:color w:val="auto"/>
        </w:rPr>
      </w:pPr>
    </w:p>
    <w:p>
      <w:pPr>
        <w:ind w:right="480"/>
        <w:spacing w:after="0" w:line="271" w:lineRule="auto"/>
        <w:rPr>
          <w:sz w:val="20"/>
          <w:szCs w:val="20"/>
          <w:color w:val="auto"/>
        </w:rPr>
      </w:pPr>
      <w:r>
        <w:rPr>
          <w:rFonts w:ascii="Arial" w:cs="Arial" w:eastAsia="Arial" w:hAnsi="Arial"/>
          <w:sz w:val="20"/>
          <w:szCs w:val="20"/>
          <w:color w:val="auto"/>
        </w:rPr>
        <w:t>With global operations, the Public Transit business offers fare collection systems, fleet management systems, payment and revenue management platforms, and other hardware-enabled mobility systems.</w:t>
      </w:r>
    </w:p>
    <w:p>
      <w:pPr>
        <w:spacing w:after="0" w:line="69" w:lineRule="exact"/>
        <w:rPr>
          <w:sz w:val="20"/>
          <w:szCs w:val="20"/>
          <w:color w:val="auto"/>
        </w:rPr>
      </w:pPr>
    </w:p>
    <w:p>
      <w:pPr>
        <w:ind w:right="100"/>
        <w:spacing w:after="0" w:line="260" w:lineRule="exact"/>
        <w:rPr>
          <w:sz w:val="20"/>
          <w:szCs w:val="20"/>
          <w:color w:val="auto"/>
        </w:rPr>
      </w:pPr>
      <w:r>
        <w:rPr>
          <w:rFonts w:ascii="Arial" w:cs="Arial" w:eastAsia="Arial" w:hAnsi="Arial"/>
          <w:sz w:val="20"/>
          <w:szCs w:val="20"/>
          <w:color w:val="auto"/>
        </w:rPr>
        <w:t>Conduent Transportation’s remaining Tolling business provides mission</w:t>
      </w:r>
      <w:r>
        <w:rPr>
          <w:rFonts w:ascii="MS PGothic" w:cs="MS PGothic" w:eastAsia="MS PGothic" w:hAnsi="MS PGothic"/>
          <w:sz w:val="20"/>
          <w:szCs w:val="20"/>
          <w:color w:val="auto"/>
        </w:rPr>
        <w:t>‑</w:t>
      </w:r>
      <w:r>
        <w:rPr>
          <w:rFonts w:ascii="Arial" w:cs="Arial" w:eastAsia="Arial" w:hAnsi="Arial"/>
          <w:sz w:val="20"/>
          <w:szCs w:val="20"/>
          <w:color w:val="auto"/>
        </w:rPr>
        <w:t>critical technology that enables all</w:t>
      </w:r>
      <w:r>
        <w:rPr>
          <w:rFonts w:ascii="MS PGothic" w:cs="MS PGothic" w:eastAsia="MS PGothic" w:hAnsi="MS PGothic"/>
          <w:sz w:val="20"/>
          <w:szCs w:val="20"/>
          <w:color w:val="auto"/>
        </w:rPr>
        <w:t>‑</w:t>
      </w:r>
      <w:r>
        <w:rPr>
          <w:rFonts w:ascii="Arial" w:cs="Arial" w:eastAsia="Arial" w:hAnsi="Arial"/>
          <w:sz w:val="20"/>
          <w:szCs w:val="20"/>
          <w:color w:val="auto"/>
        </w:rPr>
        <w:t>electronic tolling, roadside, and back-office processing, image review, violation enforcement and analytics. It supports more than 14 million tolling transactions per day.</w:t>
      </w:r>
    </w:p>
    <w:p>
      <w:pPr>
        <w:spacing w:after="0" w:line="145"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Additional details of the transaction are outlined in Conduent’s 8-K filed with the U.S. Securities and Exchange Commission (SEC) today.</w:t>
      </w:r>
    </w:p>
    <w:p>
      <w:pPr>
        <w:spacing w:after="0" w:line="113"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b w:val="1"/>
          <w:bCs w:val="1"/>
          <w:color w:val="auto"/>
        </w:rPr>
        <w:t xml:space="preserve">About Conduent </w:t>
      </w:r>
      <w:r>
        <w:rPr>
          <w:rFonts w:ascii="Arial" w:cs="Arial" w:eastAsia="Arial" w:hAnsi="Arial"/>
          <w:sz w:val="20"/>
          <w:szCs w:val="20"/>
          <w:color w:val="auto"/>
        </w:rPr>
        <w:t>Conduent delivers digital business solutions and services spanning the commercial, government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48,000 associates, process expertise and advanced technologies, Conduent’s solutions and services digitally transform its clients’ operations to enhance customer experiences, improve performance, increase efficiencies and reduce costs. Conduent adds momentum to its clients’ missions in many ways including disbursing approximately $80 billion in government payments annually, enabling approximately 2.0 billion customer service interactions annually, empowering millions of employees through HR services every year and processing over 14 million tolling transactions every day. Learn more at www.conduent.com.</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Modaxo</w:t>
      </w:r>
    </w:p>
    <w:p>
      <w:pPr>
        <w:spacing w:after="0" w:line="177" w:lineRule="exact"/>
        <w:rPr>
          <w:sz w:val="20"/>
          <w:szCs w:val="20"/>
          <w:color w:val="auto"/>
        </w:rPr>
      </w:pPr>
    </w:p>
    <w:p>
      <w:pPr>
        <w:ind w:right="600"/>
        <w:spacing w:after="0" w:line="262" w:lineRule="auto"/>
        <w:rPr>
          <w:sz w:val="20"/>
          <w:szCs w:val="20"/>
          <w:color w:val="auto"/>
        </w:rPr>
      </w:pPr>
      <w:r>
        <w:rPr>
          <w:rFonts w:ascii="Arial" w:cs="Arial" w:eastAsia="Arial" w:hAnsi="Arial"/>
          <w:sz w:val="20"/>
          <w:szCs w:val="20"/>
          <w:color w:val="auto"/>
        </w:rPr>
        <w:t>Modaxo is a global technology organization passionate about moving the world’s people. Working both together and independently, our collective of businesses is committed to delivering software and technology solutions that help connect people with the places they need to go for work, family, and everyday life. Learn more at Modaxo.com.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Remy Kaul, Conduent, remy.kaul@conduent.com</w:t>
      </w:r>
    </w:p>
    <w:p>
      <w:pPr>
        <w:spacing w:after="0"/>
        <w:rPr>
          <w:sz w:val="20"/>
          <w:szCs w:val="20"/>
          <w:color w:val="auto"/>
        </w:rPr>
      </w:pPr>
      <w:r>
        <w:rPr>
          <w:rFonts w:ascii="Arial" w:cs="Arial" w:eastAsia="Arial" w:hAnsi="Arial"/>
          <w:sz w:val="20"/>
          <w:szCs w:val="20"/>
          <w:color w:val="auto"/>
        </w:rPr>
        <w:t>Neil Franz, Conduent, neil.franz@conduent.com, +1-240-687-0127</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Conduent, ir@conduent.com</w:t>
      </w:r>
    </w:p>
    <w:p>
      <w:pPr>
        <w:spacing w:after="0" w:line="200" w:lineRule="exact"/>
        <w:rPr>
          <w:sz w:val="20"/>
          <w:szCs w:val="20"/>
          <w:color w:val="auto"/>
        </w:rPr>
      </w:pPr>
    </w:p>
    <w:p>
      <w:pPr>
        <w:spacing w:after="0" w:line="279" w:lineRule="exact"/>
        <w:rPr>
          <w:sz w:val="20"/>
          <w:szCs w:val="20"/>
          <w:color w:val="auto"/>
        </w:rPr>
      </w:pPr>
    </w:p>
    <w:p>
      <w:pPr>
        <w:ind w:right="520"/>
        <w:spacing w:after="0" w:line="288"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 www.news.conduent.com. For open commentary, industry perspectives and views,</w:t>
      </w:r>
      <w:r>
        <w:rPr>
          <w:rFonts w:ascii="Arial" w:cs="Arial" w:eastAsia="Arial" w:hAnsi="Arial"/>
          <w:sz w:val="20"/>
          <w:szCs w:val="20"/>
          <w:b w:val="1"/>
          <w:bCs w:val="1"/>
          <w:color w:val="auto"/>
        </w:rPr>
        <w:t xml:space="preserve"> </w:t>
      </w:r>
      <w:r>
        <w:rPr>
          <w:rFonts w:ascii="Arial" w:cs="Arial" w:eastAsia="Arial" w:hAnsi="Arial"/>
          <w:sz w:val="20"/>
          <w:szCs w:val="20"/>
          <w:color w:val="auto"/>
        </w:rPr>
        <w:t>https://x.com/Conduent, http://www.linkedin.com/company/Conduent or http://www.facebook.com/Conduent.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Conduent is a trademark of Conduent Incorporated in the United States and/or other countries. Other names may be trademarks of their respective owners.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This press release may contain “forward-looking statements” as defined in the Private Securities Litigation Reform Act of 1995.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All statements other than statements of historical fact included in this press release are forward-looking statements, including, but not limited to, all statements regarding the sale of Conduent’s Public Transit business, including that such transaction will be consummated and the timing of such consummation, expectations regarding our strategy to simplify our portfolio, sharpen our focus, strengthen our financial foundation, and drive value for our shareholders, clients and employees.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 Important factors and uncertainties that could cause actual results to differ materially from those in our forward-looking statements include, but are not limited to: Conduent’s ability to realize the benefits anticipated from the sale of its Public Transit business, including as a result of a delay or failure to obtain certain required regulatory approvals or the failure of any other condition to the closing of the transaction such that the closing of the transaction is delayed or does not occur; 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the risk that certain contractual restrictions contained in the definitive</w:t>
      </w:r>
    </w:p>
    <w:p>
      <w:pPr>
        <w:sectPr>
          <w:pgSz w:w="11900" w:h="16838" w:orient="portrait"/>
          <w:cols w:equalWidth="0" w:num="1">
            <w:col w:w="11240"/>
          </w:cols>
          <w:pgMar w:left="320" w:top="34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transaction agreement during the pendency of the proposed transaction could adversely affect our ability to pursue business opportunities or strategic transactions;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press release speak only as of the date on which they are made. We are under no obligation to, and expressly disclaim any obligation to, update or alter our forward-looking statements, whether because of new information, subsequent events or otherwise, except as required by law.</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2026-05-21T16:50:33Z</dcterms:created>
  <dcterms:modified xsi:type="dcterms:W3CDTF">2026-05-21T16:50:33Z</dcterms:modified>
</cp:coreProperties>
</file>