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91212.xml.htm"/>
      <w:bookmarkStart w:id="1" w:name="kswkform4_17857912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Goodburn Giles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CAMPUS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FLORHAM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CONDUENT Inc</w:t>
              </w:r>
            </w:hyperlink>
            <w:r>
              <w:rPr/>
              <w:t xml:space="preserve"> [ </w:t>
            </w:r>
            <w:r>
              <w:rPr>
                <w:rFonts w:ascii="Times;serif" w:hAnsi="Times;serif"/>
                <w:color w:val="0000FF"/>
                <w:sz w:val="24"/>
                <w:shd w:fill="FFFFFF" w:val="clear"/>
              </w:rPr>
              <w:t>CNDT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3,841</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1.57</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937,287</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to pay for taxes on Restricted Stock Units that have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Fisherman,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goodburncndtpowerofattor.htm"/>
      <w:bookmarkStart w:id="3" w:name="ksgoodburncndtpowerofattor"/>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hereby constitutes and appoints each of Anna Novoseletsky and Michael Fisherman as the undersigned’s true and lawful attorneys-in-fact, with full powers to act alone, to execute and file with the Securities and Exchange Commission and any stock exchange or similar authority one or more beneficial ownership reports and any and all amendments thereto, together with any and all exhibits relating thereto including this Power of Attorney, in the name and on behalf of the undersigned, disclosing the undersigned’s beneficial ownership of securities of Conduent Incorporated (the “Company”), in connection with Section 16 and any other provisions of the Securities Exchange Act of 1934, as amended, and the rules promulgated thereunder (the “SEC Rules”), which reports, amendments and exhibits shall contain such information as any of Anna Novoseletsky and Michael Fisherman deem appropriate. The undersigned hereby grants to each such attorney-in-fact full power and authority to do and perform each and every act and thing whatsoever that said attorney or attorneys may deem necessary or advisable to carry out fully the intent of the foregoing as the undersigned might or could do personally. The undersigned acknowledges that none of the foregoing attorneys-in-fact, in serving in such capacity, which the undersigned acknowledges is at the request of the undersigned, is assuming, nor is the Company assuming, any of the undersigned’s responsibilities to comply with the SEC Rules. This Power of Attorney shall remain in full force and effect with respect to each of the foregoing attorneys-in-fact until the undersigned is no longer required to file any of the aforementioned reports under the SEC Rules, unless earlier revoked by the undersigned in a signed writing delivered to the applicable attorney-in-fact. This Power of Attorney revokes, replaces and supersedes all prior Powers of Attorney related to the filings under the SEC Rules with respect to the undersigned’s holdings and transactions in securities relating to the Company. IN WITNESS WHEREOF, the undersigned has executed this Power of Attorney as of the 3rd day of August , 2026. ___________________________________________________________ [Signature] Giles Goodburn Docusign Envelope ID: 27BE288C-98F2-8F47-8308-B2ACC5DB7ED1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7968" TargetMode="External"/><Relationship Id="rId5" Type="http://schemas.openxmlformats.org/officeDocument/2006/relationships/hyperlink" Target="http://www.sec.gov/cgi-bin/browse-edgar?action=getcompany&amp;CIK=00016777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925</Words>
  <Characters>5147</Characters>
  <CharactersWithSpaces>6005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goodburncndtpowerofattor</dc:title>
</cp:coreProperties>
</file>