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color w:val="auto"/>
        </w:rPr>
        <w:t>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5"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6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00" w:hanging="417"/>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94"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June 30, 2024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5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560" w:hanging="377"/>
        <w:spacing w:after="0"/>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85" w:lineRule="exact"/>
        <w:rPr>
          <w:sz w:val="24"/>
          <w:szCs w:val="24"/>
          <w:color w:val="auto"/>
        </w:rPr>
      </w:pPr>
    </w:p>
    <w:p>
      <w:pPr>
        <w:ind w:left="660"/>
        <w:spacing w:after="0"/>
        <w:tabs>
          <w:tab w:leader="none" w:pos="4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120650</wp:posOffset>
            </wp:positionV>
            <wp:extent cx="131127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CONDUENT INCORPORATED</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264" w:right="339" w:bottom="1440" w:gutter="0" w:footer="0" w:header="0"/>
        </w:sectPr>
      </w:pPr>
    </w:p>
    <w:p>
      <w:pPr>
        <w:spacing w:after="0" w:line="31" w:lineRule="exact"/>
        <w:rPr>
          <w:sz w:val="24"/>
          <w:szCs w:val="24"/>
          <w:color w:val="auto"/>
        </w:rPr>
      </w:pPr>
    </w:p>
    <w:p>
      <w:pPr>
        <w:ind w:left="176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81-2983623</w:t>
      </w:r>
    </w:p>
    <w:p>
      <w:pPr>
        <w:spacing w:after="0" w:line="32" w:lineRule="exact"/>
        <w:rPr>
          <w:sz w:val="24"/>
          <w:szCs w:val="24"/>
          <w:color w:val="auto"/>
        </w:rPr>
      </w:pPr>
    </w:p>
    <w:p>
      <w:pPr>
        <w:sectPr>
          <w:pgSz w:w="11900" w:h="16838" w:orient="portrait"/>
          <w:cols w:equalWidth="0" w:num="2">
            <w:col w:w="7940" w:space="720"/>
            <w:col w:w="2580"/>
          </w:cols>
          <w:pgMar w:left="320" w:top="264" w:right="339" w:bottom="1440" w:gutter="0" w:footer="0" w:header="0"/>
          <w:type w:val="continuous"/>
        </w:sectPr>
      </w:pPr>
    </w:p>
    <w:p>
      <w:pPr>
        <w:ind w:left="1160"/>
        <w:spacing w:after="0"/>
        <w:rPr>
          <w:sz w:val="20"/>
          <w:szCs w:val="20"/>
          <w:color w:val="auto"/>
        </w:rPr>
      </w:pPr>
      <w:r>
        <w:rPr>
          <w:rFonts w:ascii="Arial" w:cs="Arial" w:eastAsia="Arial" w:hAnsi="Arial"/>
          <w:sz w:val="14"/>
          <w:szCs w:val="14"/>
          <w:b w:val="1"/>
          <w:bCs w:val="1"/>
          <w:color w:val="auto"/>
        </w:rPr>
        <w:t>(State or other jurisdiction of</w:t>
      </w:r>
    </w:p>
    <w:p>
      <w:pPr>
        <w:ind w:left="11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4"/>
          <w:szCs w:val="14"/>
          <w:b w:val="1"/>
          <w:bCs w:val="1"/>
          <w:color w:val="auto"/>
        </w:rPr>
        <w:t>(IRS Employer</w:t>
      </w:r>
    </w:p>
    <w:p>
      <w:pPr>
        <w:jc w:val="center"/>
        <w:ind w:right="1500"/>
        <w:spacing w:after="0"/>
        <w:rPr>
          <w:sz w:val="20"/>
          <w:szCs w:val="20"/>
          <w:color w:val="auto"/>
        </w:rPr>
      </w:pPr>
      <w:r>
        <w:rPr>
          <w:rFonts w:ascii="Arial" w:cs="Arial" w:eastAsia="Arial" w:hAnsi="Arial"/>
          <w:sz w:val="14"/>
          <w:szCs w:val="14"/>
          <w:b w:val="1"/>
          <w:bCs w:val="1"/>
          <w:color w:val="auto"/>
        </w:rPr>
        <w:t>Identification No.)</w:t>
      </w:r>
    </w:p>
    <w:p>
      <w:pPr>
        <w:spacing w:after="0" w:line="112" w:lineRule="exact"/>
        <w:rPr>
          <w:sz w:val="24"/>
          <w:szCs w:val="24"/>
          <w:color w:val="auto"/>
        </w:rPr>
      </w:pPr>
    </w:p>
    <w:p>
      <w:pPr>
        <w:sectPr>
          <w:pgSz w:w="11900" w:h="16838" w:orient="portrait"/>
          <w:cols w:equalWidth="0" w:num="2">
            <w:col w:w="7800" w:space="720"/>
            <w:col w:w="2720"/>
          </w:cols>
          <w:pgMar w:left="320" w:top="264" w:right="339" w:bottom="1440" w:gutter="0" w:footer="0" w:header="0"/>
          <w:type w:val="continuous"/>
        </w:sectPr>
      </w:pPr>
    </w:p>
    <w:p>
      <w:pPr>
        <w:ind w:left="920" w:hanging="323"/>
        <w:spacing w:after="0" w:line="292" w:lineRule="auto"/>
        <w:rPr>
          <w:sz w:val="20"/>
          <w:szCs w:val="20"/>
          <w:color w:val="auto"/>
        </w:rPr>
      </w:pPr>
      <w:r>
        <w:rPr>
          <w:rFonts w:ascii="Arial" w:cs="Arial" w:eastAsia="Arial" w:hAnsi="Arial"/>
          <w:sz w:val="17"/>
          <w:szCs w:val="17"/>
          <w:b w:val="1"/>
          <w:bCs w:val="1"/>
          <w:color w:val="auto"/>
        </w:rPr>
        <w:t>100 Campus Drive, Florham Park,</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Arial" w:cs="Arial" w:eastAsia="Arial" w:hAnsi="Arial"/>
          <w:sz w:val="17"/>
          <w:szCs w:val="17"/>
          <w:b w:val="1"/>
          <w:bCs w:val="1"/>
          <w:color w:val="auto"/>
        </w:rPr>
        <w:t>Suite 200,</w:t>
      </w:r>
    </w:p>
    <w:p>
      <w:pPr>
        <w:spacing w:after="0" w:line="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Jersey</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07932</w:t>
      </w:r>
    </w:p>
    <w:p>
      <w:pPr>
        <w:spacing w:after="0" w:line="51" w:lineRule="exact"/>
        <w:rPr>
          <w:sz w:val="24"/>
          <w:szCs w:val="24"/>
          <w:color w:val="auto"/>
        </w:rPr>
      </w:pPr>
    </w:p>
    <w:p>
      <w:pPr>
        <w:sectPr>
          <w:pgSz w:w="11900" w:h="16838" w:orient="portrait"/>
          <w:cols w:equalWidth="0" w:num="3">
            <w:col w:w="2200" w:space="560"/>
            <w:col w:w="5400" w:space="720"/>
            <w:col w:w="2360"/>
          </w:cols>
          <w:pgMar w:left="320" w:top="264" w:right="339" w:bottom="1440" w:gutter="0" w:footer="0" w:header="0"/>
          <w:type w:val="continuous"/>
        </w:sectPr>
      </w:pPr>
    </w:p>
    <w:p>
      <w:pPr>
        <w:ind w:left="11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6" w:lineRule="exact"/>
        <w:rPr>
          <w:sz w:val="24"/>
          <w:szCs w:val="24"/>
          <w:color w:val="auto"/>
        </w:rPr>
      </w:pPr>
    </w:p>
    <w:p>
      <w:pPr>
        <w:sectPr>
          <w:pgSz w:w="11900" w:h="16838" w:orient="portrait"/>
          <w:cols w:equalWidth="0" w:num="2">
            <w:col w:w="8060" w:space="720"/>
            <w:col w:w="2460"/>
          </w:cols>
          <w:pgMar w:left="320" w:top="26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(844) 663-2638</w:t>
      </w:r>
    </w:p>
    <w:p>
      <w:pPr>
        <w:sectPr>
          <w:pgSz w:w="11900" w:h="16838" w:orient="portrait"/>
          <w:cols w:equalWidth="0" w:num="1">
            <w:col w:w="11240"/>
          </w:cols>
          <w:pgMar w:left="320" w:top="264" w:right="339" w:bottom="1440" w:gutter="0" w:footer="0" w:header="0"/>
          <w:type w:val="continuous"/>
        </w:sectPr>
      </w:pPr>
    </w:p>
    <w:p>
      <w:pPr>
        <w:spacing w:after="0" w:line="36"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(Registrant’s telephone number, including area code)</w:t>
      </w: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64" w:right="33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32" w:lineRule="exact"/>
        <w:rPr>
          <w:sz w:val="24"/>
          <w:szCs w:val="24"/>
          <w:color w:val="auto"/>
        </w:rPr>
      </w:pPr>
    </w:p>
    <w:p>
      <w:pPr>
        <w:sectPr>
          <w:pgSz w:w="11900" w:h="16838" w:orient="portrait"/>
          <w:cols w:equalWidth="0" w:num="3">
            <w:col w:w="4040" w:space="720"/>
            <w:col w:w="1960" w:space="720"/>
            <w:col w:w="3800"/>
          </w:cols>
          <w:pgMar w:left="320" w:top="264" w:right="339" w:bottom="1440" w:gutter="0" w:footer="0" w:header="0"/>
          <w:type w:val="continuous"/>
        </w:sectPr>
      </w:pPr>
    </w:p>
    <w:p>
      <w:pPr>
        <w:ind w:left="740"/>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00" w:lineRule="exact"/>
        <w:rPr>
          <w:sz w:val="24"/>
          <w:szCs w:val="24"/>
          <w:color w:val="auto"/>
        </w:rPr>
      </w:pPr>
    </w:p>
    <w:p>
      <w:pPr>
        <w:sectPr>
          <w:pgSz w:w="11900" w:h="16838" w:orient="portrait"/>
          <w:cols w:equalWidth="0" w:num="3">
            <w:col w:w="4380" w:space="720"/>
            <w:col w:w="1760" w:space="720"/>
            <w:col w:w="3660"/>
          </w:cols>
          <w:pgMar w:left="320" w:top="264" w:right="339" w:bottom="1440" w:gutter="0" w:footer="0" w:header="0"/>
          <w:type w:val="continuous"/>
        </w:sectPr>
      </w:pPr>
    </w:p>
    <w:p>
      <w:pPr>
        <w:ind w:right="300" w:firstLine="162"/>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6" w:lineRule="exact"/>
        <w:rPr>
          <w:sz w:val="24"/>
          <w:szCs w:val="24"/>
          <w:color w:val="auto"/>
        </w:rPr>
      </w:pPr>
    </w:p>
    <w:p>
      <w:pPr>
        <w:ind w:right="320" w:firstLine="162"/>
        <w:spacing w:after="0" w:line="266"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23" w:lineRule="exact"/>
        <w:rPr>
          <w:sz w:val="24"/>
          <w:szCs w:val="24"/>
          <w:color w:val="auto"/>
        </w:rPr>
      </w:pPr>
    </w:p>
    <w:p>
      <w:pPr>
        <w:ind w:right="20" w:firstLine="162"/>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20"/>
        <w:spacing w:after="0" w:line="181" w:lineRule="exact"/>
        <w:tabs>
          <w:tab w:leader="none" w:pos="1960" w:val="left"/>
          <w:tab w:leader="none" w:pos="2420" w:val="left"/>
          <w:tab w:leader="none" w:pos="3740" w:val="left"/>
          <w:tab w:leader="none" w:pos="4220" w:val="left"/>
          <w:tab w:leader="none" w:pos="5880" w:val="left"/>
          <w:tab w:leader="none" w:pos="6380" w:val="left"/>
          <w:tab w:leader="none" w:pos="8340" w:val="left"/>
          <w:tab w:leader="none" w:pos="8860" w:val="left"/>
          <w:tab w:leader="none" w:pos="109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99" w:lineRule="exact"/>
        <w:rPr>
          <w:sz w:val="24"/>
          <w:szCs w:val="24"/>
          <w:color w:val="auto"/>
        </w:rPr>
      </w:pPr>
    </w:p>
    <w:p>
      <w:pPr>
        <w:ind w:right="160" w:firstLine="162"/>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80"/>
        <w:spacing w:after="0" w:line="184" w:lineRule="exact"/>
        <w:tabs>
          <w:tab w:leader="none" w:pos="9100" w:val="left"/>
        </w:tabs>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1760" w:type="dxa"/>
            <w:vAlign w:val="bottom"/>
            <w:tcBorders>
              <w:bottom w:val="single" w:sz="8" w:color="auto"/>
            </w:tcBorders>
          </w:tcPr>
          <w:p>
            <w:pPr>
              <w:ind w:left="1320"/>
              <w:spacing w:after="0"/>
              <w:rPr>
                <w:sz w:val="20"/>
                <w:szCs w:val="20"/>
                <w:color w:val="auto"/>
              </w:rPr>
            </w:pPr>
            <w:r>
              <w:rPr>
                <w:rFonts w:ascii="Arial" w:cs="Arial" w:eastAsia="Arial" w:hAnsi="Arial"/>
                <w:sz w:val="16"/>
                <w:szCs w:val="16"/>
                <w:b w:val="1"/>
                <w:bCs w:val="1"/>
                <w:color w:val="auto"/>
                <w:w w:val="98"/>
              </w:rPr>
              <w:t>Class</w:t>
            </w:r>
          </w:p>
        </w:tc>
        <w:tc>
          <w:tcPr>
            <w:tcW w:w="1320" w:type="dxa"/>
            <w:vAlign w:val="bottom"/>
            <w:tcBorders>
              <w:bottom w:val="single" w:sz="8" w:color="auto"/>
            </w:tcBorders>
          </w:tcPr>
          <w:p>
            <w:pPr>
              <w:spacing w:after="0"/>
              <w:rPr>
                <w:sz w:val="18"/>
                <w:szCs w:val="18"/>
                <w:color w:val="auto"/>
              </w:rPr>
            </w:pPr>
          </w:p>
        </w:tc>
        <w:tc>
          <w:tcPr>
            <w:tcW w:w="4660" w:type="dxa"/>
            <w:vAlign w:val="bottom"/>
          </w:tcPr>
          <w:p>
            <w:pPr>
              <w:spacing w:after="0"/>
              <w:rPr>
                <w:sz w:val="18"/>
                <w:szCs w:val="18"/>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Outstanding at July 31, 2024</w:t>
            </w:r>
          </w:p>
        </w:tc>
      </w:tr>
      <w:tr>
        <w:trPr>
          <w:trHeight w:val="208"/>
        </w:trPr>
        <w:tc>
          <w:tcPr>
            <w:tcW w:w="176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320" w:type="dxa"/>
            <w:vAlign w:val="bottom"/>
          </w:tcPr>
          <w:p>
            <w:pPr>
              <w:spacing w:after="0"/>
              <w:rPr>
                <w:sz w:val="20"/>
                <w:szCs w:val="20"/>
                <w:color w:val="auto"/>
              </w:rPr>
            </w:pPr>
            <w:r>
              <w:rPr>
                <w:rFonts w:ascii="Arial" w:cs="Arial" w:eastAsia="Arial" w:hAnsi="Arial"/>
                <w:sz w:val="16"/>
                <w:szCs w:val="16"/>
                <w:color w:val="auto"/>
              </w:rPr>
              <w:t>$0.01 par value</w:t>
            </w:r>
          </w:p>
        </w:tc>
        <w:tc>
          <w:tcPr>
            <w:tcW w:w="4660" w:type="dxa"/>
            <w:vAlign w:val="bottom"/>
          </w:tcPr>
          <w:p>
            <w:pPr>
              <w:spacing w:after="0"/>
              <w:rPr>
                <w:sz w:val="18"/>
                <w:szCs w:val="18"/>
                <w:color w:val="auto"/>
              </w:rPr>
            </w:pPr>
          </w:p>
        </w:tc>
        <w:tc>
          <w:tcPr>
            <w:tcW w:w="3500" w:type="dxa"/>
            <w:vAlign w:val="bottom"/>
          </w:tcPr>
          <w:p>
            <w:pPr>
              <w:jc w:val="right"/>
              <w:ind w:right="1222"/>
              <w:spacing w:after="0"/>
              <w:rPr>
                <w:sz w:val="20"/>
                <w:szCs w:val="20"/>
                <w:color w:val="auto"/>
              </w:rPr>
            </w:pPr>
            <w:r>
              <w:rPr>
                <w:rFonts w:ascii="Arial" w:cs="Arial" w:eastAsia="Arial" w:hAnsi="Arial"/>
                <w:sz w:val="16"/>
                <w:szCs w:val="16"/>
                <w:color w:val="auto"/>
              </w:rPr>
              <w:t>162,398,252</w:t>
            </w:r>
          </w:p>
        </w:tc>
      </w:tr>
      <w:tr>
        <w:trPr>
          <w:trHeight w:val="398"/>
        </w:trPr>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500" w:type="dxa"/>
            <w:vAlign w:val="bottom"/>
          </w:tcPr>
          <w:p>
            <w:pPr>
              <w:ind w:left="1760"/>
              <w:spacing w:after="0"/>
              <w:rPr>
                <w:sz w:val="20"/>
                <w:szCs w:val="20"/>
                <w:color w:val="auto"/>
              </w:rPr>
            </w:pPr>
            <w:r>
              <w:rPr>
                <w:rFonts w:ascii="Arial" w:cs="Arial" w:eastAsia="Arial" w:hAnsi="Arial"/>
                <w:sz w:val="14"/>
                <w:szCs w:val="14"/>
                <w:color w:val="3051F2"/>
              </w:rPr>
              <w:t>CNDT Q2 2024 Form 10-Q</w:t>
            </w:r>
          </w:p>
        </w:tc>
      </w:tr>
      <w:tr>
        <w:trPr>
          <w:trHeight w:val="690"/>
        </w:trPr>
        <w:tc>
          <w:tcPr>
            <w:tcW w:w="17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FORWARD-LOOKING STATEMENTS</w:t>
      </w:r>
    </w:p>
    <w:p>
      <w:pPr>
        <w:spacing w:after="0" w:line="104"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This Quarterly Report on Form 10-Q ("Form 10-Q") and any exhibits to this Form 10-Q may contain "forward-looking statements" as defined in the Private Securities Litigation Reform Act of 1995 (the "Litigation Reform Act"). These forward-looking statements and other information are based on our beliefs as well as assumptions made by us using information currently available. The words “anticipate,” “believe,” “estimate,” “expect,” "plan," “intend,” “will,” “aim,” “should,” “could,” “forecast,” “target,” “may,” "continue to," "endeavor," "if,” “growing,” “projected,” “potential,” “likely,” "see," "ahead," "further," "going forward," "on the horizon," "in the process of," and similar expressions (including the negative and plural forms of such words and phrases), as they relate to us, are intended to identify forward-looking statements, but the absence of these words does not mean that a statement is not forward-looking.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and could materially adversely affect our business, financial condition, results of operations, cash flows and liquidity.</w:t>
      </w:r>
    </w:p>
    <w:p>
      <w:pPr>
        <w:spacing w:after="0" w:line="7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Important factors and uncertainties that could cause our actual results to differ materially from those in our forward-looking statements include, but are not limited to: risks related to pending dispositions, including the Company’s ability to realize the benefits anticipated from the sale of the Company’s Casualty Claims Solutions business to MedRisk, including as a result of a delay or failure to obtain certain required regulatory approvals or the failure of any other condition to the closing of the transaction such that the closing of the transaction is delayed or does not occur; unexpected costs, liabilities or delays in connection with the proposed transaction; the significant transaction costs associated with the proposed transaction; negative effects of the announcement, pendency or consummation of the transaction on the market price of our common stock or operating results, including as a result of changes in key customer, supplier, employee or other business relationships; the risk of litigation or regulatory actions; our inability to retain and hire key personnel; the risk that certain contractual restrictions contained in the definitive transaction agreement during the pendency of the proposed transaction could adversely affect our ability to pursue business opportunities or strategic transactions; risks related to recently completed dispositions including the transfer of the Company’s BenefitWallet’s HSA, MSA and flexible spending account portfolio (the “BenefitWallet Transfer”) and the sale of the Company’s Curbside Management and Public Safety Solutions businesses, including but not limited to the Company’s ability to realize the benefits anticipated from such transactions, unexpected costs, liabilities or delays in connection with such transactions, and the significant transaction costs associated with such transactions; government appropriations and termination rights contained in our government contracts; the competitiveness of the markets in which we operate and our ability to renew commercial and government contracts, including contracts awarded through competitive bidding processes; our ability to recover capital and other investments in connection with our contracts; risk and impact of geopolitical events and increasing geopolitical tensions (such as the wars in the Ukraine and Israel), macroeconomic conditions, natural disasters and other factors in a particular country or region on our workforce, customers and vendors; our reliance on third-party providers; our ability to deliver on our contractual obligations properly and on time; changes in interest in outsourced business process services;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expectations relating to environmental, social and governance considerations; utilization of our stock repurchase program;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our ability to comply with data security standards; developments in various contingent liabilities that are not reflected on our balance sheet, including those arising as a result of being involved in a variety of claims, lawsuits, investigations and proceedings; risks related to divestitures and acquisitions; risk and impact of potential goodwill and other asset impairments; our significant indebtedness and the terms of such indebtedness; our failure to obtain or maintain a satisfactory credit rating and financial performance;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our ability to receive dividends and other payments from our subsidiaries; and other factors that are set forth in the “Risk Factors” section, the “Legal Proceedings” section, the “Management's Discussion and Analysis of Financial Condition and Results of Operations” section and other sections of this Form 10-Q as well as in our 2023 Annual Report on Form 10-K and any subsequent Quarterly Report on Form 10-Q and Current Report on Form 8-K filed (or furnished) with the Securities and Exchange Commission (the "SEC"). Any forward-looking statements made by us in this Form 10-Q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0" w:lineRule="exact"/>
        <w:rPr>
          <w:sz w:val="20"/>
          <w:szCs w:val="20"/>
          <w:color w:val="auto"/>
        </w:rPr>
      </w:pPr>
    </w:p>
    <w:p>
      <w:pPr>
        <w:spacing w:after="0" w:line="305"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 w:name="page3"/>
    <w:bookmarkEnd w:id="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CONDUENT INCORPORATED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260" w:type="dxa"/>
            <w:vAlign w:val="bottom"/>
          </w:tcPr>
          <w:p>
            <w:pPr>
              <w:spacing w:after="0"/>
              <w:rPr>
                <w:sz w:val="20"/>
                <w:szCs w:val="20"/>
                <w:color w:val="auto"/>
              </w:rPr>
            </w:pPr>
            <w:r>
              <w:rPr>
                <w:rFonts w:ascii="Arial" w:cs="Arial" w:eastAsia="Arial" w:hAnsi="Arial"/>
                <w:sz w:val="18"/>
                <w:szCs w:val="18"/>
                <w:b w:val="1"/>
                <w:bCs w:val="1"/>
                <w:color w:val="1269BC"/>
              </w:rPr>
              <w:t>FORM 10-Q</w:t>
            </w:r>
          </w:p>
        </w:tc>
        <w:tc>
          <w:tcPr>
            <w:tcW w:w="86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459"/>
        </w:trPr>
        <w:tc>
          <w:tcPr>
            <w:tcW w:w="1260" w:type="dxa"/>
            <w:vAlign w:val="bottom"/>
          </w:tcPr>
          <w:p>
            <w:pPr>
              <w:spacing w:after="0"/>
              <w:rPr>
                <w:sz w:val="20"/>
                <w:szCs w:val="20"/>
                <w:color w:val="auto"/>
              </w:rPr>
            </w:pPr>
            <w:r>
              <w:rPr>
                <w:rFonts w:ascii="Arial" w:cs="Arial" w:eastAsia="Arial" w:hAnsi="Arial"/>
                <w:sz w:val="18"/>
                <w:szCs w:val="18"/>
                <w:b w:val="1"/>
                <w:bCs w:val="1"/>
                <w:color w:val="1269BC"/>
              </w:rPr>
              <w:t>June 30, 2024</w:t>
            </w:r>
          </w:p>
        </w:tc>
        <w:tc>
          <w:tcPr>
            <w:tcW w:w="8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1260" w:type="dxa"/>
            <w:vAlign w:val="bottom"/>
          </w:tcPr>
          <w:p>
            <w:pPr>
              <w:spacing w:after="0"/>
              <w:rPr>
                <w:sz w:val="24"/>
                <w:szCs w:val="24"/>
                <w:color w:val="auto"/>
              </w:rPr>
            </w:pPr>
          </w:p>
        </w:tc>
        <w:tc>
          <w:tcPr>
            <w:tcW w:w="8620" w:type="dxa"/>
            <w:vAlign w:val="bottom"/>
          </w:tcPr>
          <w:p>
            <w:pPr>
              <w:ind w:left="3400"/>
              <w:spacing w:after="0"/>
              <w:rPr>
                <w:sz w:val="20"/>
                <w:szCs w:val="20"/>
                <w:color w:val="auto"/>
              </w:rPr>
            </w:pPr>
            <w:r>
              <w:rPr>
                <w:rFonts w:ascii="Arial" w:cs="Arial" w:eastAsia="Arial" w:hAnsi="Arial"/>
                <w:sz w:val="18"/>
                <w:szCs w:val="18"/>
                <w:b w:val="1"/>
                <w:bCs w:val="1"/>
                <w:color w:val="1269BC"/>
              </w:rPr>
              <w:t>TABLE OF CONTENTS</w:t>
            </w:r>
          </w:p>
        </w:tc>
        <w:tc>
          <w:tcPr>
            <w:tcW w:w="1340" w:type="dxa"/>
            <w:vAlign w:val="bottom"/>
          </w:tcPr>
          <w:p>
            <w:pPr>
              <w:spacing w:after="0"/>
              <w:rPr>
                <w:sz w:val="24"/>
                <w:szCs w:val="24"/>
                <w:color w:val="auto"/>
              </w:rPr>
            </w:pPr>
          </w:p>
        </w:tc>
      </w:tr>
      <w:tr>
        <w:trPr>
          <w:trHeight w:val="461"/>
        </w:trPr>
        <w:tc>
          <w:tcPr>
            <w:tcW w:w="1260" w:type="dxa"/>
            <w:vAlign w:val="bottom"/>
            <w:tcBorders>
              <w:bottom w:val="single" w:sz="8" w:color="CCEEFF"/>
            </w:tcBorders>
          </w:tcPr>
          <w:p>
            <w:pPr>
              <w:spacing w:after="0"/>
              <w:rPr>
                <w:sz w:val="24"/>
                <w:szCs w:val="24"/>
                <w:color w:val="auto"/>
              </w:rPr>
            </w:pPr>
          </w:p>
        </w:tc>
        <w:tc>
          <w:tcPr>
            <w:tcW w:w="86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661DE8"/>
              </w:rPr>
              <w:t>Page</w:t>
            </w:r>
          </w:p>
        </w:tc>
      </w:tr>
      <w:tr>
        <w:trPr>
          <w:trHeight w:val="210"/>
        </w:trPr>
        <w:tc>
          <w:tcPr>
            <w:tcW w:w="9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0000FF"/>
              </w:rPr>
              <w:t>Part I — Financial Information</w:t>
            </w:r>
          </w:p>
        </w:tc>
        <w:tc>
          <w:tcPr>
            <w:tcW w:w="1340" w:type="dxa"/>
            <w:vAlign w:val="bottom"/>
            <w:shd w:val="clear" w:color="auto" w:fill="CCEEFF"/>
          </w:tcPr>
          <w:p>
            <w:pPr>
              <w:spacing w:after="0"/>
              <w:rPr>
                <w:sz w:val="18"/>
                <w:szCs w:val="18"/>
                <w:color w:val="auto"/>
              </w:rPr>
            </w:pPr>
          </w:p>
        </w:tc>
      </w:tr>
      <w:tr>
        <w:trPr>
          <w:trHeight w:val="229"/>
        </w:trPr>
        <w:tc>
          <w:tcPr>
            <w:tcW w:w="1260" w:type="dxa"/>
            <w:vAlign w:val="bottom"/>
          </w:tcPr>
          <w:p>
            <w:pPr>
              <w:ind w:left="20"/>
              <w:spacing w:after="0"/>
              <w:rPr>
                <w:sz w:val="20"/>
                <w:szCs w:val="20"/>
                <w:color w:val="auto"/>
              </w:rPr>
            </w:pPr>
            <w:r>
              <w:rPr>
                <w:rFonts w:ascii="Arial" w:cs="Arial" w:eastAsia="Arial" w:hAnsi="Arial"/>
                <w:sz w:val="18"/>
                <w:szCs w:val="18"/>
                <w:color w:val="0000FF"/>
              </w:rPr>
              <w:t>Item 1.</w:t>
            </w:r>
          </w:p>
        </w:tc>
        <w:tc>
          <w:tcPr>
            <w:tcW w:w="8620" w:type="dxa"/>
            <w:vAlign w:val="bottom"/>
          </w:tcPr>
          <w:p>
            <w:pPr>
              <w:ind w:left="80"/>
              <w:spacing w:after="0"/>
              <w:rPr>
                <w:sz w:val="20"/>
                <w:szCs w:val="20"/>
                <w:color w:val="auto"/>
              </w:rPr>
            </w:pPr>
            <w:r>
              <w:rPr>
                <w:rFonts w:ascii="Arial" w:cs="Arial" w:eastAsia="Arial" w:hAnsi="Arial"/>
                <w:sz w:val="18"/>
                <w:szCs w:val="18"/>
                <w:color w:val="0000FF"/>
              </w:rPr>
              <w:t>Financial Statements (Unaudited)</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w:t>
            </w:r>
          </w:p>
        </w:tc>
      </w:tr>
      <w:tr>
        <w:trPr>
          <w:trHeight w:val="229"/>
        </w:trPr>
        <w:tc>
          <w:tcPr>
            <w:tcW w:w="1260" w:type="dxa"/>
            <w:vAlign w:val="bottom"/>
            <w:shd w:val="clear" w:color="auto" w:fill="CCEEFF"/>
          </w:tcPr>
          <w:p>
            <w:pPr>
              <w:spacing w:after="0"/>
              <w:rPr>
                <w:sz w:val="19"/>
                <w:szCs w:val="19"/>
                <w:color w:val="auto"/>
              </w:rPr>
            </w:pPr>
          </w:p>
        </w:tc>
        <w:tc>
          <w:tcPr>
            <w:tcW w:w="8620" w:type="dxa"/>
            <w:vAlign w:val="bottom"/>
            <w:shd w:val="clear" w:color="auto" w:fill="CCEEFF"/>
          </w:tcPr>
          <w:p>
            <w:pPr>
              <w:ind w:left="80"/>
              <w:spacing w:after="0"/>
              <w:rPr>
                <w:sz w:val="20"/>
                <w:szCs w:val="20"/>
                <w:color w:val="auto"/>
              </w:rPr>
            </w:pPr>
            <w:r>
              <w:rPr>
                <w:rFonts w:ascii="Arial" w:cs="Arial" w:eastAsia="Arial" w:hAnsi="Arial"/>
                <w:sz w:val="18"/>
                <w:szCs w:val="18"/>
                <w:color w:val="0000FF"/>
              </w:rPr>
              <w:t>Condensed Consolidated Statements of Income (Loss)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w:t>
            </w:r>
          </w:p>
        </w:tc>
      </w:tr>
      <w:tr>
        <w:trPr>
          <w:trHeight w:val="230"/>
        </w:trPr>
        <w:tc>
          <w:tcPr>
            <w:tcW w:w="1260" w:type="dxa"/>
            <w:vAlign w:val="bottom"/>
          </w:tcPr>
          <w:p>
            <w:pPr>
              <w:spacing w:after="0"/>
              <w:rPr>
                <w:sz w:val="19"/>
                <w:szCs w:val="19"/>
                <w:color w:val="auto"/>
              </w:rPr>
            </w:pPr>
          </w:p>
        </w:tc>
        <w:tc>
          <w:tcPr>
            <w:tcW w:w="8620" w:type="dxa"/>
            <w:vAlign w:val="bottom"/>
          </w:tcPr>
          <w:p>
            <w:pPr>
              <w:ind w:left="80"/>
              <w:spacing w:after="0"/>
              <w:rPr>
                <w:sz w:val="20"/>
                <w:szCs w:val="20"/>
                <w:color w:val="auto"/>
              </w:rPr>
            </w:pPr>
            <w:r>
              <w:rPr>
                <w:rFonts w:ascii="Arial" w:cs="Arial" w:eastAsia="Arial" w:hAnsi="Arial"/>
                <w:sz w:val="18"/>
                <w:szCs w:val="18"/>
                <w:color w:val="0000FF"/>
              </w:rPr>
              <w:t>Condensed Consolidated Statements of Comprehensive Income (Loss)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4</w:t>
            </w:r>
          </w:p>
        </w:tc>
      </w:tr>
      <w:tr>
        <w:trPr>
          <w:trHeight w:val="229"/>
        </w:trPr>
        <w:tc>
          <w:tcPr>
            <w:tcW w:w="1260" w:type="dxa"/>
            <w:vAlign w:val="bottom"/>
            <w:shd w:val="clear" w:color="auto" w:fill="CCEEFF"/>
          </w:tcPr>
          <w:p>
            <w:pPr>
              <w:spacing w:after="0"/>
              <w:rPr>
                <w:sz w:val="19"/>
                <w:szCs w:val="19"/>
                <w:color w:val="auto"/>
              </w:rPr>
            </w:pPr>
          </w:p>
        </w:tc>
        <w:tc>
          <w:tcPr>
            <w:tcW w:w="8620" w:type="dxa"/>
            <w:vAlign w:val="bottom"/>
            <w:shd w:val="clear" w:color="auto" w:fill="CCEEFF"/>
          </w:tcPr>
          <w:p>
            <w:pPr>
              <w:ind w:left="80"/>
              <w:spacing w:after="0"/>
              <w:rPr>
                <w:sz w:val="20"/>
                <w:szCs w:val="20"/>
                <w:color w:val="auto"/>
              </w:rPr>
            </w:pPr>
            <w:r>
              <w:rPr>
                <w:rFonts w:ascii="Arial" w:cs="Arial" w:eastAsia="Arial" w:hAnsi="Arial"/>
                <w:sz w:val="18"/>
                <w:szCs w:val="18"/>
                <w:color w:val="0000FF"/>
              </w:rPr>
              <w:t>Condensed Consolidated Balance Sheets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5</w:t>
            </w:r>
          </w:p>
        </w:tc>
      </w:tr>
      <w:tr>
        <w:trPr>
          <w:trHeight w:val="229"/>
        </w:trPr>
        <w:tc>
          <w:tcPr>
            <w:tcW w:w="1260" w:type="dxa"/>
            <w:vAlign w:val="bottom"/>
          </w:tcPr>
          <w:p>
            <w:pPr>
              <w:spacing w:after="0"/>
              <w:rPr>
                <w:sz w:val="19"/>
                <w:szCs w:val="19"/>
                <w:color w:val="auto"/>
              </w:rPr>
            </w:pPr>
          </w:p>
        </w:tc>
        <w:tc>
          <w:tcPr>
            <w:tcW w:w="8620" w:type="dxa"/>
            <w:vAlign w:val="bottom"/>
          </w:tcPr>
          <w:p>
            <w:pPr>
              <w:ind w:left="80"/>
              <w:spacing w:after="0"/>
              <w:rPr>
                <w:sz w:val="20"/>
                <w:szCs w:val="20"/>
                <w:color w:val="auto"/>
              </w:rPr>
            </w:pPr>
            <w:r>
              <w:rPr>
                <w:rFonts w:ascii="Arial" w:cs="Arial" w:eastAsia="Arial" w:hAnsi="Arial"/>
                <w:sz w:val="18"/>
                <w:szCs w:val="18"/>
                <w:color w:val="0000FF"/>
              </w:rPr>
              <w:t>Condensed Consolidated Statements of Cash Flows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6</w:t>
            </w:r>
          </w:p>
        </w:tc>
      </w:tr>
      <w:tr>
        <w:trPr>
          <w:trHeight w:val="230"/>
        </w:trPr>
        <w:tc>
          <w:tcPr>
            <w:tcW w:w="1260" w:type="dxa"/>
            <w:vAlign w:val="bottom"/>
            <w:shd w:val="clear" w:color="auto" w:fill="CCEEFF"/>
          </w:tcPr>
          <w:p>
            <w:pPr>
              <w:spacing w:after="0"/>
              <w:rPr>
                <w:sz w:val="19"/>
                <w:szCs w:val="19"/>
                <w:color w:val="auto"/>
              </w:rPr>
            </w:pPr>
          </w:p>
        </w:tc>
        <w:tc>
          <w:tcPr>
            <w:tcW w:w="8620" w:type="dxa"/>
            <w:vAlign w:val="bottom"/>
            <w:shd w:val="clear" w:color="auto" w:fill="CCEEFF"/>
          </w:tcPr>
          <w:p>
            <w:pPr>
              <w:ind w:left="80"/>
              <w:spacing w:after="0"/>
              <w:rPr>
                <w:sz w:val="20"/>
                <w:szCs w:val="20"/>
                <w:color w:val="auto"/>
              </w:rPr>
            </w:pPr>
            <w:r>
              <w:rPr>
                <w:rFonts w:ascii="Arial" w:cs="Arial" w:eastAsia="Arial" w:hAnsi="Arial"/>
                <w:sz w:val="18"/>
                <w:szCs w:val="18"/>
                <w:color w:val="0000FF"/>
              </w:rPr>
              <w:t>Condensed Consolidated Statements of Shareholders' Equity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7</w:t>
            </w:r>
          </w:p>
        </w:tc>
      </w:tr>
      <w:tr>
        <w:trPr>
          <w:trHeight w:val="229"/>
        </w:trPr>
        <w:tc>
          <w:tcPr>
            <w:tcW w:w="1260" w:type="dxa"/>
            <w:vAlign w:val="bottom"/>
          </w:tcPr>
          <w:p>
            <w:pPr>
              <w:spacing w:after="0"/>
              <w:rPr>
                <w:sz w:val="19"/>
                <w:szCs w:val="19"/>
                <w:color w:val="auto"/>
              </w:rPr>
            </w:pPr>
          </w:p>
        </w:tc>
        <w:tc>
          <w:tcPr>
            <w:tcW w:w="8620" w:type="dxa"/>
            <w:vAlign w:val="bottom"/>
          </w:tcPr>
          <w:p>
            <w:pPr>
              <w:ind w:left="80"/>
              <w:spacing w:after="0"/>
              <w:rPr>
                <w:sz w:val="20"/>
                <w:szCs w:val="20"/>
                <w:color w:val="auto"/>
              </w:rPr>
            </w:pPr>
            <w:r>
              <w:rPr>
                <w:rFonts w:ascii="Arial" w:cs="Arial" w:eastAsia="Arial" w:hAnsi="Arial"/>
                <w:sz w:val="18"/>
                <w:szCs w:val="18"/>
                <w:color w:val="0000FF"/>
              </w:rPr>
              <w:t>Notes to the Condensed Consolidated Financial Statements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8</w:t>
            </w:r>
          </w:p>
        </w:tc>
      </w:tr>
      <w:tr>
        <w:trPr>
          <w:trHeight w:val="230"/>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620" w:type="dxa"/>
            <w:vAlign w:val="bottom"/>
            <w:shd w:val="clear" w:color="auto" w:fill="CCEEFF"/>
          </w:tcPr>
          <w:p>
            <w:pPr>
              <w:ind w:left="8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22</w:t>
            </w:r>
          </w:p>
        </w:tc>
      </w:tr>
      <w:tr>
        <w:trPr>
          <w:trHeight w:val="229"/>
        </w:trPr>
        <w:tc>
          <w:tcPr>
            <w:tcW w:w="1260" w:type="dxa"/>
            <w:vAlign w:val="bottom"/>
          </w:tcPr>
          <w:p>
            <w:pPr>
              <w:ind w:left="20"/>
              <w:spacing w:after="0"/>
              <w:rPr>
                <w:sz w:val="20"/>
                <w:szCs w:val="20"/>
                <w:color w:val="auto"/>
              </w:rPr>
            </w:pPr>
            <w:r>
              <w:rPr>
                <w:rFonts w:ascii="Arial" w:cs="Arial" w:eastAsia="Arial" w:hAnsi="Arial"/>
                <w:sz w:val="18"/>
                <w:szCs w:val="18"/>
                <w:color w:val="0000FF"/>
              </w:rPr>
              <w:t>Item 3.</w:t>
            </w:r>
          </w:p>
        </w:tc>
        <w:tc>
          <w:tcPr>
            <w:tcW w:w="8620" w:type="dxa"/>
            <w:vAlign w:val="bottom"/>
          </w:tcPr>
          <w:p>
            <w:pPr>
              <w:ind w:left="80"/>
              <w:spacing w:after="0"/>
              <w:rPr>
                <w:sz w:val="20"/>
                <w:szCs w:val="20"/>
                <w:color w:val="auto"/>
              </w:rPr>
            </w:pPr>
            <w:r>
              <w:rPr>
                <w:rFonts w:ascii="Arial" w:cs="Arial" w:eastAsia="Arial" w:hAnsi="Arial"/>
                <w:sz w:val="18"/>
                <w:szCs w:val="18"/>
                <w:color w:val="0000FF"/>
              </w:rPr>
              <w:t>Quantitative and Qualitative Disclosures About Market Risk</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33</w:t>
            </w:r>
          </w:p>
        </w:tc>
      </w:tr>
      <w:tr>
        <w:trPr>
          <w:trHeight w:val="229"/>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8620" w:type="dxa"/>
            <w:vAlign w:val="bottom"/>
            <w:shd w:val="clear" w:color="auto" w:fill="CCEEFF"/>
          </w:tcPr>
          <w:p>
            <w:pPr>
              <w:ind w:left="80"/>
              <w:spacing w:after="0"/>
              <w:rPr>
                <w:sz w:val="20"/>
                <w:szCs w:val="20"/>
                <w:color w:val="auto"/>
              </w:rPr>
            </w:pPr>
            <w:r>
              <w:rPr>
                <w:rFonts w:ascii="Arial" w:cs="Arial" w:eastAsia="Arial" w:hAnsi="Arial"/>
                <w:sz w:val="18"/>
                <w:szCs w:val="18"/>
                <w:color w:val="0000FF"/>
              </w:rPr>
              <w:t>Controls and Procedures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34</w:t>
            </w:r>
          </w:p>
        </w:tc>
      </w:tr>
      <w:tr>
        <w:trPr>
          <w:trHeight w:val="148"/>
        </w:trPr>
        <w:tc>
          <w:tcPr>
            <w:tcW w:w="988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r>
      <w:tr>
        <w:trPr>
          <w:trHeight w:val="230"/>
        </w:trPr>
        <w:tc>
          <w:tcPr>
            <w:tcW w:w="9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0000FF"/>
              </w:rPr>
              <w:t>Part II — Other Information</w:t>
            </w:r>
          </w:p>
        </w:tc>
        <w:tc>
          <w:tcPr>
            <w:tcW w:w="1340" w:type="dxa"/>
            <w:vAlign w:val="bottom"/>
            <w:shd w:val="clear" w:color="auto" w:fill="CCEEFF"/>
          </w:tcPr>
          <w:p>
            <w:pPr>
              <w:spacing w:after="0"/>
              <w:rPr>
                <w:sz w:val="19"/>
                <w:szCs w:val="19"/>
                <w:color w:val="auto"/>
              </w:rPr>
            </w:pPr>
          </w:p>
        </w:tc>
      </w:tr>
      <w:tr>
        <w:trPr>
          <w:trHeight w:val="162"/>
        </w:trPr>
        <w:tc>
          <w:tcPr>
            <w:tcW w:w="126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0"/>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1.</w:t>
            </w:r>
          </w:p>
        </w:tc>
        <w:tc>
          <w:tcPr>
            <w:tcW w:w="8620" w:type="dxa"/>
            <w:vAlign w:val="bottom"/>
            <w:shd w:val="clear" w:color="auto" w:fill="CCEEFF"/>
          </w:tcPr>
          <w:p>
            <w:pPr>
              <w:ind w:left="80"/>
              <w:spacing w:after="0"/>
              <w:rPr>
                <w:sz w:val="20"/>
                <w:szCs w:val="20"/>
                <w:color w:val="auto"/>
              </w:rPr>
            </w:pPr>
            <w:r>
              <w:rPr>
                <w:rFonts w:ascii="Arial" w:cs="Arial" w:eastAsia="Arial" w:hAnsi="Arial"/>
                <w:sz w:val="18"/>
                <w:szCs w:val="18"/>
                <w:color w:val="0000FF"/>
              </w:rPr>
              <w:t>Legal Proceedings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34</w:t>
            </w:r>
          </w:p>
        </w:tc>
      </w:tr>
      <w:tr>
        <w:trPr>
          <w:trHeight w:val="229"/>
        </w:trPr>
        <w:tc>
          <w:tcPr>
            <w:tcW w:w="1260" w:type="dxa"/>
            <w:vAlign w:val="bottom"/>
          </w:tcPr>
          <w:p>
            <w:pPr>
              <w:ind w:left="20"/>
              <w:spacing w:after="0"/>
              <w:rPr>
                <w:sz w:val="20"/>
                <w:szCs w:val="20"/>
                <w:color w:val="auto"/>
              </w:rPr>
            </w:pPr>
            <w:r>
              <w:rPr>
                <w:rFonts w:ascii="Arial" w:cs="Arial" w:eastAsia="Arial" w:hAnsi="Arial"/>
                <w:sz w:val="18"/>
                <w:szCs w:val="18"/>
                <w:color w:val="0000FF"/>
              </w:rPr>
              <w:t>Item 1A.</w:t>
            </w:r>
          </w:p>
        </w:tc>
        <w:tc>
          <w:tcPr>
            <w:tcW w:w="8620" w:type="dxa"/>
            <w:vAlign w:val="bottom"/>
          </w:tcPr>
          <w:p>
            <w:pPr>
              <w:ind w:left="80"/>
              <w:spacing w:after="0"/>
              <w:rPr>
                <w:sz w:val="20"/>
                <w:szCs w:val="20"/>
                <w:color w:val="auto"/>
              </w:rPr>
            </w:pPr>
            <w:r>
              <w:rPr>
                <w:rFonts w:ascii="Arial" w:cs="Arial" w:eastAsia="Arial" w:hAnsi="Arial"/>
                <w:sz w:val="18"/>
                <w:szCs w:val="18"/>
                <w:color w:val="0000FF"/>
              </w:rPr>
              <w:t>Risk Factors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34</w:t>
            </w:r>
          </w:p>
        </w:tc>
      </w:tr>
      <w:tr>
        <w:trPr>
          <w:trHeight w:val="230"/>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620" w:type="dxa"/>
            <w:vAlign w:val="bottom"/>
            <w:shd w:val="clear" w:color="auto" w:fill="CCEEFF"/>
          </w:tcPr>
          <w:p>
            <w:pPr>
              <w:ind w:left="80"/>
              <w:spacing w:after="0"/>
              <w:rPr>
                <w:sz w:val="20"/>
                <w:szCs w:val="20"/>
                <w:color w:val="auto"/>
              </w:rPr>
            </w:pPr>
            <w:r>
              <w:rPr>
                <w:rFonts w:ascii="Arial" w:cs="Arial" w:eastAsia="Arial" w:hAnsi="Arial"/>
                <w:sz w:val="18"/>
                <w:szCs w:val="18"/>
                <w:color w:val="0000FF"/>
              </w:rPr>
              <w:t>Unregistered Sales of Equity Securities and Use of Proceeds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34</w:t>
            </w:r>
          </w:p>
        </w:tc>
      </w:tr>
      <w:tr>
        <w:trPr>
          <w:trHeight w:val="230"/>
        </w:trPr>
        <w:tc>
          <w:tcPr>
            <w:tcW w:w="1260" w:type="dxa"/>
            <w:vAlign w:val="bottom"/>
          </w:tcPr>
          <w:p>
            <w:pPr>
              <w:ind w:left="20"/>
              <w:spacing w:after="0"/>
              <w:rPr>
                <w:sz w:val="20"/>
                <w:szCs w:val="20"/>
                <w:color w:val="auto"/>
              </w:rPr>
            </w:pPr>
            <w:r>
              <w:rPr>
                <w:rFonts w:ascii="Arial" w:cs="Arial" w:eastAsia="Arial" w:hAnsi="Arial"/>
                <w:sz w:val="18"/>
                <w:szCs w:val="18"/>
                <w:color w:val="0000FF"/>
              </w:rPr>
              <w:t>Item 3.</w:t>
            </w:r>
          </w:p>
        </w:tc>
        <w:tc>
          <w:tcPr>
            <w:tcW w:w="8620" w:type="dxa"/>
            <w:vAlign w:val="bottom"/>
          </w:tcPr>
          <w:p>
            <w:pPr>
              <w:ind w:left="80"/>
              <w:spacing w:after="0"/>
              <w:rPr>
                <w:sz w:val="20"/>
                <w:szCs w:val="20"/>
                <w:color w:val="auto"/>
              </w:rPr>
            </w:pPr>
            <w:r>
              <w:rPr>
                <w:rFonts w:ascii="Arial" w:cs="Arial" w:eastAsia="Arial" w:hAnsi="Arial"/>
                <w:sz w:val="18"/>
                <w:szCs w:val="18"/>
                <w:color w:val="0000FF"/>
              </w:rPr>
              <w:t>Defaults Upon Senior Securities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35</w:t>
            </w:r>
          </w:p>
        </w:tc>
      </w:tr>
      <w:tr>
        <w:trPr>
          <w:trHeight w:val="229"/>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8620" w:type="dxa"/>
            <w:vAlign w:val="bottom"/>
            <w:shd w:val="clear" w:color="auto" w:fill="CCEEFF"/>
          </w:tcPr>
          <w:p>
            <w:pPr>
              <w:ind w:left="80"/>
              <w:spacing w:after="0"/>
              <w:rPr>
                <w:sz w:val="20"/>
                <w:szCs w:val="20"/>
                <w:color w:val="auto"/>
              </w:rPr>
            </w:pPr>
            <w:r>
              <w:rPr>
                <w:rFonts w:ascii="Arial" w:cs="Arial" w:eastAsia="Arial" w:hAnsi="Arial"/>
                <w:sz w:val="18"/>
                <w:szCs w:val="18"/>
                <w:color w:val="0000FF"/>
              </w:rPr>
              <w:t>Mine Safety Disclosures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35</w:t>
            </w:r>
          </w:p>
        </w:tc>
      </w:tr>
      <w:tr>
        <w:trPr>
          <w:trHeight w:val="230"/>
        </w:trPr>
        <w:tc>
          <w:tcPr>
            <w:tcW w:w="1260" w:type="dxa"/>
            <w:vAlign w:val="bottom"/>
          </w:tcPr>
          <w:p>
            <w:pPr>
              <w:ind w:left="20"/>
              <w:spacing w:after="0"/>
              <w:rPr>
                <w:sz w:val="20"/>
                <w:szCs w:val="20"/>
                <w:color w:val="auto"/>
              </w:rPr>
            </w:pPr>
            <w:r>
              <w:rPr>
                <w:rFonts w:ascii="Arial" w:cs="Arial" w:eastAsia="Arial" w:hAnsi="Arial"/>
                <w:sz w:val="18"/>
                <w:szCs w:val="18"/>
                <w:color w:val="0000FF"/>
              </w:rPr>
              <w:t>Item 5.</w:t>
            </w:r>
          </w:p>
        </w:tc>
        <w:tc>
          <w:tcPr>
            <w:tcW w:w="8620" w:type="dxa"/>
            <w:vAlign w:val="bottom"/>
          </w:tcPr>
          <w:p>
            <w:pPr>
              <w:ind w:left="80"/>
              <w:spacing w:after="0"/>
              <w:rPr>
                <w:sz w:val="20"/>
                <w:szCs w:val="20"/>
                <w:color w:val="auto"/>
              </w:rPr>
            </w:pPr>
            <w:r>
              <w:rPr>
                <w:rFonts w:ascii="Arial" w:cs="Arial" w:eastAsia="Arial" w:hAnsi="Arial"/>
                <w:sz w:val="18"/>
                <w:szCs w:val="18"/>
                <w:color w:val="0000FF"/>
              </w:rPr>
              <w:t>Other Information</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35</w:t>
            </w:r>
          </w:p>
        </w:tc>
      </w:tr>
      <w:tr>
        <w:trPr>
          <w:trHeight w:val="230"/>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6.</w:t>
            </w:r>
          </w:p>
        </w:tc>
        <w:tc>
          <w:tcPr>
            <w:tcW w:w="8620" w:type="dxa"/>
            <w:vAlign w:val="bottom"/>
            <w:shd w:val="clear" w:color="auto" w:fill="CCEEFF"/>
          </w:tcPr>
          <w:p>
            <w:pPr>
              <w:ind w:left="80"/>
              <w:spacing w:after="0"/>
              <w:rPr>
                <w:sz w:val="20"/>
                <w:szCs w:val="20"/>
                <w:color w:val="auto"/>
              </w:rPr>
            </w:pPr>
            <w:r>
              <w:rPr>
                <w:rFonts w:ascii="Arial" w:cs="Arial" w:eastAsia="Arial" w:hAnsi="Arial"/>
                <w:sz w:val="18"/>
                <w:szCs w:val="18"/>
                <w:color w:val="0000FF"/>
              </w:rPr>
              <w:t>Exhibits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36</w:t>
            </w:r>
          </w:p>
        </w:tc>
      </w:tr>
      <w:tr>
        <w:trPr>
          <w:trHeight w:val="247"/>
        </w:trPr>
        <w:tc>
          <w:tcPr>
            <w:tcW w:w="1260" w:type="dxa"/>
            <w:vAlign w:val="bottom"/>
          </w:tcPr>
          <w:p>
            <w:pPr>
              <w:ind w:left="20"/>
              <w:spacing w:after="0"/>
              <w:rPr>
                <w:sz w:val="20"/>
                <w:szCs w:val="20"/>
                <w:color w:val="auto"/>
              </w:rPr>
            </w:pPr>
            <w:r>
              <w:rPr>
                <w:rFonts w:ascii="Arial" w:cs="Arial" w:eastAsia="Arial" w:hAnsi="Arial"/>
                <w:sz w:val="18"/>
                <w:szCs w:val="18"/>
                <w:b w:val="1"/>
                <w:bCs w:val="1"/>
                <w:color w:val="0000FF"/>
              </w:rPr>
              <w:t>Signatures</w:t>
            </w:r>
          </w:p>
        </w:tc>
        <w:tc>
          <w:tcPr>
            <w:tcW w:w="86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37</w:t>
            </w:r>
          </w:p>
        </w:tc>
      </w:tr>
    </w:tbl>
    <w:p>
      <w:pPr>
        <w:spacing w:after="0" w:line="30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For additional information about Conduent Incorporated and access to our Annual Reports to Shareholders and SEC filings, free of charge, please visit our website at https://investor.conduent.com/. Any information on or linked from the website is not incorporated by reference into this Form 10-Q.</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 w:name="page4"/>
    <w:bookmarkEnd w:id="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PART I — FINANCIAL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INCOME (LOSS) (UNAUDITED)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2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548"/>
              <w:spacing w:after="0"/>
              <w:rPr>
                <w:sz w:val="20"/>
                <w:szCs w:val="20"/>
                <w:color w:val="auto"/>
              </w:rPr>
            </w:pPr>
            <w:r>
              <w:rPr>
                <w:rFonts w:ascii="Arial" w:cs="Arial" w:eastAsia="Arial" w:hAnsi="Arial"/>
                <w:sz w:val="14"/>
                <w:szCs w:val="14"/>
                <w:color w:val="auto"/>
              </w:rPr>
              <w:t>Six Months Ended</w:t>
            </w:r>
          </w:p>
        </w:tc>
      </w:tr>
      <w:tr>
        <w:trPr>
          <w:trHeight w:val="185"/>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6420" w:type="dxa"/>
            <w:vAlign w:val="bottom"/>
            <w:gridSpan w:val="2"/>
          </w:tcPr>
          <w:p>
            <w:pPr>
              <w:spacing w:after="0"/>
              <w:rPr>
                <w:sz w:val="20"/>
                <w:szCs w:val="20"/>
                <w:color w:val="auto"/>
              </w:rPr>
            </w:pPr>
            <w:r>
              <w:rPr>
                <w:rFonts w:ascii="Arial" w:cs="Arial" w:eastAsia="Arial" w:hAnsi="Arial"/>
                <w:sz w:val="13"/>
                <w:szCs w:val="13"/>
                <w:color w:val="auto"/>
              </w:rPr>
              <w:t>(in millions, except per share data)</w:t>
            </w:r>
          </w:p>
        </w:tc>
        <w:tc>
          <w:tcPr>
            <w:tcW w:w="260" w:type="dxa"/>
            <w:vAlign w:val="bottom"/>
          </w:tcPr>
          <w:p>
            <w:pPr>
              <w:spacing w:after="0"/>
              <w:rPr>
                <w:sz w:val="13"/>
                <w:szCs w:val="13"/>
                <w:color w:val="auto"/>
              </w:rPr>
            </w:pPr>
          </w:p>
        </w:tc>
        <w:tc>
          <w:tcPr>
            <w:tcW w:w="86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Cost of services (excluding depreciation and amortization)</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1,424</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Restructuring and related costs</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(Gain) loss on divestitures and transaction costs, net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Litigation settlements (recoveries), net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(income) expenses, net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5"/>
        </w:trPr>
        <w:tc>
          <w:tcPr>
            <w:tcW w:w="20" w:type="dxa"/>
            <w:vAlign w:val="bottom"/>
            <w:tcBorders>
              <w:bottom w:val="single" w:sz="8" w:color="CCEEFF"/>
            </w:tcBorders>
          </w:tcPr>
          <w:p>
            <w:pPr>
              <w:spacing w:after="0"/>
              <w:rPr>
                <w:sz w:val="16"/>
                <w:szCs w:val="16"/>
                <w:color w:val="auto"/>
              </w:rPr>
            </w:pPr>
          </w:p>
        </w:tc>
        <w:tc>
          <w:tcPr>
            <w:tcW w:w="6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528</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922</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1,322</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1,852</w:t>
            </w:r>
          </w:p>
        </w:tc>
      </w:tr>
      <w:tr>
        <w:trPr>
          <w:trHeight w:val="143"/>
        </w:trPr>
        <w:tc>
          <w:tcPr>
            <w:tcW w:w="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201"/>
        </w:trPr>
        <w:tc>
          <w:tcPr>
            <w:tcW w:w="2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63"/>
        </w:trPr>
        <w:tc>
          <w:tcPr>
            <w:tcW w:w="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4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Income tax expense (benefit)</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98"/>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03"/>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 per Share: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(0.08)</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COMPREHENSIVE INCOME (LOSS) (UNAUDITED)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120" w:type="dxa"/>
            <w:vAlign w:val="bottom"/>
            <w:gridSpan w:val="4"/>
          </w:tcPr>
          <w:p>
            <w:pPr>
              <w:jc w:val="right"/>
              <w:ind w:right="188"/>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4"/>
          </w:tcPr>
          <w:p>
            <w:pPr>
              <w:jc w:val="right"/>
              <w:ind w:right="588"/>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color w:val="auto"/>
              </w:rPr>
              <w:t>June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2024</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2023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78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Other Comprehensive Income (Loss), Net</w:t>
            </w:r>
            <w:r>
              <w:rPr>
                <w:rFonts w:ascii="Arial" w:cs="Arial" w:eastAsia="Arial" w:hAnsi="Arial"/>
                <w:sz w:val="18"/>
                <w:szCs w:val="18"/>
                <w:b w:val="1"/>
                <w:bCs w:val="1"/>
                <w:color w:val="auto"/>
                <w:vertAlign w:val="superscript"/>
              </w:rPr>
              <w:t>(1)</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2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translation adjustments, net</w:t>
            </w: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20" w:type="dxa"/>
            <w:vAlign w:val="bottom"/>
            <w:gridSpan w:val="2"/>
          </w:tcPr>
          <w:p>
            <w:pPr>
              <w:ind w:left="200"/>
              <w:spacing w:after="0"/>
              <w:rPr>
                <w:sz w:val="20"/>
                <w:szCs w:val="20"/>
                <w:color w:val="auto"/>
              </w:rPr>
            </w:pPr>
            <w:r>
              <w:rPr>
                <w:rFonts w:ascii="Arial" w:cs="Arial" w:eastAsia="Arial" w:hAnsi="Arial"/>
                <w:sz w:val="14"/>
                <w:szCs w:val="14"/>
                <w:color w:val="auto"/>
              </w:rPr>
              <w:t>Unrecognized gains (losses), net</w:t>
            </w:r>
          </w:p>
        </w:tc>
        <w:tc>
          <w:tcPr>
            <w:tcW w:w="7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20" w:type="dxa"/>
            <w:vAlign w:val="bottom"/>
            <w:tcBorders>
              <w:top w:val="single" w:sz="8" w:color="CCEEFF"/>
            </w:tcBorders>
            <w:shd w:val="clear" w:color="auto" w:fill="CCEEFF"/>
          </w:tcPr>
          <w:p>
            <w:pPr>
              <w:spacing w:after="0"/>
              <w:rPr>
                <w:sz w:val="17"/>
                <w:szCs w:val="17"/>
                <w:color w:val="auto"/>
              </w:rPr>
            </w:pPr>
          </w:p>
        </w:tc>
        <w:tc>
          <w:tcPr>
            <w:tcW w:w="6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Other Comprehensive Income (Loss), Net</w:t>
            </w:r>
          </w:p>
        </w:tc>
        <w:tc>
          <w:tcPr>
            <w:tcW w:w="78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Comprehensive Income (Loss), Net</w:t>
            </w:r>
          </w:p>
        </w:tc>
        <w:tc>
          <w:tcPr>
            <w:tcW w:w="78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__________</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gridSpan w:val="3"/>
            <w:vMerge w:val="continue"/>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gridSpan w:val="3"/>
          </w:tcPr>
          <w:p>
            <w:pPr>
              <w:spacing w:after="0"/>
              <w:rPr>
                <w:sz w:val="20"/>
                <w:szCs w:val="20"/>
                <w:color w:val="auto"/>
              </w:rPr>
            </w:pPr>
            <w:r>
              <w:rPr>
                <w:rFonts w:ascii="Arial" w:cs="Arial" w:eastAsia="Arial" w:hAnsi="Arial"/>
                <w:sz w:val="14"/>
                <w:szCs w:val="14"/>
                <w:i w:val="1"/>
                <w:iCs w:val="1"/>
                <w:color w:val="auto"/>
              </w:rPr>
              <w:t>(1)  All amounts are net of tax. Tax effects were immaterial.</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BALANCE SHEETS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gridSpan w:val="2"/>
          </w:tcPr>
          <w:p>
            <w:pPr>
              <w:spacing w:after="0"/>
              <w:rPr>
                <w:sz w:val="20"/>
                <w:szCs w:val="20"/>
                <w:color w:val="auto"/>
              </w:rPr>
            </w:pPr>
            <w:r>
              <w:rPr>
                <w:rFonts w:ascii="Arial" w:cs="Arial" w:eastAsia="Arial" w:hAnsi="Arial"/>
                <w:sz w:val="13"/>
                <w:szCs w:val="13"/>
                <w:color w:val="auto"/>
              </w:rPr>
              <w:t>(in millions, except share data in thousands)</w:t>
            </w:r>
          </w:p>
        </w:tc>
        <w:tc>
          <w:tcPr>
            <w:tcW w:w="260" w:type="dxa"/>
            <w:vAlign w:val="bottom"/>
          </w:tcPr>
          <w:p>
            <w:pPr>
              <w:spacing w:after="0"/>
              <w:rPr>
                <w:sz w:val="14"/>
                <w:szCs w:val="14"/>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color w:val="auto"/>
              </w:rPr>
              <w:t>June 30, 2024</w:t>
            </w:r>
          </w:p>
        </w:tc>
        <w:tc>
          <w:tcPr>
            <w:tcW w:w="180" w:type="dxa"/>
            <w:vAlign w:val="bottom"/>
          </w:tcPr>
          <w:p>
            <w:pPr>
              <w:spacing w:after="0"/>
              <w:rPr>
                <w:sz w:val="14"/>
                <w:szCs w:val="14"/>
                <w:color w:val="auto"/>
              </w:rPr>
            </w:pPr>
          </w:p>
        </w:tc>
        <w:tc>
          <w:tcPr>
            <w:tcW w:w="1560" w:type="dxa"/>
            <w:vAlign w:val="bottom"/>
          </w:tcPr>
          <w:p>
            <w:pPr>
              <w:jc w:val="right"/>
              <w:ind w:right="168"/>
              <w:spacing w:after="0"/>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Assets held for sale</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Contract assets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1,655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Land, buildings and equipment, net</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76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portion of long-term debt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compensation and benefits costs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Unearned income</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 held for sale</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1,248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taxes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liabilities</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2,387</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Contingencies (See Note 12)</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A convertible preferred stock</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Treasury stock, at cost</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Retained earnings (deficit)</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(2,849)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Conduent Inc. Equity</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Noncontrolling Interest</w:t>
            </w: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Equity</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Liabilities and Equity</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common stock issued and outstanding</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163,779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211,509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Shares of series A convertible preferred stock issued and outstanding</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common stock held in treasury</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8,841</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6" w:name="page7"/>
    <w:bookmarkEnd w:id="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CASH FLOWS (UNAUDITED)</w:t>
      </w:r>
    </w:p>
    <w:p>
      <w:pPr>
        <w:spacing w:after="0" w:line="29" w:lineRule="exact"/>
        <w:rPr>
          <w:sz w:val="20"/>
          <w:szCs w:val="20"/>
          <w:color w:val="auto"/>
        </w:rPr>
      </w:pPr>
    </w:p>
    <w:p>
      <w:pPr>
        <w:ind w:left="9020"/>
        <w:spacing w:after="0"/>
        <w:rPr>
          <w:sz w:val="20"/>
          <w:szCs w:val="20"/>
          <w:color w:val="auto"/>
        </w:rPr>
      </w:pPr>
      <w:r>
        <w:rPr>
          <w:rFonts w:ascii="Arial" w:cs="Arial" w:eastAsia="Arial" w:hAnsi="Arial"/>
          <w:sz w:val="14"/>
          <w:szCs w:val="14"/>
          <w:color w:val="auto"/>
        </w:rPr>
        <w:t>Six Months Ended</w:t>
      </w: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80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40" w:type="dxa"/>
            <w:vAlign w:val="bottom"/>
          </w:tcPr>
          <w:p>
            <w:pPr>
              <w:spacing w:after="0"/>
              <w:rPr>
                <w:sz w:val="13"/>
                <w:szCs w:val="13"/>
                <w:color w:val="auto"/>
              </w:rPr>
            </w:pPr>
          </w:p>
        </w:tc>
        <w:tc>
          <w:tcPr>
            <w:tcW w:w="1180" w:type="dxa"/>
            <w:vAlign w:val="bottom"/>
          </w:tcPr>
          <w:p>
            <w:pPr>
              <w:jc w:val="right"/>
              <w:ind w:right="52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jc w:val="right"/>
              <w:ind w:right="528"/>
              <w:spacing w:after="0" w:line="155" w:lineRule="exact"/>
              <w:rPr>
                <w:sz w:val="20"/>
                <w:szCs w:val="20"/>
                <w:color w:val="auto"/>
              </w:rPr>
            </w:pPr>
            <w:r>
              <w:rPr>
                <w:rFonts w:ascii="Arial" w:cs="Arial" w:eastAsia="Arial" w:hAnsi="Arial"/>
                <w:sz w:val="14"/>
                <w:szCs w:val="14"/>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Adjustments required to reconcile net income (loss) to cash flows from operating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118</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Contract inducement amortization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Amortization of debt financing costs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Loss on extinguishment of debt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(Gain) loss on divestitures and sales of fixed assets, net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50</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assets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payable and accrued compensation and benefits costs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198"/>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Net change in income tax assets and liabilities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00"/>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2"/>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Cost of additions to land, buildings and equipment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Cost of additions to internal use software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Proceeds from divestitures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2"/>
        </w:trPr>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187"/>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Proceeds from revolving credit facility</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Payments on revolving credit facility</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Payments on debt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Treasury stock purchases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Taxes paid for settlement of stock-based compensation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Dividends paid on preferred stock</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2"/>
        </w:trPr>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200"/>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r>
      <w:tr>
        <w:trPr>
          <w:trHeight w:val="198"/>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Increase (decrease) in cash, cash equivalents and restricted cash</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598</w:t>
            </w:r>
          </w:p>
        </w:tc>
      </w:tr>
      <w:tr>
        <w:trPr>
          <w:trHeight w:val="200"/>
        </w:trPr>
        <w:tc>
          <w:tcPr>
            <w:tcW w:w="20" w:type="dxa"/>
            <w:vAlign w:val="bottom"/>
          </w:tcPr>
          <w:p>
            <w:pPr>
              <w:spacing w:after="0"/>
              <w:rPr>
                <w:sz w:val="17"/>
                <w:szCs w:val="17"/>
                <w:color w:val="auto"/>
              </w:rPr>
            </w:pPr>
          </w:p>
        </w:tc>
        <w:tc>
          <w:tcPr>
            <w:tcW w:w="8040" w:type="dxa"/>
            <w:vAlign w:val="bottom"/>
            <w:gridSpan w:val="2"/>
          </w:tcPr>
          <w:p>
            <w:pPr>
              <w:spacing w:after="0" w:line="200" w:lineRule="exact"/>
              <w:rPr>
                <w:sz w:val="20"/>
                <w:szCs w:val="20"/>
                <w:color w:val="auto"/>
              </w:rPr>
            </w:pPr>
            <w:r>
              <w:rPr>
                <w:rFonts w:ascii="Arial" w:cs="Arial" w:eastAsia="Arial" w:hAnsi="Arial"/>
                <w:sz w:val="14"/>
                <w:szCs w:val="14"/>
                <w:b w:val="1"/>
                <w:bCs w:val="1"/>
                <w:color w:val="auto"/>
              </w:rPr>
              <w:t>Cash, Cash Equivalents and Restricted Cash at End of period</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505</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ind w:left="340" w:right="140" w:hanging="332"/>
        <w:spacing w:after="0" w:line="302" w:lineRule="auto"/>
        <w:tabs>
          <w:tab w:leader="none" w:pos="327"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$7 million and $5 million of restricted cash as of June 30, 2024 and 2023, respectively, that were included in Other current assets on their respective Condensed Consolidated Balance Sheets.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7" w:name="page8"/>
    <w:bookmarkEnd w:id="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 xml:space="preserve">CONDENSED CONSOLIDATED STATEMENTS OF SHAREHOLDERS' EQUITY </w:t>
      </w:r>
      <w:r>
        <w:rPr>
          <w:rFonts w:ascii="Arial" w:cs="Arial" w:eastAsia="Arial" w:hAnsi="Arial"/>
          <w:sz w:val="18"/>
          <w:szCs w:val="18"/>
          <w:b w:val="1"/>
          <w:bCs w:val="1"/>
          <w:color w:val="1269BC"/>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3"/>
                <w:szCs w:val="13"/>
                <w:color w:val="auto"/>
                <w:w w:val="97"/>
              </w:rPr>
              <w:t>Three Months Ended June 30, 2024</w:t>
            </w: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2024</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$20/share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4"/>
        </w:trPr>
        <w:tc>
          <w:tcPr>
            <w:tcW w:w="2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216</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6"/>
                <w:szCs w:val="16"/>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June 30, 2024</w:t>
            </w:r>
          </w:p>
        </w:tc>
        <w:tc>
          <w:tcPr>
            <w:tcW w:w="4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(463)</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3"/>
                <w:szCs w:val="13"/>
                <w:color w:val="auto"/>
                <w:w w:val="97"/>
              </w:rPr>
              <w:t>Three Months Ended June 30, 2023</w:t>
            </w: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1"/>
                <w:szCs w:val="11"/>
                <w:color w:val="auto"/>
              </w:rPr>
            </w:pPr>
          </w:p>
        </w:tc>
        <w:tc>
          <w:tcPr>
            <w:tcW w:w="960" w:type="dxa"/>
            <w:vAlign w:val="bottom"/>
            <w:gridSpan w:val="2"/>
          </w:tcPr>
          <w:p>
            <w:pPr>
              <w:ind w:left="100"/>
              <w:spacing w:after="0" w:line="131"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200"/>
              <w:spacing w:after="0" w:line="131"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1"/>
                <w:szCs w:val="11"/>
                <w:color w:val="auto"/>
              </w:rPr>
            </w:pPr>
          </w:p>
        </w:tc>
        <w:tc>
          <w:tcPr>
            <w:tcW w:w="980" w:type="dxa"/>
            <w:vAlign w:val="bottom"/>
          </w:tcPr>
          <w:p>
            <w:pPr>
              <w:jc w:val="center"/>
              <w:ind w:right="57"/>
              <w:spacing w:after="0" w:line="131"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20" w:type="dxa"/>
            <w:vAlign w:val="bottom"/>
            <w:gridSpan w:val="2"/>
          </w:tcPr>
          <w:p>
            <w:pPr>
              <w:spacing w:after="0" w:line="139" w:lineRule="exact"/>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line="139" w:lineRule="exact"/>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line="139" w:lineRule="exact"/>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line="139" w:lineRule="exact"/>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line="139" w:lineRule="exact"/>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tcPr>
          <w:p>
            <w:pPr>
              <w:ind w:left="100"/>
              <w:spacing w:after="0" w:line="139" w:lineRule="exact"/>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39" w:lineRule="exact"/>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line="139" w:lineRule="exact"/>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2023</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$20/share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4"/>
        </w:trPr>
        <w:tc>
          <w:tcPr>
            <w:tcW w:w="2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6"/>
                <w:szCs w:val="16"/>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June 30, 2023</w:t>
            </w:r>
          </w:p>
        </w:tc>
        <w:tc>
          <w:tcPr>
            <w:tcW w:w="4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3"/>
                <w:szCs w:val="13"/>
                <w:color w:val="auto"/>
                <w:w w:val="97"/>
              </w:rPr>
              <w:t>Six Months Ended June 30, 2024</w:t>
            </w: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2023</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$40/share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64"/>
        </w:trPr>
        <w:tc>
          <w:tcPr>
            <w:tcW w:w="2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6"/>
                <w:szCs w:val="16"/>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June 30, 2024</w:t>
            </w:r>
          </w:p>
        </w:tc>
        <w:tc>
          <w:tcPr>
            <w:tcW w:w="4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(463)</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3"/>
                <w:szCs w:val="13"/>
                <w:color w:val="auto"/>
                <w:w w:val="97"/>
              </w:rPr>
              <w:t>Six Months Ended June 30, 2023</w:t>
            </w: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2022</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$40/share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4"/>
        </w:trPr>
        <w:tc>
          <w:tcPr>
            <w:tcW w:w="2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6"/>
                <w:szCs w:val="16"/>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June 30, 2023</w:t>
            </w:r>
          </w:p>
        </w:tc>
        <w:tc>
          <w:tcPr>
            <w:tcW w:w="4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jc w:val="right"/>
        <w:ind w:left="2700" w:right="2040" w:hanging="2692"/>
        <w:spacing w:after="0" w:line="382" w:lineRule="auto"/>
        <w:tabs>
          <w:tab w:leader="none" w:pos="314"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AOCL - Accumulated other comprehensive loss. Refer to Note 11 – Accumulated Other Comprehensive Loss for the components of AOCL. The accompanying notes are an integral part of these Condensed Consolidated Financial Statements.</w:t>
      </w:r>
    </w:p>
    <w:p>
      <w:pPr>
        <w:spacing w:after="0" w:line="1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 – Basis of Presentation</w:t>
      </w:r>
    </w:p>
    <w:p>
      <w:pPr>
        <w:spacing w:after="0" w:line="16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References herein to “we,” “us,” “our,” the “Company” and “Conduent” refer to Conduent Incorporated and its consolidated subsidiaries unless the context suggests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Description of Business</w:t>
      </w:r>
    </w:p>
    <w:p>
      <w:pPr>
        <w:spacing w:after="0" w:line="17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Conduent Incorporated is a New York corporation, organized in 2016. As a global technology-led company, Conduent delivers digital business solutions and services to streamline and manage enterprise processes on behalf of commercial, government and transportation organizations – creating valuable outcomes for its clients and the millions of people who count on them. Conduent’s solutions combine innovative technology platforms with automation, artificial intelligence, process expertise and services that improve quality, efficiency and</w:t>
      </w:r>
    </w:p>
    <w:p>
      <w:pPr>
        <w:spacing w:after="0" w:line="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productivity. With a dedicated global team of approximately 55,000 associates, Conduent solutions span customer service, business administration and operations, healthcare administration and payment management. Across many industries and government agencies, Conduent reduces costs, improves end-user experiences and enables digital transformation for its global clients.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Basis of Presentation</w:t>
      </w:r>
    </w:p>
    <w:p>
      <w:pPr>
        <w:spacing w:after="0" w:line="171" w:lineRule="exact"/>
        <w:rPr>
          <w:sz w:val="20"/>
          <w:szCs w:val="20"/>
          <w:color w:val="auto"/>
        </w:rPr>
      </w:pPr>
    </w:p>
    <w:p>
      <w:pPr>
        <w:jc w:val="both"/>
        <w:ind w:right="640"/>
        <w:spacing w:after="0" w:line="257"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accounting principles generally accepted in the United States of America ("U.S. GAAP") on a basis consistent with reporting interim financial information in accordance with instructions to Form 10-Q and Article 10 of Regulation S-X of the Securities and Exchange Commission (the "SEC").</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Accordingly, they do not include all of the information and notes required by U.S. GAAP for complete financial statements. The year-end Condensed Consolidated Balance Sheet was derived from the audited Consolidated Financial Statements included in the Company's Annual Report on Form 10-K for the year ended December 31, 2023. Intercompany balances and transactions have been eliminated. In the opinion of management, all adjustments necessary for a fair statement of the financial position, results of operations and cash flows have been made. These adjustments consist of normal recurring items. The interim results of operations are not necessarily indicative of the results of the full year. These financial statements should be read in conjunction with the Company’s Consolidated Financial Statements included in the Company’s Annual Report on Form 10-K for the year ended December 31, 2023.</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first quarter of 2023, the Company identified an error and recorded an out-of-period adjustment to correct the recognition of revenue on a Government segment contract that originated in 2020 and impacted all quarterly periods through December 31, 2022. This adjustment resulted in a reduction to revenue and income (loss) before income taxes of $ 7 million and a corresponding decrease to accounts receivable of $1 million and an increase to other current liabilities of $6 million in the first quarter of 2023. The Company evaluated the impact of the out-of-period adjustment and concluded it was not material to any previously issued interim or annual consolidated financial statements and the adjustment is not material to the year ending December 31, 2023.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August 7, 2024, and no material subsequent events were identified.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Use of Estimates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Preparation of financial statements in conformity with U.S. GAAP requires the Company to make estimates and assumptions that affect the amounts reported and disclosed in the financial statements and the accompanying notes. Actual results could differ materially from these estimates. On an ongoing basis, the Company evaluates its estimates, including those related to fair values of financial instruments, goodwill and intangible assets, income taxes and contingent liabilities, among others. The Company bases its estimates on assumptions, both historical and forward looking, that are believed to be reasonable, the results of which form the basis for making judgments about the carrying values of assets and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Summary of Significant Accounting Policies</w:t>
      </w:r>
    </w:p>
    <w:p>
      <w:pPr>
        <w:spacing w:after="0" w:line="171" w:lineRule="exact"/>
        <w:rPr>
          <w:sz w:val="20"/>
          <w:szCs w:val="20"/>
          <w:color w:val="auto"/>
        </w:rPr>
      </w:pPr>
    </w:p>
    <w:p>
      <w:pPr>
        <w:ind w:right="680"/>
        <w:spacing w:after="0" w:line="301" w:lineRule="auto"/>
        <w:rPr>
          <w:sz w:val="20"/>
          <w:szCs w:val="20"/>
          <w:color w:val="auto"/>
        </w:rPr>
      </w:pPr>
      <w:r>
        <w:rPr>
          <w:rFonts w:ascii="Arial" w:cs="Arial" w:eastAsia="Arial" w:hAnsi="Arial"/>
          <w:sz w:val="17"/>
          <w:szCs w:val="17"/>
          <w:color w:val="auto"/>
        </w:rPr>
        <w:t>There have been no changes to the Company's significant accounting policies as described in the Note 1 - Basis of Presentation and Summary of Significant Accounting Policies in the Company's Annual Report on Form 10-K for the year ended December 31, 2023.</w:t>
      </w:r>
    </w:p>
    <w:p>
      <w:pPr>
        <w:spacing w:after="0" w:line="32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2 – Recent Accounting Pronouncements</w:t>
      </w:r>
    </w:p>
    <w:p>
      <w:pPr>
        <w:spacing w:after="0" w:line="16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Company's significant accounting policies are described in Note 1 – Basis of Presentation and Summary of Significant Accounting Policies in the Company's Annual Report on Form 10-K for the year ended December 31,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Adopted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adopted any new accounting standards in 2024 that had a material impact on its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To Be Adopted</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In November 2023, the Financial Accounting Standards Board ("FASB") issued final guidance that expands reportable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disclosures, particularly incremental segment expense disclosures. This guidance is effective for annual periods beginning after December 15, 2023 and interim periods within fiscal years beginning after December 15, 2024. The Company is not early adopting this guidance. The Company is currently in the process of gathering the data required to be disclosed upon adoption. As the guidance is disclosure related, adoption will not have any impact on the Company's Condensed Consolidated Financial Statements.</w:t>
      </w:r>
    </w:p>
    <w:p>
      <w:pPr>
        <w:spacing w:after="0" w:line="1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In December 2023, the FASB issued final guidance designed to improve income tax disclosures, particularly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around business entities' income tax rate reconciliation and income taxes paid. The guidance requires consistent categories and greater disaggregation of information in the reconciliation of an entity's statutory tax rate to its effective tax rate and information about income taxes paid disaggregated by jurisdiction. This guidance is effective for fiscal years beginning after December 15, 2024. The Company is not early adopting this guidance. The Company is currently in the process of gathering the data required to be disclosed upon adoption. As the guidance is disclosure related, adoption will not have any impact on the Company's Condensed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3 –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second quarter of 2024, revenue for the BenefitWallet Portfolio (as defined in Note 5 – Divestitures and Assets/Liabilities Held for Sale) and the Curbside Management and Public Safety businesses were reclassified to the Divestitures segment from the Commercial and Transportation segments, respectively. All prior periods presented have been recast to reflect these changes. The following table provides information about disaggregated revenue by major service offering, the timing of revenue recognition and a reconciliation of the disaggregated revenue by reportable segment. Refer to Note 4 – Segment Reporting for additional information on the Company's reportable segments.</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0" w:name="page11"/>
    <w:bookmarkEnd w:id="1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4"/>
                <w:szCs w:val="14"/>
                <w:color w:val="auto"/>
              </w:rPr>
            </w:pPr>
          </w:p>
        </w:tc>
        <w:tc>
          <w:tcPr>
            <w:tcW w:w="2240" w:type="dxa"/>
            <w:vAlign w:val="bottom"/>
            <w:gridSpan w:val="4"/>
          </w:tcPr>
          <w:p>
            <w:pPr>
              <w:jc w:val="right"/>
              <w:ind w:right="628"/>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0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3"/>
                <w:szCs w:val="13"/>
                <w:color w:val="auto"/>
              </w:rPr>
            </w:pPr>
          </w:p>
        </w:tc>
        <w:tc>
          <w:tcPr>
            <w:tcW w:w="94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Commercial:</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0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Customer experience management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98"/>
        </w:trPr>
        <w:tc>
          <w:tcPr>
            <w:tcW w:w="6000" w:type="dxa"/>
            <w:vAlign w:val="bottom"/>
            <w:gridSpan w:val="2"/>
          </w:tcPr>
          <w:p>
            <w:pPr>
              <w:ind w:left="120"/>
              <w:spacing w:after="0"/>
              <w:rPr>
                <w:sz w:val="20"/>
                <w:szCs w:val="20"/>
                <w:color w:val="auto"/>
              </w:rPr>
            </w:pPr>
            <w:r>
              <w:rPr>
                <w:rFonts w:ascii="Arial" w:cs="Arial" w:eastAsia="Arial" w:hAnsi="Arial"/>
                <w:sz w:val="14"/>
                <w:szCs w:val="14"/>
                <w:color w:val="auto"/>
              </w:rPr>
              <w:t>Business operations solutions</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07"/>
        </w:trPr>
        <w:tc>
          <w:tcPr>
            <w:tcW w:w="6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Healthcare claims and administration solutions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98"/>
        </w:trPr>
        <w:tc>
          <w:tcPr>
            <w:tcW w:w="60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Human capital solutions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00"/>
        </w:trPr>
        <w:tc>
          <w:tcPr>
            <w:tcW w:w="60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Commercial</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0" w:type="dxa"/>
            <w:vAlign w:val="bottom"/>
          </w:tcPr>
          <w:p>
            <w:pPr>
              <w:spacing w:after="0"/>
              <w:rPr>
                <w:sz w:val="1"/>
                <w:szCs w:val="1"/>
                <w:color w:val="auto"/>
              </w:rPr>
            </w:pPr>
          </w:p>
        </w:tc>
      </w:tr>
      <w:tr>
        <w:trPr>
          <w:trHeight w:val="181"/>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Government healthcare solutions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99"/>
        </w:trPr>
        <w:tc>
          <w:tcPr>
            <w:tcW w:w="60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Government services solutions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0"/>
        </w:trPr>
        <w:tc>
          <w:tcPr>
            <w:tcW w:w="60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Government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81"/>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Road usage charging &amp; management solutions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98"/>
        </w:trPr>
        <w:tc>
          <w:tcPr>
            <w:tcW w:w="6000" w:type="dxa"/>
            <w:vAlign w:val="bottom"/>
            <w:gridSpan w:val="2"/>
          </w:tcPr>
          <w:p>
            <w:pPr>
              <w:ind w:left="120"/>
              <w:spacing w:after="0"/>
              <w:rPr>
                <w:sz w:val="20"/>
                <w:szCs w:val="20"/>
                <w:color w:val="auto"/>
              </w:rPr>
            </w:pPr>
            <w:r>
              <w:rPr>
                <w:rFonts w:ascii="Arial" w:cs="Arial" w:eastAsia="Arial" w:hAnsi="Arial"/>
                <w:sz w:val="14"/>
                <w:szCs w:val="14"/>
                <w:color w:val="auto"/>
              </w:rPr>
              <w:t>Transit solutions</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7"/>
        </w:trPr>
        <w:tc>
          <w:tcPr>
            <w:tcW w:w="6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vehicles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5"/>
        </w:trPr>
        <w:tc>
          <w:tcPr>
            <w:tcW w:w="60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Transportation</w:t>
            </w: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285</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96"/>
        </w:trPr>
        <w:tc>
          <w:tcPr>
            <w:tcW w:w="60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Divestitures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97"/>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Total Consolidated Revenue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1,837</w:t>
            </w:r>
          </w:p>
        </w:tc>
        <w:tc>
          <w:tcPr>
            <w:tcW w:w="0" w:type="dxa"/>
            <w:vAlign w:val="bottom"/>
          </w:tcPr>
          <w:p>
            <w:pPr>
              <w:spacing w:after="0"/>
              <w:rPr>
                <w:sz w:val="1"/>
                <w:szCs w:val="1"/>
                <w:color w:val="auto"/>
              </w:rPr>
            </w:pPr>
          </w:p>
        </w:tc>
      </w:tr>
      <w:tr>
        <w:trPr>
          <w:trHeight w:val="20"/>
        </w:trPr>
        <w:tc>
          <w:tcPr>
            <w:tcW w:w="64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0" w:type="dxa"/>
            <w:vAlign w:val="bottom"/>
            <w:shd w:val="clear" w:color="auto" w:fill="CCEEFF"/>
          </w:tcPr>
          <w:p>
            <w:pPr>
              <w:spacing w:after="0"/>
              <w:rPr>
                <w:sz w:val="11"/>
                <w:szCs w:val="11"/>
                <w:color w:val="auto"/>
              </w:rPr>
            </w:pPr>
          </w:p>
        </w:tc>
        <w:tc>
          <w:tcPr>
            <w:tcW w:w="5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Timing of Revenue Recognition:</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Point in time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8"/>
        </w:trPr>
        <w:tc>
          <w:tcPr>
            <w:tcW w:w="60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Over time</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1,786</w:t>
            </w:r>
          </w:p>
        </w:tc>
        <w:tc>
          <w:tcPr>
            <w:tcW w:w="0" w:type="dxa"/>
            <w:vAlign w:val="bottom"/>
          </w:tcPr>
          <w:p>
            <w:pPr>
              <w:spacing w:after="0"/>
              <w:rPr>
                <w:sz w:val="1"/>
                <w:szCs w:val="1"/>
                <w:color w:val="auto"/>
              </w:rPr>
            </w:pPr>
          </w:p>
        </w:tc>
      </w:tr>
      <w:tr>
        <w:trPr>
          <w:trHeight w:val="225"/>
        </w:trPr>
        <w:tc>
          <w:tcPr>
            <w:tcW w:w="6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1,837</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Unearned income includes payments received in advance of performance under the contract, which are realized when the associated revenue is recognized under the contract.</w:t>
      </w:r>
    </w:p>
    <w:p>
      <w:pPr>
        <w:spacing w:after="0" w:line="128" w:lineRule="exact"/>
        <w:rPr>
          <w:sz w:val="20"/>
          <w:szCs w:val="20"/>
          <w:color w:val="auto"/>
        </w:rPr>
      </w:pPr>
    </w:p>
    <w:p>
      <w:pPr>
        <w:ind w:right="560"/>
        <w:spacing w:after="0" w:line="279" w:lineRule="auto"/>
        <w:rPr>
          <w:sz w:val="20"/>
          <w:szCs w:val="20"/>
          <w:color w:val="auto"/>
        </w:rPr>
      </w:pPr>
      <w:r>
        <w:rPr>
          <w:rFonts w:ascii="Arial" w:cs="Arial" w:eastAsia="Arial" w:hAnsi="Arial"/>
          <w:sz w:val="18"/>
          <w:szCs w:val="18"/>
          <w:color w:val="auto"/>
        </w:rPr>
        <w:t>The following table provides information about the balances of the Company's contract assets, unearned income and receivables from contracts with customers:</w:t>
      </w:r>
    </w:p>
    <w:tbl>
      <w:tblPr>
        <w:tblLayout w:type="fixed"/>
        <w:tblInd w:w="0" w:type="dxa"/>
        <w:tblCellMar>
          <w:top w:w="0" w:type="dxa"/>
          <w:left w:w="0" w:type="dxa"/>
          <w:bottom w:w="0" w:type="dxa"/>
          <w:right w:w="0" w:type="dxa"/>
        </w:tblCellMar>
      </w:tblPr>
      <w:tr>
        <w:trPr>
          <w:trHeight w:val="159"/>
        </w:trPr>
        <w:tc>
          <w:tcPr>
            <w:tcW w:w="40" w:type="dxa"/>
            <w:vAlign w:val="bottom"/>
          </w:tcPr>
          <w:p>
            <w:pPr>
              <w:spacing w:after="0"/>
              <w:rPr>
                <w:sz w:val="13"/>
                <w:szCs w:val="13"/>
                <w:color w:val="auto"/>
              </w:rPr>
            </w:pPr>
          </w:p>
        </w:tc>
        <w:tc>
          <w:tcPr>
            <w:tcW w:w="75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3"/>
                <w:szCs w:val="13"/>
                <w:color w:val="auto"/>
              </w:rPr>
            </w:pPr>
          </w:p>
        </w:tc>
        <w:tc>
          <w:tcPr>
            <w:tcW w:w="162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June 30, 2024</w:t>
            </w:r>
          </w:p>
        </w:tc>
        <w:tc>
          <w:tcPr>
            <w:tcW w:w="180" w:type="dxa"/>
            <w:vAlign w:val="bottom"/>
          </w:tcPr>
          <w:p>
            <w:pPr>
              <w:spacing w:after="0"/>
              <w:rPr>
                <w:sz w:val="13"/>
                <w:szCs w:val="13"/>
                <w:color w:val="auto"/>
              </w:rPr>
            </w:pPr>
          </w:p>
        </w:tc>
        <w:tc>
          <w:tcPr>
            <w:tcW w:w="1600" w:type="dxa"/>
            <w:vAlign w:val="bottom"/>
          </w:tcPr>
          <w:p>
            <w:pPr>
              <w:jc w:val="right"/>
              <w:ind w:right="188"/>
              <w:spacing w:after="0" w:line="159" w:lineRule="exact"/>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 w:type="dxa"/>
            <w:vAlign w:val="bottom"/>
          </w:tcPr>
          <w:p>
            <w:pPr>
              <w:spacing w:after="0" w:line="20" w:lineRule="exact"/>
              <w:rPr>
                <w:sz w:val="1"/>
                <w:szCs w:val="1"/>
                <w:color w:val="auto"/>
              </w:rPr>
            </w:pPr>
          </w:p>
        </w:tc>
        <w:tc>
          <w:tcPr>
            <w:tcW w:w="7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 Assets (Unearned Income)</w:t>
            </w: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contract assets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Long-term contract assets</w:t>
            </w:r>
            <w:r>
              <w:rPr>
                <w:rFonts w:ascii="Arial" w:cs="Arial" w:eastAsia="Arial" w:hAnsi="Arial"/>
                <w:sz w:val="9"/>
                <w:szCs w:val="9"/>
                <w:color w:val="auto"/>
              </w:rPr>
              <w:t>(1)</w:t>
            </w:r>
          </w:p>
        </w:tc>
        <w:tc>
          <w:tcPr>
            <w:tcW w:w="26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unearned income</w:t>
            </w: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75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Long-term unearned income</w:t>
            </w:r>
            <w:r>
              <w:rPr>
                <w:rFonts w:ascii="Arial" w:cs="Arial" w:eastAsia="Arial" w:hAnsi="Arial"/>
                <w:sz w:val="9"/>
                <w:szCs w:val="9"/>
                <w:color w:val="auto"/>
              </w:rPr>
              <w:t>(2)</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Contract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Accounts receivable, net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7520" w:type="dxa"/>
            <w:vAlign w:val="bottom"/>
            <w:gridSpan w:val="2"/>
            <w:vMerge w:val="continue"/>
          </w:tcPr>
          <w:p>
            <w:pPr>
              <w:spacing w:after="0"/>
              <w:rPr>
                <w:sz w:val="14"/>
                <w:szCs w:val="1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83"/>
        </w:trPr>
        <w:tc>
          <w:tcPr>
            <w:tcW w:w="7560" w:type="dxa"/>
            <w:vAlign w:val="bottom"/>
            <w:gridSpan w:val="3"/>
          </w:tcPr>
          <w:p>
            <w:pPr>
              <w:jc w:val="right"/>
              <w:ind w:right="6760"/>
              <w:spacing w:after="0"/>
              <w:rPr>
                <w:sz w:val="20"/>
                <w:szCs w:val="20"/>
                <w:color w:val="auto"/>
              </w:rPr>
            </w:pPr>
            <w:r>
              <w:rPr>
                <w:rFonts w:ascii="Arial" w:cs="Arial" w:eastAsia="Arial" w:hAnsi="Arial"/>
                <w:sz w:val="14"/>
                <w:szCs w:val="14"/>
                <w:color w:val="auto"/>
              </w:rPr>
              <w:t>__________</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assets in the Condensed Consolidated Balance Sheets.</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liabilities in the Condensed Consolidated Balance Sheets.</w:t>
      </w:r>
    </w:p>
    <w:p>
      <w:pPr>
        <w:spacing w:after="0" w:line="15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Revenues of $25 million and $69 million were recognized during the three and six months ended June 30, 2024, respectively, related to the Company's unearned income at December 31, 2023. Revenues of $13 million and $42 million were recognized during the three and six months ended June 30, 2023, respectively, related to the Company's unearned income at December 31, 2022.</w:t>
      </w:r>
    </w:p>
    <w:p>
      <w:pPr>
        <w:spacing w:after="0" w:line="200" w:lineRule="exact"/>
        <w:rPr>
          <w:sz w:val="20"/>
          <w:szCs w:val="20"/>
          <w:color w:val="auto"/>
        </w:rPr>
      </w:pPr>
    </w:p>
    <w:p>
      <w:pPr>
        <w:spacing w:after="0" w:line="33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1" w:name="page12"/>
    <w:bookmarkEnd w:id="1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Company had no material asset impairment charges related to contract assets for the three and six months ended June 30, 2024 or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171"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Estimated revenue expected to be recognized in the future related to performance obligations that are unsatisfied or partially satisfied at June 30, 2024 was approximately $1.5 billion. The Company expects to recognize approximately 65% of this revenue over the next two years and the remainder thereafter.</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4 – Segment Reporting</w:t>
      </w:r>
    </w:p>
    <w:p>
      <w:pPr>
        <w:spacing w:after="0" w:line="16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Company's reportable segments correspond to how it organizes and manages the business, as defined by the Company's Chief Executive Officer, who is also the Company's Chief Operating Decision Maker (the "CODM"). The Company's segments involve the delivery of business process solutions on behalf of its clients to improve cost, performance, and end-user experiences.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described in Note 5 – Divestitures and Assets/Liabilities Held for Sale, the Company transferred or sold certain businesses including (i) its BenefitWallet Portfolio and (ii) its Curbside Management and Public Safety Solutions businesses to third parties in the first half of 2024. Accordingly, the results of these disposed businesses, which had previously been reported in the Commercial segment and the Transportation segment, respectively, have been reclassified to the Divestitures segment. All prior periods presented have been recast to reflect these changes.</w:t>
      </w:r>
    </w:p>
    <w:p>
      <w:pPr>
        <w:spacing w:after="0" w:line="1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Company's financial performance is based on Segment Profit (Loss) for its three reportable segments (Commercial, Government and Transportation), Divestitures and Unallocated Costs. The Company's CODM does not evaluate operating segments using discrete asset information.</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0066CC"/>
        </w:rPr>
        <w:t xml:space="preserve">Commercial: </w:t>
      </w:r>
      <w:r>
        <w:rPr>
          <w:rFonts w:ascii="Arial" w:cs="Arial" w:eastAsia="Arial" w:hAnsi="Arial"/>
          <w:sz w:val="18"/>
          <w:szCs w:val="18"/>
          <w:color w:val="000000"/>
        </w:rPr>
        <w:t>The Commercial segment provides business process services and customized solutions and services to clients in a variety of</w:t>
      </w:r>
      <w:r>
        <w:rPr>
          <w:rFonts w:ascii="Arial" w:cs="Arial" w:eastAsia="Arial" w:hAnsi="Arial"/>
          <w:sz w:val="18"/>
          <w:szCs w:val="18"/>
          <w:b w:val="1"/>
          <w:bCs w:val="1"/>
          <w:color w:val="0066CC"/>
        </w:rPr>
        <w:t xml:space="preserve"> </w:t>
      </w:r>
      <w:r>
        <w:rPr>
          <w:rFonts w:ascii="Arial" w:cs="Arial" w:eastAsia="Arial" w:hAnsi="Arial"/>
          <w:sz w:val="18"/>
          <w:szCs w:val="18"/>
          <w:color w:val="000000"/>
        </w:rPr>
        <w:t>industries. Across the Commercial segment, the Company operates on its clients’ behalf to deliver mission-critical solutions and services to reduce costs, improve efficiencies and enhance performance for the Company's clients and deliver better experiences for their consumers and employees.</w:t>
      </w:r>
    </w:p>
    <w:p>
      <w:pPr>
        <w:spacing w:after="0" w:line="12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0066CC"/>
        </w:rPr>
        <w:t xml:space="preserve">Government: </w:t>
      </w:r>
      <w:r>
        <w:rPr>
          <w:rFonts w:ascii="Arial" w:cs="Arial" w:eastAsia="Arial" w:hAnsi="Arial"/>
          <w:sz w:val="18"/>
          <w:szCs w:val="18"/>
          <w:color w:val="000000"/>
        </w:rPr>
        <w:t>The Government segment provides government-centric business process services to U.S. federal, state and local government</w:t>
      </w:r>
      <w:r>
        <w:rPr>
          <w:rFonts w:ascii="Arial" w:cs="Arial" w:eastAsia="Arial" w:hAnsi="Arial"/>
          <w:sz w:val="18"/>
          <w:szCs w:val="18"/>
          <w:b w:val="1"/>
          <w:bCs w:val="1"/>
          <w:color w:val="0066CC"/>
        </w:rPr>
        <w:t xml:space="preserve"> </w:t>
      </w:r>
      <w:r>
        <w:rPr>
          <w:rFonts w:ascii="Arial" w:cs="Arial" w:eastAsia="Arial" w:hAnsi="Arial"/>
          <w:sz w:val="18"/>
          <w:szCs w:val="18"/>
          <w:color w:val="000000"/>
        </w:rPr>
        <w:t>agencies and foreign governments for public assistance, healthcare programs and administration, transaction processing and payment services. The solutions in this segment help governments provide constituents access and delivery of benefits, respond to changing rules for eligibility and keep pace with increasing citizen expectations.</w:t>
      </w:r>
    </w:p>
    <w:p>
      <w:pPr>
        <w:spacing w:after="0" w:line="12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0066CC"/>
        </w:rPr>
        <w:t xml:space="preserve">Transportation: </w:t>
      </w:r>
      <w:r>
        <w:rPr>
          <w:rFonts w:ascii="Arial" w:cs="Arial" w:eastAsia="Arial" w:hAnsi="Arial"/>
          <w:sz w:val="18"/>
          <w:szCs w:val="18"/>
          <w:color w:val="000000"/>
        </w:rPr>
        <w:t>The Transportation segment provides systems, support, and revenue-generating solutions, to government transportation</w:t>
      </w:r>
      <w:r>
        <w:rPr>
          <w:rFonts w:ascii="Arial" w:cs="Arial" w:eastAsia="Arial" w:hAnsi="Arial"/>
          <w:sz w:val="18"/>
          <w:szCs w:val="18"/>
          <w:b w:val="1"/>
          <w:bCs w:val="1"/>
          <w:color w:val="0066CC"/>
        </w:rPr>
        <w:t xml:space="preserve"> </w:t>
      </w:r>
      <w:r>
        <w:rPr>
          <w:rFonts w:ascii="Arial" w:cs="Arial" w:eastAsia="Arial" w:hAnsi="Arial"/>
          <w:sz w:val="18"/>
          <w:szCs w:val="18"/>
          <w:color w:val="000000"/>
        </w:rPr>
        <w:t>agencies. The Company delivers mission-critical mobility and digital payment solutions for public transit and road usage charging that streamline operations, increase revenue and reduce congestion while creating safe, seamless travel experiences for consumers while reducing impact on the environment.</w:t>
      </w:r>
    </w:p>
    <w:p>
      <w:pPr>
        <w:spacing w:after="0" w:line="12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Divestitures includes the Company's BenefitWallet Portfolio for which the Company completed the transfer to a third party in the second quarter of 2024 and its Curbside Management and Public Safety Solutions businesses which it sold to a third party in the second quarter of 2024. Refer to Note 5 – Divestitures and Assets/Liabilities Held for Sale for additional information.</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the reportable segments.</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2" w:name="page13"/>
    <w:bookmarkEnd w:id="1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Company's reportable segments was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8"/>
          </w:tcPr>
          <w:p>
            <w:pPr>
              <w:jc w:val="center"/>
              <w:ind w:right="36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center"/>
              <w:ind w:left="668"/>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80" w:type="dxa"/>
            <w:vAlign w:val="bottom"/>
            <w:gridSpan w:val="4"/>
          </w:tcPr>
          <w:p>
            <w:pPr>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3"/>
                <w:szCs w:val="13"/>
                <w:color w:val="auto"/>
              </w:rPr>
            </w:pPr>
          </w:p>
        </w:tc>
        <w:tc>
          <w:tcPr>
            <w:tcW w:w="112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3"/>
                <w:szCs w:val="13"/>
                <w:color w:val="auto"/>
              </w:rPr>
            </w:pPr>
          </w:p>
        </w:tc>
        <w:tc>
          <w:tcPr>
            <w:tcW w:w="12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Government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Arial" w:cs="Arial" w:eastAsia="Arial" w:hAnsi="Arial"/>
                <w:sz w:val="14"/>
                <w:szCs w:val="14"/>
                <w:color w:val="auto"/>
              </w:rPr>
              <w:t>Transportation</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center"/>
              <w:ind w:right="280"/>
              <w:spacing w:after="0" w:line="155" w:lineRule="exact"/>
              <w:rPr>
                <w:sz w:val="20"/>
                <w:szCs w:val="20"/>
                <w:color w:val="auto"/>
              </w:rPr>
            </w:pPr>
            <w:r>
              <w:rPr>
                <w:rFonts w:ascii="Arial" w:cs="Arial" w:eastAsia="Arial" w:hAnsi="Arial"/>
                <w:sz w:val="14"/>
                <w:szCs w:val="14"/>
                <w:color w:val="auto"/>
              </w:rPr>
              <w:t>Divestitures</w:t>
            </w:r>
          </w:p>
        </w:tc>
        <w:tc>
          <w:tcPr>
            <w:tcW w:w="128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Unallocated Costs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540" w:type="dxa"/>
            <w:vAlign w:val="bottom"/>
            <w:tcBorders>
              <w:bottom w:val="single" w:sz="8" w:color="auto"/>
            </w:tcBorders>
            <w:shd w:val="clear" w:color="auto" w:fill="CCEEFF"/>
          </w:tcPr>
          <w:p>
            <w:pPr>
              <w:spacing w:after="0"/>
              <w:rPr>
                <w:sz w:val="15"/>
                <w:szCs w:val="15"/>
                <w:color w:val="auto"/>
              </w:rPr>
            </w:pPr>
          </w:p>
        </w:tc>
        <w:tc>
          <w:tcPr>
            <w:tcW w:w="22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8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16"/>
                <w:szCs w:val="16"/>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141</w:t>
            </w:r>
          </w:p>
        </w:tc>
        <w:tc>
          <w:tcPr>
            <w:tcW w:w="60" w:type="dxa"/>
            <w:vAlign w:val="bottom"/>
          </w:tcPr>
          <w:p>
            <w:pPr>
              <w:spacing w:after="0"/>
              <w:rPr>
                <w:sz w:val="16"/>
                <w:szCs w:val="16"/>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w:t>
            </w: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(71)</w:t>
            </w: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8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6"/>
                <w:szCs w:val="16"/>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139</w:t>
            </w:r>
          </w:p>
        </w:tc>
        <w:tc>
          <w:tcPr>
            <w:tcW w:w="60" w:type="dxa"/>
            <w:vAlign w:val="bottom"/>
          </w:tcPr>
          <w:p>
            <w:pPr>
              <w:spacing w:after="0"/>
              <w:rPr>
                <w:sz w:val="16"/>
                <w:szCs w:val="16"/>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(79)</w:t>
            </w: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60" w:type="dxa"/>
            <w:vAlign w:val="bottom"/>
            <w:gridSpan w:val="8"/>
          </w:tcPr>
          <w:p>
            <w:pPr>
              <w:jc w:val="center"/>
              <w:ind w:right="360"/>
              <w:spacing w:after="0"/>
              <w:rPr>
                <w:sz w:val="20"/>
                <w:szCs w:val="20"/>
                <w:color w:val="auto"/>
              </w:rPr>
            </w:pPr>
            <w:r>
              <w:rPr>
                <w:rFonts w:ascii="Arial" w:cs="Arial" w:eastAsia="Arial" w:hAnsi="Arial"/>
                <w:sz w:val="14"/>
                <w:szCs w:val="14"/>
                <w:color w:val="auto"/>
              </w:rPr>
              <w:t>Six Months Ended</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center"/>
              <w:ind w:left="668"/>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80" w:type="dxa"/>
            <w:vAlign w:val="bottom"/>
            <w:gridSpan w:val="4"/>
          </w:tcPr>
          <w:p>
            <w:pPr>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3"/>
                <w:szCs w:val="13"/>
                <w:color w:val="auto"/>
              </w:rPr>
            </w:pPr>
          </w:p>
        </w:tc>
        <w:tc>
          <w:tcPr>
            <w:tcW w:w="112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3"/>
                <w:szCs w:val="13"/>
                <w:color w:val="auto"/>
              </w:rPr>
            </w:pPr>
          </w:p>
        </w:tc>
        <w:tc>
          <w:tcPr>
            <w:tcW w:w="12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Government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Arial" w:cs="Arial" w:eastAsia="Arial" w:hAnsi="Arial"/>
                <w:sz w:val="14"/>
                <w:szCs w:val="14"/>
                <w:color w:val="auto"/>
              </w:rPr>
              <w:t>Transportation</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center"/>
              <w:ind w:right="280"/>
              <w:spacing w:after="0" w:line="155" w:lineRule="exact"/>
              <w:rPr>
                <w:sz w:val="20"/>
                <w:szCs w:val="20"/>
                <w:color w:val="auto"/>
              </w:rPr>
            </w:pPr>
            <w:r>
              <w:rPr>
                <w:rFonts w:ascii="Arial" w:cs="Arial" w:eastAsia="Arial" w:hAnsi="Arial"/>
                <w:sz w:val="14"/>
                <w:szCs w:val="14"/>
                <w:color w:val="auto"/>
              </w:rPr>
              <w:t>Divestitures</w:t>
            </w:r>
          </w:p>
        </w:tc>
        <w:tc>
          <w:tcPr>
            <w:tcW w:w="128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Unallocated Costs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540" w:type="dxa"/>
            <w:vAlign w:val="bottom"/>
            <w:tcBorders>
              <w:bottom w:val="single" w:sz="8" w:color="auto"/>
            </w:tcBorders>
            <w:shd w:val="clear" w:color="auto" w:fill="CCEEFF"/>
          </w:tcPr>
          <w:p>
            <w:pPr>
              <w:spacing w:after="0"/>
              <w:rPr>
                <w:sz w:val="15"/>
                <w:szCs w:val="15"/>
                <w:color w:val="auto"/>
              </w:rPr>
            </w:pPr>
          </w:p>
        </w:tc>
        <w:tc>
          <w:tcPr>
            <w:tcW w:w="22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8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881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503</w:t>
            </w:r>
          </w:p>
        </w:tc>
        <w:tc>
          <w:tcPr>
            <w:tcW w:w="120" w:type="dxa"/>
            <w:vAlign w:val="bottom"/>
          </w:tcPr>
          <w:p>
            <w:pPr>
              <w:spacing w:after="0"/>
              <w:rPr>
                <w:sz w:val="16"/>
                <w:szCs w:val="16"/>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285</w:t>
            </w:r>
          </w:p>
        </w:tc>
        <w:tc>
          <w:tcPr>
            <w:tcW w:w="60" w:type="dxa"/>
            <w:vAlign w:val="bottom"/>
          </w:tcPr>
          <w:p>
            <w:pPr>
              <w:spacing w:after="0"/>
              <w:rPr>
                <w:sz w:val="16"/>
                <w:szCs w:val="16"/>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1,749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w:t>
            </w: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(143)</w:t>
            </w: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3"/>
                <w:szCs w:val="23"/>
                <w:color w:val="auto"/>
              </w:rPr>
            </w:pPr>
          </w:p>
        </w:tc>
        <w:tc>
          <w:tcPr>
            <w:tcW w:w="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8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921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534</w:t>
            </w:r>
          </w:p>
        </w:tc>
        <w:tc>
          <w:tcPr>
            <w:tcW w:w="120" w:type="dxa"/>
            <w:vAlign w:val="bottom"/>
          </w:tcPr>
          <w:p>
            <w:pPr>
              <w:spacing w:after="0"/>
              <w:rPr>
                <w:sz w:val="16"/>
                <w:szCs w:val="16"/>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256</w:t>
            </w:r>
          </w:p>
        </w:tc>
        <w:tc>
          <w:tcPr>
            <w:tcW w:w="60" w:type="dxa"/>
            <w:vAlign w:val="bottom"/>
          </w:tcPr>
          <w:p>
            <w:pPr>
              <w:spacing w:after="0"/>
              <w:rPr>
                <w:sz w:val="16"/>
                <w:szCs w:val="16"/>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1,837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w:t>
            </w: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(149)</w:t>
            </w: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62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8"/>
          </w:tcPr>
          <w:p>
            <w:pPr>
              <w:ind w:left="44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24"/>
                <w:szCs w:val="24"/>
                <w:color w:val="auto"/>
              </w:rPr>
            </w:pPr>
          </w:p>
        </w:tc>
        <w:tc>
          <w:tcPr>
            <w:tcW w:w="2200" w:type="dxa"/>
            <w:vAlign w:val="bottom"/>
            <w:gridSpan w:val="6"/>
          </w:tcPr>
          <w:p>
            <w:pPr>
              <w:jc w:val="right"/>
              <w:ind w:right="608"/>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gridSpan w:val="4"/>
          </w:tcPr>
          <w:p>
            <w:pPr>
              <w:spacing w:after="0" w:line="124" w:lineRule="exact"/>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5"/>
          </w:tcPr>
          <w:p>
            <w:pPr>
              <w:jc w:val="right"/>
              <w:spacing w:after="0" w:line="125" w:lineRule="exact"/>
              <w:rPr>
                <w:sz w:val="20"/>
                <w:szCs w:val="20"/>
                <w:color w:val="auto"/>
              </w:rPr>
            </w:pPr>
            <w:r>
              <w:rPr>
                <w:rFonts w:ascii="Arial" w:cs="Arial" w:eastAsia="Arial" w:hAnsi="Arial"/>
                <w:sz w:val="14"/>
                <w:szCs w:val="14"/>
                <w:color w:val="auto"/>
              </w:rPr>
              <w:t>June 30,</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5"/>
          </w:tcPr>
          <w:p>
            <w:pPr>
              <w:jc w:val="right"/>
              <w:ind w:right="100"/>
              <w:spacing w:after="0" w:line="125" w:lineRule="exact"/>
              <w:rPr>
                <w:sz w:val="20"/>
                <w:szCs w:val="20"/>
                <w:color w:val="auto"/>
              </w:rPr>
            </w:pPr>
            <w:r>
              <w:rPr>
                <w:rFonts w:ascii="Arial" w:cs="Arial" w:eastAsia="Arial" w:hAnsi="Arial"/>
                <w:sz w:val="14"/>
                <w:szCs w:val="14"/>
                <w:color w:val="auto"/>
              </w:rPr>
              <w:t>June 30,</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476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Segment Profit (Loss) Reconciliation to Pre-tax Income (Loss)</w:t>
            </w: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60" w:type="dxa"/>
            <w:vAlign w:val="bottom"/>
            <w:gridSpan w:val="8"/>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28"/>
              <w:spacing w:after="0" w:line="155" w:lineRule="exact"/>
              <w:rPr>
                <w:sz w:val="20"/>
                <w:szCs w:val="20"/>
                <w:color w:val="auto"/>
              </w:rPr>
            </w:pPr>
            <w:r>
              <w:rPr>
                <w:rFonts w:ascii="Arial" w:cs="Arial" w:eastAsia="Arial" w:hAnsi="Arial"/>
                <w:sz w:val="14"/>
                <w:szCs w:val="14"/>
                <w:color w:val="auto"/>
              </w:rPr>
              <w:t>2024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48"/>
              <w:spacing w:after="0" w:line="155" w:lineRule="exact"/>
              <w:rPr>
                <w:sz w:val="20"/>
                <w:szCs w:val="20"/>
                <w:color w:val="auto"/>
              </w:rPr>
            </w:pPr>
            <w:r>
              <w:rPr>
                <w:rFonts w:ascii="Arial" w:cs="Arial" w:eastAsia="Arial" w:hAnsi="Arial"/>
                <w:sz w:val="14"/>
                <w:szCs w:val="14"/>
                <w:color w:val="auto"/>
              </w:rPr>
              <w:t>2023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6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gridSpan w:val="4"/>
          </w:tcPr>
          <w:p>
            <w:pPr>
              <w:spacing w:after="0"/>
              <w:rPr>
                <w:sz w:val="20"/>
                <w:szCs w:val="20"/>
                <w:color w:val="auto"/>
              </w:rPr>
            </w:pPr>
            <w:r>
              <w:rPr>
                <w:rFonts w:ascii="Arial" w:cs="Arial" w:eastAsia="Arial" w:hAnsi="Arial"/>
                <w:sz w:val="14"/>
                <w:szCs w:val="14"/>
                <w:color w:val="auto"/>
              </w:rPr>
              <w:t>Reconciling items: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gridSpan w:val="4"/>
          </w:tcPr>
          <w:p>
            <w:pPr>
              <w:ind w:left="120"/>
              <w:spacing w:after="0"/>
              <w:rPr>
                <w:sz w:val="20"/>
                <w:szCs w:val="20"/>
                <w:color w:val="auto"/>
              </w:rPr>
            </w:pPr>
            <w:r>
              <w:rPr>
                <w:rFonts w:ascii="Arial" w:cs="Arial" w:eastAsia="Arial" w:hAnsi="Arial"/>
                <w:sz w:val="14"/>
                <w:szCs w:val="14"/>
                <w:color w:val="auto"/>
              </w:rPr>
              <w:t>Restructuring and related costs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gridSpan w:val="4"/>
          </w:tcPr>
          <w:p>
            <w:pPr>
              <w:ind w:left="120"/>
              <w:spacing w:after="0"/>
              <w:rPr>
                <w:sz w:val="20"/>
                <w:szCs w:val="20"/>
                <w:color w:val="auto"/>
              </w:rPr>
            </w:pPr>
            <w:r>
              <w:rPr>
                <w:rFonts w:ascii="Arial" w:cs="Arial" w:eastAsia="Arial" w:hAnsi="Arial"/>
                <w:sz w:val="14"/>
                <w:szCs w:val="14"/>
                <w:color w:val="auto"/>
              </w:rPr>
              <w:t>(Gain) loss on divestitures and transaction costs, net</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Litigation settlements (recoveries), net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gridSpan w:val="4"/>
          </w:tcPr>
          <w:p>
            <w:pPr>
              <w:ind w:left="120"/>
              <w:spacing w:after="0"/>
              <w:rPr>
                <w:sz w:val="20"/>
                <w:szCs w:val="20"/>
                <w:color w:val="auto"/>
              </w:rPr>
            </w:pPr>
            <w:r>
              <w:rPr>
                <w:rFonts w:ascii="Arial" w:cs="Arial" w:eastAsia="Arial" w:hAnsi="Arial"/>
                <w:sz w:val="14"/>
                <w:szCs w:val="14"/>
                <w:color w:val="auto"/>
              </w:rPr>
              <w:t>Loss on extinguishment of debt</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Other (income) expenses, net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480" w:type="dxa"/>
            <w:vAlign w:val="bottom"/>
            <w:gridSpan w:val="4"/>
          </w:tcPr>
          <w:p>
            <w:pPr>
              <w:spacing w:after="0"/>
              <w:rPr>
                <w:sz w:val="20"/>
                <w:szCs w:val="20"/>
                <w:color w:val="auto"/>
              </w:rPr>
            </w:pPr>
            <w:r>
              <w:rPr>
                <w:rFonts w:ascii="Arial" w:cs="Arial" w:eastAsia="Arial" w:hAnsi="Arial"/>
                <w:sz w:val="14"/>
                <w:szCs w:val="14"/>
                <w:b w:val="1"/>
                <w:bCs w:val="1"/>
                <w:color w:val="auto"/>
              </w:rPr>
              <w:t>Segment Profit (Loss)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7"/>
                <w:szCs w:val="17"/>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 Revenue for additional information on disaggregated revenues of the reportable segments.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Note 5 – Divestitures and Assets/Liabilities Held for Sale</w:t>
      </w:r>
    </w:p>
    <w:p>
      <w:pPr>
        <w:spacing w:after="0" w:line="162" w:lineRule="exact"/>
        <w:rPr>
          <w:sz w:val="20"/>
          <w:szCs w:val="20"/>
          <w:color w:val="auto"/>
        </w:rPr>
      </w:pPr>
    </w:p>
    <w:p>
      <w:pPr>
        <w:jc w:val="both"/>
        <w:ind w:right="760"/>
        <w:spacing w:after="0" w:line="287" w:lineRule="auto"/>
        <w:rPr>
          <w:sz w:val="20"/>
          <w:szCs w:val="20"/>
          <w:color w:val="auto"/>
        </w:rPr>
      </w:pPr>
      <w:r>
        <w:rPr>
          <w:rFonts w:ascii="Arial" w:cs="Arial" w:eastAsia="Arial" w:hAnsi="Arial"/>
          <w:sz w:val="18"/>
          <w:szCs w:val="18"/>
          <w:color w:val="auto"/>
        </w:rPr>
        <w:t>The Company entered into various agreements to transfer or sell certain portfolios and businesses in 2023 and 2024. Each of these transactions is described below. As applicable, the assets and liabilities held for sale for each transaction are also presented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Transfer of BenefitWallet Portfolio</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September 2023, the Company entered into a Custodial Transfer and Asset Purchase Agreement to transfer its BenefitWallet health savings account and medical savings account portfolio (collectively, the "BenefitWallet Portfolio") to HealthEquity, Inc. ("HealthEquity") for an aggregate purchase price of $425 million (the "Purchase Price"), subject to customary purchase price adjustments. As of December 31, 2023, there were no asset or liability balances related to the BenefitWallet Portfolio that would require disclosure as assets and liabilities held for sale on the Company's Condensed Consolidated Balance Sheet.</w:t>
      </w:r>
    </w:p>
    <w:p>
      <w:pPr>
        <w:spacing w:after="0" w:line="200" w:lineRule="exact"/>
        <w:rPr>
          <w:sz w:val="20"/>
          <w:szCs w:val="20"/>
          <w:color w:val="auto"/>
        </w:rPr>
      </w:pPr>
    </w:p>
    <w:p>
      <w:pPr>
        <w:spacing w:after="0" w:line="32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BenefitWallet transfer closed in multiple tranches. The first tranche closed on March 7, 2024 with the Company receiving $164 million as the pro-rata share of the Purchase Price. On April 11, 2024, the second tranche closed and the Company received $85 million as the pro-rata share of the Purchase Price. The third and final tranche closed on May 14, 2024 and the Company received $176 million comprising the balance of the aggregate purchase price of $425 million. The Company recorded a gain on the transfer of $425 million less costs to sell of $13 million, which is recorded in Gain (loss) on divestitures and transaction costs, net. The Company recorded $101 million of income tax expense in connection with the BenefitWallet transfer.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BenefitWallet Portfolio generated revenue and pre-tax profit, excluding unallocated costs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jc w:val="center"/>
              <w:ind w:right="46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440" w:type="dxa"/>
            <w:vAlign w:val="bottom"/>
            <w:gridSpan w:val="4"/>
          </w:tcPr>
          <w:p>
            <w:pPr>
              <w:ind w:left="480"/>
              <w:spacing w:after="0"/>
              <w:rPr>
                <w:sz w:val="20"/>
                <w:szCs w:val="20"/>
                <w:color w:val="auto"/>
              </w:rPr>
            </w:pPr>
            <w:r>
              <w:rPr>
                <w:rFonts w:ascii="Arial" w:cs="Arial" w:eastAsia="Arial" w:hAnsi="Arial"/>
                <w:sz w:val="14"/>
                <w:szCs w:val="14"/>
                <w:color w:val="auto"/>
              </w:rPr>
              <w:t>Six Months Ended</w:t>
            </w: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00" w:type="dxa"/>
            <w:vAlign w:val="bottom"/>
          </w:tcPr>
          <w:p>
            <w:pPr>
              <w:spacing w:after="0"/>
              <w:rPr>
                <w:sz w:val="13"/>
                <w:szCs w:val="13"/>
                <w:color w:val="auto"/>
              </w:rPr>
            </w:pPr>
          </w:p>
        </w:tc>
        <w:tc>
          <w:tcPr>
            <w:tcW w:w="100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ind w:left="200"/>
              <w:spacing w:after="0" w:line="155"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ind w:left="80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94"/>
        </w:trPr>
        <w:tc>
          <w:tcPr>
            <w:tcW w:w="20" w:type="dxa"/>
            <w:vAlign w:val="bottom"/>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Pre-tax profit, excluding unallocated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ind w:left="80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Divestiture of Curbside Management and Public Safety Solutions Businesses</w:t>
      </w:r>
    </w:p>
    <w:p>
      <w:pPr>
        <w:spacing w:after="0" w:line="1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December 2023, the Company signed a definitive agreement to sell its Curbside Management and Public Safety Solutions businesses to Modaxo, a division of Constellation Software Inc., for $230 million (plus the assumption of certain indebtedness), subject to customary purchase price adjustments. The assets and liabilities of these businesses (collectively referred to as the "Curbside Disposal Group") were reclassified as held for sale and measured at the lower of carrying value or fair value less costs to sell.</w:t>
      </w:r>
    </w:p>
    <w:p>
      <w:pPr>
        <w:spacing w:after="0" w:line="12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April 30, 2024, Conduent completed the sale of this business. The Company received $174 million of cash consideration, a $50 million non-interest bearing note payable to the Company on April 30, 2025, and other amounts receivable of $56 million related to: (i) the reimbursement for payments made by the Company related to finance lease liabilities and related costs; (ii) the reimbursement for the purchase of certain equipment made by the Company on the buyer's behalf; and (iii) customary closing date purchase price holdbacks related to net asset targets, all of which are payable in the fourth quarter of 2024. The sale is subject to customary purchase price adjustments expected to be settled in the fourth quarter of 2024. In the second quarter of 2024, the Company recorded a gain on the sale of $108 million less costs to sell of $4 million, which is recorded in Gain (loss) on divestitures and transaction costs. The Company recorded $30 million of income tax expense in connection with the divestiture.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Curbside Disposal Group generated revenue and pre-tax profit, excluding unallocated costs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360" w:type="dxa"/>
            <w:vAlign w:val="bottom"/>
            <w:gridSpan w:val="4"/>
          </w:tcPr>
          <w:p>
            <w:pPr>
              <w:jc w:val="center"/>
              <w:ind w:left="248"/>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4"/>
          </w:tcPr>
          <w:p>
            <w:pPr>
              <w:jc w:val="center"/>
              <w:ind w:right="248"/>
              <w:spacing w:after="0"/>
              <w:rPr>
                <w:sz w:val="20"/>
                <w:szCs w:val="20"/>
                <w:color w:val="auto"/>
              </w:rPr>
            </w:pPr>
            <w:r>
              <w:rPr>
                <w:rFonts w:ascii="Arial" w:cs="Arial" w:eastAsia="Arial" w:hAnsi="Arial"/>
                <w:sz w:val="14"/>
                <w:szCs w:val="14"/>
                <w:color w:val="auto"/>
              </w:rPr>
              <w:t>Six Months Ended</w:t>
            </w: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508"/>
              <w:spacing w:after="0"/>
              <w:rPr>
                <w:sz w:val="20"/>
                <w:szCs w:val="20"/>
                <w:color w:val="auto"/>
              </w:rPr>
            </w:pPr>
            <w:r>
              <w:rPr>
                <w:rFonts w:ascii="Arial" w:cs="Arial" w:eastAsia="Arial" w:hAnsi="Arial"/>
                <w:sz w:val="14"/>
                <w:szCs w:val="14"/>
                <w:color w:val="auto"/>
              </w:rPr>
              <w:t>June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9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2024</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2023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194"/>
        </w:trPr>
        <w:tc>
          <w:tcPr>
            <w:tcW w:w="20" w:type="dxa"/>
            <w:vAlign w:val="bottom"/>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Pre-tax profit, excluding unallocated costs</w:t>
            </w:r>
          </w:p>
        </w:tc>
        <w:tc>
          <w:tcPr>
            <w:tcW w:w="9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Divestiture of Casualty Claims Solutions Business</w:t>
      </w:r>
    </w:p>
    <w:p>
      <w:pPr>
        <w:spacing w:after="0" w:line="17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On May 3, 2024, the Company entered into a definitive agreement to sell the Company’s Casualty Claims Solutions business to MedRisk. The sale is for $240 million in cash and is subject to certain purchase price adjustments. The consummation of the transaction is subject to regulatory approval and the satisfaction or waiver of customary closing conditions and is expected to close during the third quarter of 2024. The assets and liabilities of these businesses (collectively referred to as the "Casualty Disposal Group") have been reclassified as held for sale and measured at the lower of carrying value or fair value less costs to sell.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Casualty Disposal Group generated revenue and pre-tax profit, excluding unallocated costs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360" w:type="dxa"/>
            <w:vAlign w:val="bottom"/>
            <w:gridSpan w:val="4"/>
          </w:tcPr>
          <w:p>
            <w:pPr>
              <w:jc w:val="center"/>
              <w:ind w:left="248"/>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4"/>
          </w:tcPr>
          <w:p>
            <w:pPr>
              <w:ind w:left="480"/>
              <w:spacing w:after="0"/>
              <w:rPr>
                <w:sz w:val="20"/>
                <w:szCs w:val="20"/>
                <w:color w:val="auto"/>
              </w:rPr>
            </w:pPr>
            <w:r>
              <w:rPr>
                <w:rFonts w:ascii="Arial" w:cs="Arial" w:eastAsia="Arial" w:hAnsi="Arial"/>
                <w:sz w:val="14"/>
                <w:szCs w:val="14"/>
                <w:color w:val="auto"/>
              </w:rPr>
              <w:t>Six Months Ended</w:t>
            </w: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508"/>
              <w:spacing w:after="0"/>
              <w:rPr>
                <w:sz w:val="20"/>
                <w:szCs w:val="20"/>
                <w:color w:val="auto"/>
              </w:rPr>
            </w:pPr>
            <w:r>
              <w:rPr>
                <w:rFonts w:ascii="Arial" w:cs="Arial" w:eastAsia="Arial" w:hAnsi="Arial"/>
                <w:sz w:val="14"/>
                <w:szCs w:val="14"/>
                <w:color w:val="auto"/>
              </w:rPr>
              <w:t>June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9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2024</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2023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ind w:left="200"/>
              <w:spacing w:after="0" w:line="155"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ind w:left="800"/>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r>
      <w:tr>
        <w:trPr>
          <w:trHeight w:val="194"/>
        </w:trPr>
        <w:tc>
          <w:tcPr>
            <w:tcW w:w="20" w:type="dxa"/>
            <w:vAlign w:val="bottom"/>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Pre-tax profit, excluding unallocated costs</w:t>
            </w:r>
          </w:p>
        </w:tc>
        <w:tc>
          <w:tcPr>
            <w:tcW w:w="9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ind w:left="800"/>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Assets/Liabilities Held for Sale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noted above, the BenefitWallet Portfolio did not have any associated assets and liabilities to disclose as held for sale in the Company's Condensed Consolidated Balance Sheet at December 31, 2023. The divestiture of the Company's Curbside Management and Public Safety Solutions businesses was announced in December 2023 and completed in the second quarter of 2024. Accordingly, the assets and liabilities of these businesses were disclosed as held for sale as of December 31, 2023 and removed as of June 30, 2024. The assets and liabilities of the Casualty Disposal Group are disclosed as held for sale as of June 30, 2024.</w:t>
      </w:r>
    </w:p>
    <w:p>
      <w:pPr>
        <w:spacing w:after="0" w:line="125" w:lineRule="exact"/>
        <w:rPr>
          <w:sz w:val="20"/>
          <w:szCs w:val="20"/>
          <w:color w:val="auto"/>
        </w:rPr>
      </w:pPr>
    </w:p>
    <w:p>
      <w:pPr>
        <w:ind w:right="480"/>
        <w:spacing w:after="0" w:line="279" w:lineRule="auto"/>
        <w:rPr>
          <w:sz w:val="20"/>
          <w:szCs w:val="20"/>
          <w:color w:val="auto"/>
        </w:rPr>
      </w:pPr>
      <w:r>
        <w:rPr>
          <w:rFonts w:ascii="Arial" w:cs="Arial" w:eastAsia="Arial" w:hAnsi="Arial"/>
          <w:sz w:val="18"/>
          <w:szCs w:val="18"/>
          <w:color w:val="auto"/>
        </w:rPr>
        <w:t>The following is a summary of the major categories of assets and liabilities that have been reclassified as held for sale for each of these transactions: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Casualty Disposal Group</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Curbside Disposal Group</w:t>
            </w:r>
          </w:p>
        </w:tc>
      </w:tr>
      <w:tr>
        <w:trPr>
          <w:trHeight w:val="162"/>
        </w:trPr>
        <w:tc>
          <w:tcPr>
            <w:tcW w:w="20" w:type="dxa"/>
            <w:vAlign w:val="bottom"/>
          </w:tcPr>
          <w:p>
            <w:pPr>
              <w:spacing w:after="0"/>
              <w:rPr>
                <w:sz w:val="14"/>
                <w:szCs w:val="14"/>
                <w:color w:val="auto"/>
              </w:rPr>
            </w:pPr>
          </w:p>
        </w:tc>
        <w:tc>
          <w:tcPr>
            <w:tcW w:w="64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40" w:type="dxa"/>
            <w:vAlign w:val="bottom"/>
          </w:tcPr>
          <w:p>
            <w:pPr>
              <w:jc w:val="right"/>
              <w:ind w:right="348"/>
              <w:spacing w:after="0"/>
              <w:rPr>
                <w:sz w:val="20"/>
                <w:szCs w:val="20"/>
                <w:color w:val="auto"/>
              </w:rPr>
            </w:pPr>
            <w:r>
              <w:rPr>
                <w:rFonts w:ascii="Arial" w:cs="Arial" w:eastAsia="Arial" w:hAnsi="Arial"/>
                <w:sz w:val="14"/>
                <w:szCs w:val="14"/>
                <w:color w:val="auto"/>
              </w:rPr>
              <w:t>June 30, 2024</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jc w:val="right"/>
              <w:ind w:right="468"/>
              <w:spacing w:after="0"/>
              <w:rPr>
                <w:sz w:val="20"/>
                <w:szCs w:val="20"/>
                <w:color w:val="auto"/>
              </w:rPr>
            </w:pPr>
            <w:r>
              <w:rPr>
                <w:rFonts w:ascii="Arial" w:cs="Arial" w:eastAsia="Arial" w:hAnsi="Arial"/>
                <w:sz w:val="14"/>
                <w:szCs w:val="14"/>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2040" w:type="dxa"/>
            <w:vAlign w:val="bottom"/>
            <w:shd w:val="clear" w:color="auto" w:fill="CCEEFF"/>
          </w:tcPr>
          <w:p>
            <w:pPr>
              <w:jc w:val="right"/>
              <w:ind w:right="18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98"/>
        </w:trPr>
        <w:tc>
          <w:tcPr>
            <w:tcW w:w="2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2040" w:type="dxa"/>
            <w:vAlign w:val="bottom"/>
          </w:tcPr>
          <w:p>
            <w:pPr>
              <w:spacing w:after="0"/>
              <w:rPr>
                <w:sz w:val="17"/>
                <w:szCs w:val="17"/>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7"/>
        </w:trPr>
        <w:tc>
          <w:tcPr>
            <w:tcW w:w="20" w:type="dxa"/>
            <w:vAlign w:val="bottom"/>
            <w:shd w:val="clear" w:color="auto" w:fill="CCEEFF"/>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 building and equipment, net</w:t>
            </w:r>
          </w:p>
        </w:tc>
        <w:tc>
          <w:tcPr>
            <w:tcW w:w="20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98"/>
        </w:trPr>
        <w:tc>
          <w:tcPr>
            <w:tcW w:w="2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4"/>
                <w:szCs w:val="14"/>
                <w:color w:val="auto"/>
              </w:rPr>
              <w:t>Operating lease right-of-use assets</w:t>
            </w:r>
          </w:p>
        </w:tc>
        <w:tc>
          <w:tcPr>
            <w:tcW w:w="204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7"/>
        </w:trPr>
        <w:tc>
          <w:tcPr>
            <w:tcW w:w="20" w:type="dxa"/>
            <w:vAlign w:val="bottom"/>
            <w:shd w:val="clear" w:color="auto" w:fill="CCEEFF"/>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20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04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3"/>
        </w:trPr>
        <w:tc>
          <w:tcPr>
            <w:tcW w:w="20" w:type="dxa"/>
            <w:vAlign w:val="bottom"/>
            <w:shd w:val="clear" w:color="auto" w:fill="CCEEFF"/>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assets</w:t>
            </w:r>
          </w:p>
        </w:tc>
        <w:tc>
          <w:tcPr>
            <w:tcW w:w="20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00"/>
        </w:trPr>
        <w:tc>
          <w:tcPr>
            <w:tcW w:w="2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Total Assets held for sale</w:t>
            </w:r>
          </w:p>
        </w:tc>
        <w:tc>
          <w:tcPr>
            <w:tcW w:w="2040" w:type="dxa"/>
            <w:vAlign w:val="bottom"/>
            <w:tcBorders>
              <w:bottom w:val="single" w:sz="8" w:color="auto"/>
            </w:tcBorders>
          </w:tcPr>
          <w:p>
            <w:pPr>
              <w:jc w:val="right"/>
              <w:ind w:right="18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portion of long-term debt</w:t>
            </w:r>
          </w:p>
        </w:tc>
        <w:tc>
          <w:tcPr>
            <w:tcW w:w="2040" w:type="dxa"/>
            <w:vAlign w:val="bottom"/>
            <w:shd w:val="clear" w:color="auto" w:fill="CCEEFF"/>
          </w:tcPr>
          <w:p>
            <w:pPr>
              <w:jc w:val="right"/>
              <w:ind w:right="186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8"/>
        </w:trPr>
        <w:tc>
          <w:tcPr>
            <w:tcW w:w="2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4"/>
                <w:szCs w:val="14"/>
                <w:color w:val="auto"/>
              </w:rPr>
              <w:t>Accounts payable</w:t>
            </w:r>
          </w:p>
        </w:tc>
        <w:tc>
          <w:tcPr>
            <w:tcW w:w="2040" w:type="dxa"/>
            <w:vAlign w:val="bottom"/>
          </w:tcPr>
          <w:p>
            <w:pPr>
              <w:spacing w:after="0"/>
              <w:rPr>
                <w:sz w:val="17"/>
                <w:szCs w:val="17"/>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7"/>
        </w:trPr>
        <w:tc>
          <w:tcPr>
            <w:tcW w:w="20" w:type="dxa"/>
            <w:vAlign w:val="bottom"/>
            <w:shd w:val="clear" w:color="auto" w:fill="CCEEFF"/>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compensation and benefits costs</w:t>
            </w:r>
          </w:p>
        </w:tc>
        <w:tc>
          <w:tcPr>
            <w:tcW w:w="20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8"/>
        </w:trPr>
        <w:tc>
          <w:tcPr>
            <w:tcW w:w="2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4"/>
                <w:szCs w:val="14"/>
                <w:color w:val="auto"/>
              </w:rPr>
              <w:t>Unearned income</w:t>
            </w:r>
          </w:p>
        </w:tc>
        <w:tc>
          <w:tcPr>
            <w:tcW w:w="204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7"/>
        </w:trPr>
        <w:tc>
          <w:tcPr>
            <w:tcW w:w="20" w:type="dxa"/>
            <w:vAlign w:val="bottom"/>
            <w:shd w:val="clear" w:color="auto" w:fill="CCEEFF"/>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current liabilities</w:t>
            </w:r>
          </w:p>
        </w:tc>
        <w:tc>
          <w:tcPr>
            <w:tcW w:w="20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98"/>
        </w:trPr>
        <w:tc>
          <w:tcPr>
            <w:tcW w:w="2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04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7"/>
        </w:trPr>
        <w:tc>
          <w:tcPr>
            <w:tcW w:w="20" w:type="dxa"/>
            <w:vAlign w:val="bottom"/>
            <w:shd w:val="clear" w:color="auto" w:fill="CCEEFF"/>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 liabilities</w:t>
            </w:r>
          </w:p>
        </w:tc>
        <w:tc>
          <w:tcPr>
            <w:tcW w:w="20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8"/>
        </w:trPr>
        <w:tc>
          <w:tcPr>
            <w:tcW w:w="20" w:type="dxa"/>
            <w:vAlign w:val="bottom"/>
            <w:tcBorders>
              <w:bottom w:val="single" w:sz="8" w:color="CCEEFF"/>
            </w:tcBorders>
          </w:tcPr>
          <w:p>
            <w:pPr>
              <w:spacing w:after="0"/>
              <w:rPr>
                <w:sz w:val="17"/>
                <w:szCs w:val="17"/>
                <w:color w:val="auto"/>
              </w:rPr>
            </w:pPr>
          </w:p>
        </w:tc>
        <w:tc>
          <w:tcPr>
            <w:tcW w:w="64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long-term liabilities</w:t>
            </w:r>
          </w:p>
        </w:tc>
        <w:tc>
          <w:tcPr>
            <w:tcW w:w="20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Liabilities held for sale</w:t>
            </w:r>
          </w:p>
        </w:tc>
        <w:tc>
          <w:tcPr>
            <w:tcW w:w="2040" w:type="dxa"/>
            <w:vAlign w:val="bottom"/>
            <w:tcBorders>
              <w:bottom w:val="single" w:sz="8" w:color="auto"/>
            </w:tcBorders>
            <w:shd w:val="clear" w:color="auto" w:fill="CCEEFF"/>
          </w:tcPr>
          <w:p>
            <w:pPr>
              <w:jc w:val="right"/>
              <w:ind w:right="18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6 – Restructuring Programs and Related Costs</w:t>
      </w:r>
    </w:p>
    <w:p>
      <w:pPr>
        <w:spacing w:after="0" w:line="1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engages in a series of restructuring programs related to exiting certain activities, downsizing its employee base,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("ROU") asset impairments and other related costs. Also included in Restructuring and related costs are incremental, non-recurring costs related to the consolidation of the Company's data centers, and bringing certain technology functions in-house, which totaled $2 million and $2 million for the three months ended June 30, 2024 and 2023, respectively, and $3 million and $4 million for the six months ended June 30, 2024 and 2023, respectively. Management continues to evaluate the Company's businesses and, in the future, there may be additional provisions for new plan initiatives and/or changes in previously recorded estimates as payments are made, or actions are completed.</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Costs associated with restructuring, including employee severance and lease termination costs, are generally recognized when it has been determined that a liability has been incurred, which is generally upon communication to the affected employees or exit from the leased facility. In those geographies where the Company has either a formal severance plan or a history of consistently providing severance benefits representing a substantive plan, it recognizes employee severance costs when they are both probable and reasonably estimable. Asset impairment costs related to the reduction of the Company's real estate footprint include impairment of operating lease ROU assets and associated leasehold improvements.</w:t>
      </w:r>
    </w:p>
    <w:p>
      <w:pPr>
        <w:spacing w:after="0" w:line="200" w:lineRule="exact"/>
        <w:rPr>
          <w:sz w:val="20"/>
          <w:szCs w:val="20"/>
          <w:color w:val="auto"/>
        </w:rPr>
      </w:pPr>
    </w:p>
    <w:p>
      <w:pPr>
        <w:spacing w:after="0" w:line="32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restructuring program activity during the six months ended June 30, 2024 and 2023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14"/>
                <w:szCs w:val="14"/>
                <w:color w:val="auto"/>
              </w:rPr>
            </w:pPr>
          </w:p>
        </w:tc>
        <w:tc>
          <w:tcPr>
            <w:tcW w:w="1640" w:type="dxa"/>
            <w:vAlign w:val="bottom"/>
            <w:gridSpan w:val="3"/>
          </w:tcPr>
          <w:p>
            <w:pPr>
              <w:jc w:val="center"/>
              <w:ind w:right="20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14"/>
                <w:szCs w:val="14"/>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38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rPr>
              <w:t>Costs</w:t>
            </w:r>
          </w:p>
        </w:tc>
        <w:tc>
          <w:tcPr>
            <w:tcW w:w="120" w:type="dxa"/>
            <w:vAlign w:val="bottom"/>
          </w:tcPr>
          <w:p>
            <w:pPr>
              <w:spacing w:after="0"/>
              <w:rPr>
                <w:sz w:val="12"/>
                <w:szCs w:val="12"/>
                <w:color w:val="auto"/>
              </w:rPr>
            </w:pPr>
          </w:p>
        </w:tc>
        <w:tc>
          <w:tcPr>
            <w:tcW w:w="164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rPr>
              <w:t>Costs</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2023</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3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3"/>
          </w:tcPr>
          <w:p>
            <w:pPr>
              <w:spacing w:after="0" w:line="196"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June 30, 2024</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40" w:type="dxa"/>
            <w:vAlign w:val="bottom"/>
            <w:gridSpan w:val="4"/>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22"/>
                <w:szCs w:val="22"/>
                <w:color w:val="auto"/>
              </w:rPr>
            </w:pPr>
          </w:p>
        </w:tc>
        <w:tc>
          <w:tcPr>
            <w:tcW w:w="1640" w:type="dxa"/>
            <w:vAlign w:val="bottom"/>
            <w:gridSpan w:val="3"/>
          </w:tcPr>
          <w:p>
            <w:pPr>
              <w:jc w:val="center"/>
              <w:ind w:right="22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22"/>
                <w:szCs w:val="22"/>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22"/>
                <w:szCs w:val="22"/>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00" w:type="dxa"/>
            <w:vAlign w:val="bottom"/>
            <w:gridSpan w:val="3"/>
          </w:tcPr>
          <w:p>
            <w:pPr>
              <w:spacing w:after="0" w:line="124" w:lineRule="exact"/>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380" w:type="dxa"/>
            <w:vAlign w:val="bottom"/>
            <w:gridSpan w:val="3"/>
          </w:tcPr>
          <w:p>
            <w:pPr>
              <w:jc w:val="center"/>
              <w:ind w:right="500"/>
              <w:spacing w:after="0" w:line="125" w:lineRule="exact"/>
              <w:rPr>
                <w:sz w:val="20"/>
                <w:szCs w:val="20"/>
                <w:color w:val="auto"/>
              </w:rPr>
            </w:pPr>
            <w:r>
              <w:rPr>
                <w:rFonts w:ascii="Arial" w:cs="Arial" w:eastAsia="Arial" w:hAnsi="Arial"/>
                <w:sz w:val="14"/>
                <w:szCs w:val="14"/>
                <w:color w:val="auto"/>
              </w:rPr>
              <w:t>Costs</w:t>
            </w:r>
          </w:p>
        </w:tc>
        <w:tc>
          <w:tcPr>
            <w:tcW w:w="120" w:type="dxa"/>
            <w:vAlign w:val="bottom"/>
          </w:tcPr>
          <w:p>
            <w:pPr>
              <w:spacing w:after="0"/>
              <w:rPr>
                <w:sz w:val="12"/>
                <w:szCs w:val="12"/>
                <w:color w:val="auto"/>
              </w:rPr>
            </w:pPr>
          </w:p>
        </w:tc>
        <w:tc>
          <w:tcPr>
            <w:tcW w:w="1640" w:type="dxa"/>
            <w:vAlign w:val="bottom"/>
            <w:gridSpan w:val="3"/>
          </w:tcPr>
          <w:p>
            <w:pPr>
              <w:jc w:val="center"/>
              <w:ind w:right="220"/>
              <w:spacing w:after="0" w:line="125" w:lineRule="exact"/>
              <w:rPr>
                <w:sz w:val="20"/>
                <w:szCs w:val="20"/>
                <w:color w:val="auto"/>
              </w:rPr>
            </w:pPr>
            <w:r>
              <w:rPr>
                <w:rFonts w:ascii="Arial" w:cs="Arial" w:eastAsia="Arial" w:hAnsi="Arial"/>
                <w:sz w:val="14"/>
                <w:szCs w:val="14"/>
                <w:color w:val="auto"/>
              </w:rPr>
              <w:t>Costs</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2022</w:t>
            </w: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4"/>
                <w:szCs w:val="14"/>
                <w:color w:val="auto"/>
              </w:rPr>
              <w:t>Total Net Current Period Charges</w:t>
            </w:r>
            <w:r>
              <w:rPr>
                <w:rFonts w:ascii="Arial" w:cs="Arial" w:eastAsia="Arial" w:hAnsi="Arial"/>
                <w:sz w:val="9"/>
                <w:szCs w:val="9"/>
                <w:color w:val="auto"/>
              </w:rPr>
              <w:t>(1)</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June 30, 2023</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7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amounts recognized within the Consolidated Statements of Income (Loss) for the years shown.</w:t>
      </w:r>
    </w:p>
    <w:p>
      <w:pPr>
        <w:spacing w:after="0" w:line="24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following table summarizes the total amount of costs incurred in connection with these restructuring programs by reportable and non-reportable segment: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440" w:type="dxa"/>
            <w:vAlign w:val="bottom"/>
            <w:gridSpan w:val="4"/>
          </w:tcPr>
          <w:p>
            <w:pPr>
              <w:jc w:val="right"/>
              <w:ind w:right="728"/>
              <w:spacing w:after="0"/>
              <w:rPr>
                <w:sz w:val="20"/>
                <w:szCs w:val="20"/>
                <w:color w:val="auto"/>
              </w:rPr>
            </w:pPr>
            <w:r>
              <w:rPr>
                <w:rFonts w:ascii="Arial" w:cs="Arial" w:eastAsia="Arial" w:hAnsi="Arial"/>
                <w:sz w:val="14"/>
                <w:szCs w:val="14"/>
                <w:color w:val="auto"/>
              </w:rPr>
              <w:t>Six Months Ended</w:t>
            </w: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00" w:type="dxa"/>
            <w:vAlign w:val="bottom"/>
          </w:tcPr>
          <w:p>
            <w:pPr>
              <w:spacing w:after="0"/>
              <w:rPr>
                <w:sz w:val="13"/>
                <w:szCs w:val="13"/>
                <w:color w:val="auto"/>
              </w:rPr>
            </w:pPr>
          </w:p>
        </w:tc>
        <w:tc>
          <w:tcPr>
            <w:tcW w:w="100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98"/>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Government</w:t>
            </w:r>
          </w:p>
        </w:tc>
        <w:tc>
          <w:tcPr>
            <w:tcW w:w="3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Transportation</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Divestitures</w:t>
            </w:r>
          </w:p>
        </w:tc>
        <w:tc>
          <w:tcPr>
            <w:tcW w:w="3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Unallocated Costs</w:t>
            </w:r>
            <w:r>
              <w:rPr>
                <w:rFonts w:ascii="Arial" w:cs="Arial" w:eastAsia="Arial" w:hAnsi="Arial"/>
                <w:sz w:val="18"/>
                <w:szCs w:val="18"/>
                <w:color w:val="auto"/>
                <w:vertAlign w:val="superscript"/>
              </w:rPr>
              <w:t>(1)</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96"/>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Total Net Restructuring Charges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71" w:lineRule="exact"/>
        <w:rPr>
          <w:sz w:val="20"/>
          <w:szCs w:val="20"/>
          <w:color w:val="auto"/>
        </w:rPr>
      </w:pPr>
    </w:p>
    <w:p>
      <w:pPr>
        <w:ind w:left="340" w:right="360" w:hanging="332"/>
        <w:spacing w:after="0" w:line="302" w:lineRule="auto"/>
        <w:tabs>
          <w:tab w:leader="none" w:pos="327"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costs related to the consolidation of the Company's data centers, operating lease ROU assets impairment, termination and other costs not allocated to the segments.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7 –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Long-term debt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color w:val="auto"/>
              </w:rPr>
              <w:t>June 30, 2024</w:t>
            </w:r>
          </w:p>
        </w:tc>
        <w:tc>
          <w:tcPr>
            <w:tcW w:w="180" w:type="dxa"/>
            <w:vAlign w:val="bottom"/>
          </w:tcPr>
          <w:p>
            <w:pPr>
              <w:spacing w:after="0"/>
              <w:rPr>
                <w:sz w:val="14"/>
                <w:szCs w:val="14"/>
                <w:color w:val="auto"/>
              </w:rPr>
            </w:pP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A due 2026</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w:t>
            </w:r>
          </w:p>
        </w:tc>
      </w:tr>
      <w:tr>
        <w:trPr>
          <w:trHeight w:val="198"/>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Term loan B due 2028</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505</w:t>
            </w:r>
          </w:p>
        </w:tc>
      </w:tr>
      <w:tr>
        <w:trPr>
          <w:trHeight w:val="207"/>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notes due 2029</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520</w:t>
            </w:r>
          </w:p>
        </w:tc>
      </w:tr>
      <w:tr>
        <w:trPr>
          <w:trHeight w:val="198"/>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Revolving credit facility maturing 2026</w:t>
            </w:r>
          </w:p>
        </w:tc>
        <w:tc>
          <w:tcPr>
            <w:tcW w:w="280" w:type="dxa"/>
            <w:vAlign w:val="bottom"/>
          </w:tcPr>
          <w:p>
            <w:pPr>
              <w:spacing w:after="0"/>
              <w:rPr>
                <w:sz w:val="17"/>
                <w:szCs w:val="17"/>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 obligations</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r>
      <w:tr>
        <w:trPr>
          <w:trHeight w:val="198"/>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r>
      <w:tr>
        <w:trPr>
          <w:trHeight w:val="200"/>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Principal debt balance</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1,300</w:t>
            </w:r>
          </w:p>
        </w:tc>
      </w:tr>
      <w:tr>
        <w:trPr>
          <w:trHeight w:val="198"/>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Debt issuance costs and unamortized discounts</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3"/>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current maturities</w:t>
            </w:r>
          </w:p>
        </w:tc>
        <w:tc>
          <w:tcPr>
            <w:tcW w:w="2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00"/>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Long-term Debt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1,248</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June 30, 2024, the Company had no outstanding borrowings under its revolving credit facility (the "Revolver"). Additionally, the Company utilized $ 3 million of the Revolver to issue letters of credit as of June 30, 2024. The net Revolver available to be drawn upon as of June 30, 2024 was $547 million.</w:t>
      </w:r>
    </w:p>
    <w:p>
      <w:pPr>
        <w:spacing w:after="0" w:line="200" w:lineRule="exact"/>
        <w:rPr>
          <w:sz w:val="20"/>
          <w:szCs w:val="20"/>
          <w:color w:val="auto"/>
        </w:rPr>
      </w:pPr>
    </w:p>
    <w:p>
      <w:pPr>
        <w:spacing w:after="0" w:line="33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ectPr>
          <w:pgSz w:w="11900" w:h="16838" w:orient="portrait"/>
          <w:cols w:equalWidth="0" w:num="1">
            <w:col w:w="11240"/>
          </w:cols>
          <w:pgMar w:left="320" w:top="156" w:right="33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type w:val="continuous"/>
        </w:sectPr>
      </w:pPr>
    </w:p>
    <w:bookmarkStart w:id="16" w:name="page17"/>
    <w:bookmarkEnd w:id="1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March 2024, the Company utilized the proceeds from the closing of the first tranche of the BenefitWallet Transfer to voluntarily prepay</w:t>
      </w:r>
    </w:p>
    <w:p>
      <w:pPr>
        <w:spacing w:after="0" w:line="2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$164 million of principal of the Senior Secured Term Loan B due 2028 ("Term Loan B") and wrote-off related debt issuance costs of $2 million which is included in Loss on extinguishment of debt in the Condensed Consolidated Statements of Income (Loss) for the six months ended June 30, 2024.</w:t>
      </w:r>
    </w:p>
    <w:p>
      <w:pPr>
        <w:spacing w:after="0" w:line="12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April and May 2024, the Company voluntarily prepaid $300 million of principal of the Term Loan B and wrote-off related debt issuance costs of $3 million for the three months ended June 30, 2024, which is included in Loss on extinguishment of debt in the Condensed Consolidated Statements of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June 30, 2024, the Company was in compliance with all debt covenants related to the borrowings in the table above.</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8 – Financial Instruments</w:t>
      </w:r>
    </w:p>
    <w:p>
      <w:pPr>
        <w:spacing w:after="0" w:line="16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is a global company that is exposed to foreign currency exchange rate fluctuations in the normal course of its business. As a part of the Company's foreign exchange risk management strategy, the Company uses derivative instruments, primarily forward contracts, to hedge the funding of foreign entities which have a non-dollar functional currency, thereby reducing volatility of earnings or protecting fair values of assets and liabilities.</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June 30, 2024 and December 31, 2023, the Company had outstanding forward exchange contracts with gross notional values of $189 million and $148 million, respectively. At June 30, 2024, approximately 77% of these contracts mature within three months, 9% in three to six months, 11% in six to twelve months and 3% in greater than twelve months. Most of these foreign currency derivative contracts are designated as cash flow hedges and did not have a material impact on the Company's balance sheet, income statement or cash flows for the periods presented.</w:t>
      </w:r>
    </w:p>
    <w:p>
      <w:pPr>
        <w:spacing w:after="0" w:line="12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Refer to Note 9 – Fair Value of Financial Assets and Liabilities for additional information regarding the fair value of the Company's foreign exchange forward contracts.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9 – Fair Value of Financial Assets and Liabilities</w:t>
      </w:r>
    </w:p>
    <w:p>
      <w:pPr>
        <w:spacing w:after="0" w:line="16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Level 1: Fair value is determined using an unadjusted quoted price in an active market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Fair value is estimated using inputs other than quoted prices included within Level 1 that are observable, either directly or indirectly.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is estimated using unobservable inputs that are significant to the fair value of the assets or liabilities.</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7" w:name="page18"/>
    <w:bookmarkEnd w:id="1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Financial Assets and Liabilities Accounted for at Fair Value on a Recurring Basis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The following table represents assets and liabilities measured at fair value on a recurring basis. The basis for the measurement at fair value in all cases was Level 2.</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3"/>
                <w:szCs w:val="13"/>
                <w:color w:val="auto"/>
              </w:rPr>
            </w:pPr>
          </w:p>
        </w:tc>
        <w:tc>
          <w:tcPr>
            <w:tcW w:w="168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June 30, 2024</w:t>
            </w:r>
          </w:p>
        </w:tc>
        <w:tc>
          <w:tcPr>
            <w:tcW w:w="180" w:type="dxa"/>
            <w:vAlign w:val="bottom"/>
          </w:tcPr>
          <w:p>
            <w:pPr>
              <w:spacing w:after="0"/>
              <w:rPr>
                <w:sz w:val="13"/>
                <w:szCs w:val="13"/>
                <w:color w:val="auto"/>
              </w:rPr>
            </w:pPr>
          </w:p>
        </w:tc>
        <w:tc>
          <w:tcPr>
            <w:tcW w:w="1660" w:type="dxa"/>
            <w:vAlign w:val="bottom"/>
          </w:tcPr>
          <w:p>
            <w:pPr>
              <w:jc w:val="right"/>
              <w:ind w:right="228"/>
              <w:spacing w:after="0" w:line="159" w:lineRule="exact"/>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Foreign exchange contracts - forward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74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Foreign exchange contracts - forward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Other Financial Assets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other financial assets and liabilities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 2024</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color w:val="auto"/>
              </w:rPr>
              <w:t>December 31, 2023</w:t>
            </w:r>
          </w:p>
        </w:tc>
      </w:tr>
      <w:tr>
        <w:trPr>
          <w:trHeight w:val="150"/>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48"/>
              <w:spacing w:after="0" w:line="151" w:lineRule="exact"/>
              <w:rPr>
                <w:sz w:val="20"/>
                <w:szCs w:val="20"/>
                <w:color w:val="auto"/>
              </w:rPr>
            </w:pPr>
            <w:r>
              <w:rPr>
                <w:rFonts w:ascii="Arial" w:cs="Arial" w:eastAsia="Arial" w:hAnsi="Arial"/>
                <w:sz w:val="14"/>
                <w:szCs w:val="14"/>
                <w:color w:val="auto"/>
              </w:rPr>
              <w:t>Carrying</w:t>
            </w:r>
          </w:p>
        </w:tc>
        <w:tc>
          <w:tcPr>
            <w:tcW w:w="520" w:type="dxa"/>
            <w:vAlign w:val="bottom"/>
          </w:tcPr>
          <w:p>
            <w:pPr>
              <w:spacing w:after="0"/>
              <w:rPr>
                <w:sz w:val="13"/>
                <w:szCs w:val="13"/>
                <w:color w:val="auto"/>
              </w:rPr>
            </w:pPr>
          </w:p>
        </w:tc>
        <w:tc>
          <w:tcPr>
            <w:tcW w:w="980" w:type="dxa"/>
            <w:vAlign w:val="bottom"/>
            <w:gridSpan w:val="2"/>
          </w:tcPr>
          <w:p>
            <w:pPr>
              <w:jc w:val="center"/>
              <w:ind w:right="540"/>
              <w:spacing w:after="0" w:line="151" w:lineRule="exact"/>
              <w:rPr>
                <w:sz w:val="20"/>
                <w:szCs w:val="20"/>
                <w:color w:val="auto"/>
              </w:rPr>
            </w:pPr>
            <w:r>
              <w:rPr>
                <w:rFonts w:ascii="Arial" w:cs="Arial" w:eastAsia="Arial" w:hAnsi="Arial"/>
                <w:sz w:val="14"/>
                <w:szCs w:val="14"/>
                <w:color w:val="auto"/>
                <w:w w:val="99"/>
              </w:rPr>
              <w:t>Fair</w:t>
            </w:r>
          </w:p>
        </w:tc>
        <w:tc>
          <w:tcPr>
            <w:tcW w:w="240" w:type="dxa"/>
            <w:vAlign w:val="bottom"/>
          </w:tcPr>
          <w:p>
            <w:pPr>
              <w:spacing w:after="0"/>
              <w:rPr>
                <w:sz w:val="13"/>
                <w:szCs w:val="13"/>
                <w:color w:val="auto"/>
              </w:rPr>
            </w:pPr>
          </w:p>
        </w:tc>
        <w:tc>
          <w:tcPr>
            <w:tcW w:w="1120" w:type="dxa"/>
            <w:vAlign w:val="bottom"/>
          </w:tcPr>
          <w:p>
            <w:pPr>
              <w:jc w:val="right"/>
              <w:ind w:right="348"/>
              <w:spacing w:after="0" w:line="151"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3"/>
                <w:szCs w:val="13"/>
                <w:color w:val="auto"/>
              </w:rPr>
            </w:pPr>
          </w:p>
        </w:tc>
        <w:tc>
          <w:tcPr>
            <w:tcW w:w="1040" w:type="dxa"/>
            <w:vAlign w:val="bottom"/>
          </w:tcPr>
          <w:p>
            <w:pPr>
              <w:jc w:val="right"/>
              <w:ind w:right="468"/>
              <w:spacing w:after="0" w:line="151" w:lineRule="exact"/>
              <w:rPr>
                <w:sz w:val="20"/>
                <w:szCs w:val="20"/>
                <w:color w:val="auto"/>
              </w:rPr>
            </w:pPr>
            <w:r>
              <w:rPr>
                <w:rFonts w:ascii="Arial" w:cs="Arial" w:eastAsia="Arial" w:hAnsi="Arial"/>
                <w:sz w:val="14"/>
                <w:szCs w:val="14"/>
                <w:color w:val="auto"/>
              </w:rPr>
              <w:t>Fair</w:t>
            </w:r>
          </w:p>
        </w:tc>
      </w:tr>
      <w:tr>
        <w:trPr>
          <w:trHeight w:val="144"/>
        </w:trPr>
        <w:tc>
          <w:tcPr>
            <w:tcW w:w="20" w:type="dxa"/>
            <w:vAlign w:val="bottom"/>
          </w:tcPr>
          <w:p>
            <w:pPr>
              <w:spacing w:after="0"/>
              <w:rPr>
                <w:sz w:val="12"/>
                <w:szCs w:val="12"/>
                <w:color w:val="auto"/>
              </w:rPr>
            </w:pPr>
          </w:p>
        </w:tc>
        <w:tc>
          <w:tcPr>
            <w:tcW w:w="5600" w:type="dxa"/>
            <w:vAlign w:val="bottom"/>
            <w:gridSpan w:val="2"/>
          </w:tcPr>
          <w:p>
            <w:pPr>
              <w:spacing w:after="0" w:line="124" w:lineRule="exact"/>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2"/>
                <w:szCs w:val="12"/>
                <w:color w:val="auto"/>
              </w:rPr>
            </w:pPr>
          </w:p>
        </w:tc>
        <w:tc>
          <w:tcPr>
            <w:tcW w:w="1100" w:type="dxa"/>
            <w:vAlign w:val="bottom"/>
          </w:tcPr>
          <w:p>
            <w:pPr>
              <w:jc w:val="right"/>
              <w:ind w:right="368"/>
              <w:spacing w:after="0" w:line="125" w:lineRule="exact"/>
              <w:rPr>
                <w:sz w:val="20"/>
                <w:szCs w:val="20"/>
                <w:color w:val="auto"/>
              </w:rPr>
            </w:pPr>
            <w:r>
              <w:rPr>
                <w:rFonts w:ascii="Arial" w:cs="Arial" w:eastAsia="Arial" w:hAnsi="Arial"/>
                <w:sz w:val="14"/>
                <w:szCs w:val="14"/>
                <w:color w:val="auto"/>
              </w:rPr>
              <w:t>Amount</w:t>
            </w:r>
          </w:p>
        </w:tc>
        <w:tc>
          <w:tcPr>
            <w:tcW w:w="520" w:type="dxa"/>
            <w:vAlign w:val="bottom"/>
          </w:tcPr>
          <w:p>
            <w:pPr>
              <w:spacing w:after="0"/>
              <w:rPr>
                <w:sz w:val="12"/>
                <w:szCs w:val="12"/>
                <w:color w:val="auto"/>
              </w:rPr>
            </w:pPr>
          </w:p>
        </w:tc>
        <w:tc>
          <w:tcPr>
            <w:tcW w:w="980" w:type="dxa"/>
            <w:vAlign w:val="bottom"/>
            <w:gridSpan w:val="2"/>
          </w:tcPr>
          <w:p>
            <w:pPr>
              <w:jc w:val="center"/>
              <w:ind w:right="540"/>
              <w:spacing w:after="0" w:line="125" w:lineRule="exact"/>
              <w:rPr>
                <w:sz w:val="20"/>
                <w:szCs w:val="20"/>
                <w:color w:val="auto"/>
              </w:rPr>
            </w:pPr>
            <w:r>
              <w:rPr>
                <w:rFonts w:ascii="Arial" w:cs="Arial" w:eastAsia="Arial" w:hAnsi="Arial"/>
                <w:sz w:val="14"/>
                <w:szCs w:val="14"/>
                <w:color w:val="auto"/>
              </w:rPr>
              <w:t>Value</w:t>
            </w:r>
          </w:p>
        </w:tc>
        <w:tc>
          <w:tcPr>
            <w:tcW w:w="240" w:type="dxa"/>
            <w:vAlign w:val="bottom"/>
          </w:tcPr>
          <w:p>
            <w:pPr>
              <w:spacing w:after="0"/>
              <w:rPr>
                <w:sz w:val="12"/>
                <w:szCs w:val="12"/>
                <w:color w:val="auto"/>
              </w:rPr>
            </w:pPr>
          </w:p>
        </w:tc>
        <w:tc>
          <w:tcPr>
            <w:tcW w:w="1120" w:type="dxa"/>
            <w:vAlign w:val="bottom"/>
          </w:tcPr>
          <w:p>
            <w:pPr>
              <w:jc w:val="right"/>
              <w:ind w:right="388"/>
              <w:spacing w:after="0" w:line="125" w:lineRule="exact"/>
              <w:rPr>
                <w:sz w:val="20"/>
                <w:szCs w:val="20"/>
                <w:color w:val="auto"/>
              </w:rPr>
            </w:pPr>
            <w:r>
              <w:rPr>
                <w:rFonts w:ascii="Arial" w:cs="Arial" w:eastAsia="Arial" w:hAnsi="Arial"/>
                <w:sz w:val="14"/>
                <w:szCs w:val="14"/>
                <w:color w:val="auto"/>
              </w:rPr>
              <w:t>Amount</w:t>
            </w:r>
          </w:p>
        </w:tc>
        <w:tc>
          <w:tcPr>
            <w:tcW w:w="360" w:type="dxa"/>
            <w:vAlign w:val="bottom"/>
          </w:tcPr>
          <w:p>
            <w:pPr>
              <w:spacing w:after="0"/>
              <w:rPr>
                <w:sz w:val="12"/>
                <w:szCs w:val="12"/>
                <w:color w:val="auto"/>
              </w:rPr>
            </w:pPr>
          </w:p>
        </w:tc>
        <w:tc>
          <w:tcPr>
            <w:tcW w:w="1040" w:type="dxa"/>
            <w:vAlign w:val="bottom"/>
          </w:tcPr>
          <w:p>
            <w:pPr>
              <w:jc w:val="right"/>
              <w:ind w:right="408"/>
              <w:spacing w:after="0" w:line="125" w:lineRule="exact"/>
              <w:rPr>
                <w:sz w:val="20"/>
                <w:szCs w:val="20"/>
                <w:color w:val="auto"/>
              </w:rPr>
            </w:pPr>
            <w:r>
              <w:rPr>
                <w:rFonts w:ascii="Arial" w:cs="Arial" w:eastAsia="Arial" w:hAnsi="Arial"/>
                <w:sz w:val="14"/>
                <w:szCs w:val="14"/>
                <w:color w:val="auto"/>
              </w:rPr>
              <w:t>Value</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Long-term debt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789</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1,248</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1,191</w:t>
            </w:r>
          </w:p>
        </w:tc>
      </w:tr>
      <w:tr>
        <w:trPr>
          <w:trHeight w:val="207"/>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Liabilities held for sale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5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r>
    </w:tbl>
    <w:p>
      <w:pPr>
        <w:spacing w:after="0" w:line="23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fair value amounts for Cash and cash equivalents, Restricted cash, Accounts receivable, net and Short-term debt approximate carrying amounts due to the short-term maturities of these instruments.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was estimated using quoted market prices for identical or similar instruments (Level 2 inputs).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10 – Employee Benefit Plans</w:t>
      </w:r>
    </w:p>
    <w:p>
      <w:pPr>
        <w:spacing w:after="0" w:line="16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Company has post-retirement pension, savings and investment plans in several countries, including the U.S., India and the Philippines. In many instances, employees participating in defined benefit pension plans that have been amended to freeze future service accruals were transitioned to an enhanced defined contribution plan. In these plans, employees are permitted to contribute a portion of their salaries and bonuses to the plans. The Company, at its discretion, matches a portion of employee contributions.</w:t>
      </w:r>
    </w:p>
    <w:p>
      <w:pPr>
        <w:spacing w:after="0" w:line="12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Company recognized an expense related to its defined contribution plans of $2 million and $ 3 million for the three months ended June 30, 2024 and 2023, respectively, and $6 million and $6 million for the six months ended June 30, 2024 and 2023, respectively. The balance sheet and income statement impacts of any remaining defined benefit plans are immaterial for all periods presented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Q2 2024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11 – Accumulated Other Comprehensive Loss ("AOCL")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Below are the balances and changes in AOCL</w:t>
      </w:r>
      <w:r>
        <w:rPr>
          <w:rFonts w:ascii="Arial" w:cs="Arial" w:eastAsia="Arial" w:hAnsi="Arial"/>
          <w:sz w:val="23"/>
          <w:szCs w:val="23"/>
          <w:color w:val="auto"/>
          <w:vertAlign w:val="superscript"/>
        </w:rPr>
        <w:t>(1)</w:t>
      </w:r>
      <w:r>
        <w:rPr>
          <w:rFonts w:ascii="Arial" w:cs="Arial" w:eastAsia="Arial" w:hAnsi="Arial"/>
          <w:sz w:val="18"/>
          <w:szCs w:val="18"/>
          <w:color w:val="auto"/>
        </w:rPr>
        <w:t>:</w:t>
      </w:r>
    </w:p>
    <w:tbl>
      <w:tblPr>
        <w:tblLayout w:type="fixed"/>
        <w:tblInd w:w="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color w:val="auto"/>
              </w:rPr>
              <w:t>Currency</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color w:val="auto"/>
              </w:rPr>
              <w:t>Gains (Losses) on</w:t>
            </w:r>
          </w:p>
        </w:tc>
        <w:tc>
          <w:tcPr>
            <w:tcW w:w="14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Defined Benefit</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rPr>
              <w:t>Translation</w:t>
            </w: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rPr>
              <w:t>Adjustments</w:t>
            </w:r>
          </w:p>
        </w:tc>
        <w:tc>
          <w:tcPr>
            <w:tcW w:w="1440" w:type="dxa"/>
            <w:vAlign w:val="bottom"/>
            <w:gridSpan w:val="3"/>
          </w:tcPr>
          <w:p>
            <w:pPr>
              <w:jc w:val="right"/>
              <w:ind w:right="160"/>
              <w:spacing w:after="0" w:line="129" w:lineRule="exact"/>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29" w:lineRule="exact"/>
              <w:rPr>
                <w:sz w:val="20"/>
                <w:szCs w:val="20"/>
                <w:color w:val="auto"/>
              </w:rPr>
            </w:pPr>
            <w:r>
              <w:rPr>
                <w:rFonts w:ascii="Arial" w:cs="Arial" w:eastAsia="Arial" w:hAnsi="Arial"/>
                <w:sz w:val="14"/>
                <w:szCs w:val="14"/>
                <w:color w:val="auto"/>
              </w:rPr>
              <w:t>Pension Items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2023</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June 30, 2024</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Currency</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color w:val="auto"/>
              </w:rPr>
              <w:t>Gains (Losses) on</w:t>
            </w:r>
          </w:p>
        </w:tc>
        <w:tc>
          <w:tcPr>
            <w:tcW w:w="140" w:type="dxa"/>
            <w:vAlign w:val="bottom"/>
          </w:tcPr>
          <w:p>
            <w:pPr>
              <w:spacing w:after="0"/>
              <w:rPr>
                <w:sz w:val="21"/>
                <w:szCs w:val="2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Defined Benefit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Translation</w:t>
            </w: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Adjustments</w:t>
            </w:r>
          </w:p>
        </w:tc>
        <w:tc>
          <w:tcPr>
            <w:tcW w:w="14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Pension Items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2022</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June 30, 2023</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7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All amounts are net of tax. Tax effects were immaterial.</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12 – Contingencies and Litigation</w:t>
      </w:r>
    </w:p>
    <w:p>
      <w:pPr>
        <w:spacing w:after="0" w:line="1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June 30, 2024. Litigation is inherently unpredictable, and it is not possible to predict the ultimate outcome of these matters and such outcome in any such matters could be more than any amounts accrued and could be material to the Company's results of operations, cash flows or financial position in any reporting period.</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consolidated financial position or liquidity. As of June 30, 2024, the Company had accrued its estimate of liability incurred under its indemnification arrangements and guarantees.</w:t>
      </w:r>
    </w:p>
    <w:p>
      <w:pPr>
        <w:spacing w:after="0" w:line="200" w:lineRule="exact"/>
        <w:rPr>
          <w:sz w:val="20"/>
          <w:szCs w:val="20"/>
          <w:color w:val="auto"/>
        </w:rPr>
      </w:pPr>
    </w:p>
    <w:p>
      <w:pPr>
        <w:spacing w:after="0" w:line="32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Against the Company</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1269BC"/>
        </w:rPr>
        <w:t xml:space="preserve">Skyview Capital LLC and Continuum Global Solutions, LLC v. Conduent Business Services, LLC: </w:t>
      </w:r>
      <w:r>
        <w:rPr>
          <w:rFonts w:ascii="Arial" w:cs="Arial" w:eastAsia="Arial" w:hAnsi="Arial"/>
          <w:sz w:val="18"/>
          <w:szCs w:val="18"/>
          <w:color w:val="000000"/>
        </w:rPr>
        <w:t>On February 3, 2020, plaintiffs</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Skyview LLC ("Skyview") filed a lawsuit in the Superior Court of New York County, New York. The lawsuit relates to the sale of a portion of Conduent Business Service, LLC's ("CBS") select standalone customer care call center business to plaintiffs, which sale closed in February 2019. Under the terms of the sale agreement, CBS received approximately $ 23 million of notes from plaintiffs (the "Notes"). The lawsuit alleges various causes of action in connection with the acquisition, including: indemnification for breach of representation and warranty; indemnification for breach of contract and fraud. Plaintiffs allege that their obligation to mitigate damages and their contractual right of set-off permits them to withhold and deduct from any amounts that are owed to CBS under the Notes, and plaintiffs seek a judgement that they have no obligation to pay the Notes. On August 20, 2020, CBS filed a counterclaim against Skyview seeking the outstanding balance on the Notes, the amounts owed for the Jamaica deferred closing, and other transition services agreement and late rent payment obligations. CBS also moved to dismiss Skyview’s claims in 2020. In May 2021, the court denied the motion and allowed the claims to proceed. Fact and expert discovery has been concluded and the parties filed summary judgment motions on July 24, 2023. On December 5, 2023, the court heard oral argument on the parties’ cross-motions for summary judgment and rendered its decision on December 8, 2023, finding there are certain material issues of fact that require trial, and also entering partial summary judgment for each side. On January 5, 2024, CBS filed its notice of appeal of the portion of the ruling that did not grant its motion for summary judgment in its entirety and that granted certain limited relief in favor of plaintiffs. On January 23, 2024, Skyview filed its own notice of appeal, challenging the decision granting a portion of CBS’s counterclaims. CBS continues to deny all the plaintiffs' allegations, believes that it has strong defenses to all of plaintiffs’ claims and will continue to defend the litigation vigorously. The Company is not able to determine or predict the ultimate outcome of this proceeding or reasonably provide an estimate or range of estimate of the possible outcome or loss, if any, in excess of currently recorded reserves.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Other Contingencies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contracts, primarily in the Company's Government and Transportation segments, require the Company to provide a surety bond or a letter of credit as a guarantee of performance. As of June 30, 2024, the Company had $620 million of outstanding surety bonds issued to secure its performance of contractual obligations with its clients, and $166 million of outstanding letters of credit issued to secure the Company's performance of contractual obligations to its clients as well as other corporate obligations. In general, the Company would only be liable for these guarantees in the event of default in the Company's performance of its obligations under each contract. The Company believes it has sufficient capacity in the surety markets and liquidity from its cash flow and its various credit arrangements to allow it to respond to future requests for proposals that require such credit support.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 xml:space="preserve">Note 13 </w:t>
      </w:r>
      <w:r>
        <w:rPr>
          <w:rFonts w:ascii="Arial" w:cs="Arial" w:eastAsia="Arial" w:hAnsi="Arial"/>
          <w:sz w:val="22"/>
          <w:szCs w:val="22"/>
          <w:b w:val="1"/>
          <w:bCs w:val="1"/>
          <w:color w:val="1269BC"/>
        </w:rPr>
        <w:t>–</w:t>
      </w:r>
      <w:r>
        <w:rPr>
          <w:rFonts w:ascii="Arial" w:cs="Arial" w:eastAsia="Arial" w:hAnsi="Arial"/>
          <w:sz w:val="22"/>
          <w:szCs w:val="22"/>
          <w:b w:val="1"/>
          <w:bCs w:val="1"/>
          <w:color w:val="0066CC"/>
        </w:rPr>
        <w:t xml:space="preserve"> Common Stock and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Icahn Share Repurchase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8, 2024, the Company entered into a purchase agreement (the "Purchase Agreement") with Carl C. Icahn and certain of his affiliates ("Icahn Parties") pursuant to which the Company agreed to purchase an aggregate of approximately 38 million shares of the Company’s common stock, at a price of $3.47 per share, the closing price on June 7, 2024, the last full trading day prior to the execution of the Purchase Agreement, for an aggregate purchase price of approximately $132 million. The purchase was completed and settled on June 10, 2024 and was funded through a combination of cash on hand and a drawdown under the Company’s Revolver.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Series A Preferred Stock</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2016, the Company issued 120,000 shares of Series A convertible perpetual preferred stock with an aggregate liquidation preference of $120 million and an initial fair value of $142 million. The convertible preferred stock earns quarterly cash dividends at a rate of 8% per year ($9.6 million per year). Each share of convertible preferred stock is convertible at any time, at the option of the holder, into</w:t>
      </w:r>
    </w:p>
    <w:p>
      <w:pPr>
        <w:spacing w:after="0" w:line="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44.9438 shares of common stock for a total of 5,393,000 shares (reflecting an initial conversion price of approximately $22.25 per share of common stock), subject to customary anti-dilution adjustments.</w:t>
      </w:r>
    </w:p>
    <w:p>
      <w:pPr>
        <w:spacing w:after="0" w:line="200" w:lineRule="exact"/>
        <w:rPr>
          <w:sz w:val="20"/>
          <w:szCs w:val="20"/>
          <w:color w:val="auto"/>
        </w:rPr>
      </w:pPr>
    </w:p>
    <w:p>
      <w:pPr>
        <w:spacing w:after="0" w:line="31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14 – Earnings (Loss)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declare any common stock dividends in the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of common stock:</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ind w:left="30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320" w:type="dxa"/>
            <w:vAlign w:val="bottom"/>
            <w:gridSpan w:val="4"/>
          </w:tcPr>
          <w:p>
            <w:pPr>
              <w:jc w:val="right"/>
              <w:ind w:right="668"/>
              <w:spacing w:after="0"/>
              <w:rPr>
                <w:sz w:val="20"/>
                <w:szCs w:val="20"/>
                <w:color w:val="auto"/>
              </w:rPr>
            </w:pPr>
            <w:r>
              <w:rPr>
                <w:rFonts w:ascii="Arial" w:cs="Arial" w:eastAsia="Arial" w:hAnsi="Arial"/>
                <w:sz w:val="14"/>
                <w:szCs w:val="14"/>
                <w:color w:val="auto"/>
              </w:rPr>
              <w:t>Six Months Ended</w:t>
            </w:r>
          </w:p>
        </w:tc>
      </w:tr>
      <w:tr>
        <w:trPr>
          <w:trHeight w:val="185"/>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5960" w:type="dxa"/>
            <w:vAlign w:val="bottom"/>
            <w:gridSpan w:val="2"/>
          </w:tcPr>
          <w:p>
            <w:pPr>
              <w:spacing w:after="0"/>
              <w:rPr>
                <w:sz w:val="20"/>
                <w:szCs w:val="20"/>
                <w:color w:val="auto"/>
              </w:rPr>
            </w:pPr>
            <w:r>
              <w:rPr>
                <w:rFonts w:ascii="Arial" w:cs="Arial" w:eastAsia="Arial" w:hAnsi="Arial"/>
                <w:sz w:val="13"/>
                <w:szCs w:val="13"/>
                <w:color w:val="auto"/>
              </w:rPr>
              <w:t>(in millions, except per share data in whole dollars and shares in thousands)</w:t>
            </w:r>
          </w:p>
        </w:tc>
        <w:tc>
          <w:tcPr>
            <w:tcW w:w="280" w:type="dxa"/>
            <w:vAlign w:val="bottom"/>
          </w:tcPr>
          <w:p>
            <w:pPr>
              <w:spacing w:after="0"/>
              <w:rPr>
                <w:sz w:val="13"/>
                <w:szCs w:val="13"/>
                <w:color w:val="auto"/>
              </w:rPr>
            </w:pPr>
          </w:p>
        </w:tc>
        <w:tc>
          <w:tcPr>
            <w:tcW w:w="94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Basic Net Earnings (Loss) per Share:</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00"/>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Adjusted Net Income (Loss) Available to Common Shareholders - Basic</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424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202"/>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Diluted Net Earnings (Loss) per Share: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98"/>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Net Income (Loss) Available to Common Shareholders - Diluted</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Basic</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194,539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218,394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201,159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218,396</w:t>
            </w:r>
          </w:p>
        </w:tc>
      </w:tr>
      <w:tr>
        <w:trPr>
          <w:trHeight w:val="198"/>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Common Shares Issuable With Respect To:</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Restricted Stock And Performance Units / Shares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8% Convertible Preferred Stock</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5,393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5,393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202,081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218,394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208,224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218,396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 (Loss) per Share: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(0.08)</w:t>
            </w: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92" w:lineRule="exact"/>
        <w:rPr>
          <w:sz w:val="20"/>
          <w:szCs w:val="20"/>
          <w:color w:val="auto"/>
        </w:rPr>
      </w:pPr>
    </w:p>
    <w:p>
      <w:pPr>
        <w:ind w:left="20" w:right="340"/>
        <w:spacing w:after="0" w:line="252" w:lineRule="auto"/>
        <w:rPr>
          <w:sz w:val="20"/>
          <w:szCs w:val="20"/>
          <w:color w:val="auto"/>
        </w:rPr>
      </w:pPr>
      <w:r>
        <w:rPr>
          <w:rFonts w:ascii="Arial" w:cs="Arial" w:eastAsia="Arial" w:hAnsi="Arial"/>
          <w:sz w:val="14"/>
          <w:szCs w:val="14"/>
          <w:color w:val="auto"/>
        </w:rPr>
        <w:t>The following securities were not included in the computation of diluted earnings per share as they were either contingently issuable shares or shares that if included would have been anti-dilutive (shares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80" w:type="dxa"/>
            <w:vAlign w:val="bottom"/>
          </w:tcPr>
          <w:p>
            <w:pPr>
              <w:ind w:left="20"/>
              <w:spacing w:after="0"/>
              <w:rPr>
                <w:sz w:val="20"/>
                <w:szCs w:val="20"/>
                <w:color w:val="auto"/>
              </w:rPr>
            </w:pPr>
            <w:r>
              <w:rPr>
                <w:rFonts w:ascii="Arial" w:cs="Arial" w:eastAsia="Arial" w:hAnsi="Arial"/>
                <w:sz w:val="14"/>
                <w:szCs w:val="14"/>
                <w:color w:val="auto"/>
              </w:rPr>
              <w:t>Restricted stock and performance shares/units</w:t>
            </w:r>
          </w:p>
        </w:tc>
        <w:tc>
          <w:tcPr>
            <w:tcW w:w="1220" w:type="dxa"/>
            <w:vAlign w:val="bottom"/>
          </w:tcPr>
          <w:p>
            <w:pPr>
              <w:jc w:val="right"/>
              <w:spacing w:after="0"/>
              <w:rPr>
                <w:sz w:val="20"/>
                <w:szCs w:val="20"/>
                <w:color w:val="auto"/>
              </w:rPr>
            </w:pPr>
            <w:r>
              <w:rPr>
                <w:rFonts w:ascii="Arial" w:cs="Arial" w:eastAsia="Arial" w:hAnsi="Arial"/>
                <w:sz w:val="14"/>
                <w:szCs w:val="14"/>
                <w:color w:val="auto"/>
              </w:rPr>
              <w:t>11,916</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12,985</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11,277</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12,985</w:t>
            </w:r>
          </w:p>
        </w:tc>
      </w:tr>
      <w:tr>
        <w:trPr>
          <w:trHeight w:val="20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preferred stock</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5,393</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5,393</w:t>
            </w:r>
          </w:p>
        </w:tc>
      </w:tr>
      <w:tr>
        <w:trPr>
          <w:trHeight w:val="200"/>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Total Anti-Dilutive and Contingently Issuable Securities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11,916</w:t>
            </w:r>
          </w:p>
        </w:tc>
        <w:tc>
          <w:tcPr>
            <w:tcW w:w="1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18,378</w:t>
            </w:r>
          </w:p>
        </w:tc>
        <w:tc>
          <w:tcPr>
            <w:tcW w:w="1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11,277</w:t>
            </w:r>
          </w:p>
        </w:tc>
        <w:tc>
          <w:tcPr>
            <w:tcW w:w="1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18,378</w:t>
            </w:r>
          </w:p>
        </w:tc>
      </w:tr>
      <w:tr>
        <w:trPr>
          <w:trHeight w:val="21"/>
        </w:trPr>
        <w:tc>
          <w:tcPr>
            <w:tcW w:w="5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15 – Supplementary Financial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assets and Other liabilities were as follows: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gridSpan w:val="3"/>
          </w:tcPr>
          <w:p>
            <w:pPr>
              <w:ind w:left="20"/>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color w:val="auto"/>
              </w:rPr>
              <w:t>June 30, 2024</w:t>
            </w:r>
          </w:p>
        </w:tc>
        <w:tc>
          <w:tcPr>
            <w:tcW w:w="18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Assets</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Prepaid expenses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taxes receivable</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Value-added tax (VAT) receivable</w:t>
            </w:r>
          </w:p>
        </w:tc>
        <w:tc>
          <w:tcPr>
            <w:tcW w:w="28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Net receivable from buyer of Curbside Management and Public Safety Solutions business</w:t>
            </w:r>
          </w:p>
        </w:tc>
        <w:tc>
          <w:tcPr>
            <w:tcW w:w="28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0"/>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Liabilities</w:t>
            </w: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liabilities to vendors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Litigation related accruals</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Current operating lease liabilities</w:t>
            </w:r>
          </w:p>
        </w:tc>
        <w:tc>
          <w:tcPr>
            <w:tcW w:w="28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Restructuring liabilities</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Income tax payable</w:t>
            </w:r>
          </w:p>
        </w:tc>
        <w:tc>
          <w:tcPr>
            <w:tcW w:w="28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taxes payable</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interest</w:t>
            </w:r>
          </w:p>
        </w:tc>
        <w:tc>
          <w:tcPr>
            <w:tcW w:w="28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0"/>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Long-term Assets</w:t>
            </w: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Internal use software, net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Deferred contract costs, net</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Product software, net</w:t>
            </w:r>
          </w:p>
        </w:tc>
        <w:tc>
          <w:tcPr>
            <w:tcW w:w="28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6"/>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9"/>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Long-term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b w:val="1"/>
                <w:bCs w:val="1"/>
                <w:color w:val="auto"/>
              </w:rPr>
              <w:t>Other Long-term 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5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 liabilities</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Unearned income</w:t>
            </w:r>
          </w:p>
        </w:tc>
        <w:tc>
          <w:tcPr>
            <w:tcW w:w="28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0"/>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Long-term Liabilities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2" w:name="page23"/>
    <w:bookmarkEnd w:id="2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40"/>
        <w:spacing w:after="0" w:line="285" w:lineRule="auto"/>
        <w:rPr>
          <w:sz w:val="20"/>
          <w:szCs w:val="20"/>
          <w:color w:val="auto"/>
        </w:rPr>
      </w:pPr>
      <w:r>
        <w:rPr>
          <w:rFonts w:ascii="Arial" w:cs="Arial" w:eastAsia="Arial" w:hAnsi="Arial"/>
          <w:sz w:val="22"/>
          <w:szCs w:val="22"/>
          <w:b w:val="1"/>
          <w:bCs w:val="1"/>
          <w:color w:val="1269BC"/>
        </w:rPr>
        <w:t>ITEM 2 — MANAGEMENT’S DISCUSSION AND ANALYSIS OF FINANCIAL CONDITION AND RESULTS OF OPERATIONS</w:t>
      </w:r>
    </w:p>
    <w:p>
      <w:pPr>
        <w:spacing w:after="0" w:line="7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Management’s Discussion and Analysis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seven sections:</w:t>
      </w:r>
    </w:p>
    <w:p>
      <w:pPr>
        <w:spacing w:after="0" w:line="136"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18"/>
          <w:szCs w:val="18"/>
          <w:color w:val="auto"/>
        </w:rPr>
        <w:t>Overview;</w:t>
      </w:r>
    </w:p>
    <w:p>
      <w:pPr>
        <w:spacing w:after="0" w:line="14"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Information and Analysis of Results of Operations;</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Resources and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Estimates and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Recent Accounting Changes;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15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MD&amp;A is provided as a supplement to, and should be read in conjunction with, our Condensed Consolidated Financial Statements and the accompanying Notes.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Overview</w:t>
      </w:r>
    </w:p>
    <w:p>
      <w:pPr>
        <w:spacing w:after="0" w:line="16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We deliver digital business solutions and services to streamline and manage enterprise processes on behalf of commercial, government and transportation organizations – creating valuable outcomes for our clients and the millions of people who count on them. Our solutions combine innovative technology platforms with automation, artificial intelligence, process expertise and services that improve quality,</w:t>
      </w:r>
    </w:p>
    <w:p>
      <w:pPr>
        <w:jc w:val="both"/>
        <w:ind w:right="80"/>
        <w:spacing w:after="0" w:line="268" w:lineRule="auto"/>
        <w:rPr>
          <w:sz w:val="20"/>
          <w:szCs w:val="20"/>
          <w:color w:val="auto"/>
        </w:rPr>
      </w:pPr>
      <w:r>
        <w:rPr>
          <w:rFonts w:ascii="Arial" w:cs="Arial" w:eastAsia="Arial" w:hAnsi="Arial"/>
          <w:sz w:val="18"/>
          <w:szCs w:val="18"/>
          <w:color w:val="auto"/>
        </w:rPr>
        <w:t>efficiency and productivity. With a dedicated global team of approximately 55,000 associates, our solutions span customer service, business administration and operations, healthcare administration and payment management. Across many industries and government agencies, we reduce costs, improve end-user experiences and enable digital transformation for our global clients.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Florham Park, New Jersey, we have operations in 24 countries.</w:t>
      </w:r>
    </w:p>
    <w:p>
      <w:pPr>
        <w:spacing w:after="0" w:line="17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Our reportable segments correspond to how we organize and manage the business and are aligned to the industries in which our clients operate. These three segments are:</w:t>
      </w:r>
    </w:p>
    <w:p>
      <w:pPr>
        <w:spacing w:after="0" w:line="99" w:lineRule="exact"/>
        <w:rPr>
          <w:sz w:val="20"/>
          <w:szCs w:val="20"/>
          <w:color w:val="auto"/>
        </w:rPr>
      </w:pPr>
    </w:p>
    <w:p>
      <w:pPr>
        <w:ind w:left="340" w:right="280" w:hanging="332"/>
        <w:spacing w:after="0" w:line="268"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Commercial </w:t>
      </w:r>
      <w:r>
        <w:rPr>
          <w:rFonts w:ascii="Arial" w:cs="Arial" w:eastAsia="Arial" w:hAnsi="Arial"/>
          <w:sz w:val="18"/>
          <w:szCs w:val="18"/>
          <w:color w:val="000000"/>
        </w:rPr>
        <w:t>– Our Commercial segment provides business process solutions and services to clients in a variety of industries. Across</w:t>
      </w:r>
      <w:r>
        <w:rPr>
          <w:rFonts w:ascii="Arial" w:cs="Arial" w:eastAsia="Arial" w:hAnsi="Arial"/>
          <w:sz w:val="18"/>
          <w:szCs w:val="18"/>
          <w:b w:val="1"/>
          <w:bCs w:val="1"/>
          <w:color w:val="3051F2"/>
        </w:rPr>
        <w:t xml:space="preserve"> </w:t>
      </w:r>
      <w:r>
        <w:rPr>
          <w:rFonts w:ascii="Arial" w:cs="Arial" w:eastAsia="Arial" w:hAnsi="Arial"/>
          <w:sz w:val="18"/>
          <w:szCs w:val="18"/>
          <w:color w:val="000000"/>
        </w:rPr>
        <w:t>the Commercial segment, we operate on our clients’ behalf to deliver mission-critical solutions and services to reduce costs, improve efficiencies and enhance performance for our clients and deliver better experiences for their consumers and employees.</w:t>
      </w:r>
    </w:p>
    <w:p>
      <w:pPr>
        <w:spacing w:after="0" w:line="116" w:lineRule="exact"/>
        <w:rPr>
          <w:rFonts w:ascii="Arial" w:cs="Arial" w:eastAsia="Arial" w:hAnsi="Arial"/>
          <w:sz w:val="18"/>
          <w:szCs w:val="18"/>
          <w:color w:val="auto"/>
        </w:rPr>
      </w:pPr>
    </w:p>
    <w:p>
      <w:pPr>
        <w:ind w:left="340" w:right="120" w:hanging="332"/>
        <w:spacing w:after="0" w:line="262"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Government </w:t>
      </w:r>
      <w:r>
        <w:rPr>
          <w:rFonts w:ascii="Arial" w:cs="Arial" w:eastAsia="Arial" w:hAnsi="Arial"/>
          <w:sz w:val="18"/>
          <w:szCs w:val="18"/>
          <w:color w:val="000000"/>
        </w:rPr>
        <w:t>– Our Government segment provides government-centric business process services to U.S. federal, state and local</w:t>
      </w:r>
      <w:r>
        <w:rPr>
          <w:rFonts w:ascii="Arial" w:cs="Arial" w:eastAsia="Arial" w:hAnsi="Arial"/>
          <w:sz w:val="18"/>
          <w:szCs w:val="18"/>
          <w:b w:val="1"/>
          <w:bCs w:val="1"/>
          <w:color w:val="3051F2"/>
        </w:rPr>
        <w:t xml:space="preserve"> </w:t>
      </w:r>
      <w:r>
        <w:rPr>
          <w:rFonts w:ascii="Arial" w:cs="Arial" w:eastAsia="Arial" w:hAnsi="Arial"/>
          <w:sz w:val="18"/>
          <w:szCs w:val="18"/>
          <w:color w:val="000000"/>
        </w:rPr>
        <w:t>government agencies and foreign governments for public assistance, healthcare programs and administration, transaction processing and payment services. The solutions in this segment help governments provide constituents access and delivery of benefits, respond to changing rules for eligibility and keep pace with increasing citizen expectations.</w:t>
      </w:r>
    </w:p>
    <w:p>
      <w:pPr>
        <w:spacing w:after="0" w:line="122" w:lineRule="exact"/>
        <w:rPr>
          <w:rFonts w:ascii="Arial" w:cs="Arial" w:eastAsia="Arial" w:hAnsi="Arial"/>
          <w:sz w:val="18"/>
          <w:szCs w:val="18"/>
          <w:color w:val="auto"/>
        </w:rPr>
      </w:pPr>
    </w:p>
    <w:p>
      <w:pPr>
        <w:ind w:left="340" w:right="100" w:hanging="332"/>
        <w:spacing w:after="0" w:line="262" w:lineRule="auto"/>
        <w:tabs>
          <w:tab w:leader="none" w:pos="335" w:val="left"/>
        </w:tabs>
        <w:numPr>
          <w:ilvl w:val="0"/>
          <w:numId w:val="8"/>
        </w:numPr>
        <w:rPr>
          <w:rFonts w:ascii="Arial" w:cs="Arial" w:eastAsia="Arial" w:hAnsi="Arial"/>
          <w:sz w:val="18"/>
          <w:szCs w:val="18"/>
          <w:b w:val="1"/>
          <w:bCs w:val="1"/>
          <w:color w:val="0066CC"/>
        </w:rPr>
      </w:pPr>
      <w:r>
        <w:rPr>
          <w:rFonts w:ascii="Arial" w:cs="Arial" w:eastAsia="Arial" w:hAnsi="Arial"/>
          <w:sz w:val="18"/>
          <w:szCs w:val="18"/>
          <w:b w:val="1"/>
          <w:bCs w:val="1"/>
          <w:color w:val="3051F2"/>
        </w:rPr>
        <w:t xml:space="preserve">Transportation </w:t>
      </w:r>
      <w:r>
        <w:rPr>
          <w:rFonts w:ascii="Arial" w:cs="Arial" w:eastAsia="Arial" w:hAnsi="Arial"/>
          <w:sz w:val="18"/>
          <w:szCs w:val="18"/>
          <w:color w:val="000000"/>
        </w:rPr>
        <w:t>– Our Transportation segment provides systems, support, and revenue-generating solutions, to government</w:t>
      </w:r>
      <w:r>
        <w:rPr>
          <w:rFonts w:ascii="Arial" w:cs="Arial" w:eastAsia="Arial" w:hAnsi="Arial"/>
          <w:sz w:val="18"/>
          <w:szCs w:val="18"/>
          <w:b w:val="1"/>
          <w:bCs w:val="1"/>
          <w:color w:val="3051F2"/>
        </w:rPr>
        <w:t xml:space="preserve"> </w:t>
      </w:r>
      <w:r>
        <w:rPr>
          <w:rFonts w:ascii="Arial" w:cs="Arial" w:eastAsia="Arial" w:hAnsi="Arial"/>
          <w:sz w:val="18"/>
          <w:szCs w:val="18"/>
          <w:color w:val="000000"/>
        </w:rPr>
        <w:t>transportation agencies. We deliver mission-critical mobility and digital payment solutions for public transit and road usage charging that streamline operations, increase revenue and reduce congestion while creating safe, seamless travel experiences for consumers while reducing impact on the environment.</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3" w:name="page24"/>
    <w:bookmarkEnd w:id="2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Executive Summary</w:t>
      </w:r>
    </w:p>
    <w:p>
      <w:pPr>
        <w:spacing w:after="0" w:line="1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first quarter of 2023, we held an investor briefing to communicate the next chapter in the Conduent journey. Our intense emphasis on growth, quality, and efficiency, beginning in the first quarter of 2020, resulted in a strengthened foundation. We remain focused on accelerating growth and enhancing value for our stakeholders and intend to achieve this by doubling down on key themes outlined in the March 2023 investor briefing. We also intend to continue our portfolio rationalization strategy, divesting certain solutions which have either scarcity value outside of Conduent or are capital intensive relative to their growth opportunity, and thereby allowing management the bandwidth and increased capital to focus on solutions where we believe we have competitive advantages or higher growth expectations.</w:t>
      </w:r>
    </w:p>
    <w:p>
      <w:pPr>
        <w:spacing w:after="0" w:line="12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believe this focus on our portfolio rationalization strategy will result in a more nimble and faster growing Conduent with modest levels of net leverage, enhanced valuation, and significant excess capital to be deployed over time.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2024 we have achieved the following:</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Completed the transfer of the BenefitWallet Portfolio, receiving the remaining $261 million of the $425 million total purchase price.</w:t>
      </w:r>
    </w:p>
    <w:p>
      <w:pPr>
        <w:spacing w:after="0" w:line="117"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Completed the sale of the Curbside Management and Public Safety Solutions businesses on April 30, 2024 with a purchase price of $230 million, $50 million of which is deferred to the second quarter of 2025.</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Announced the Casualty Claims Solutions divestiture on May 3, 2024, which is anticipated to close in the third quarter of 2024.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Used the proceeds from the divested businesses to voluntarily prepay $300 million of the Term Loan B.</w:t>
      </w:r>
    </w:p>
    <w:p>
      <w:pPr>
        <w:spacing w:after="0" w:line="117"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Repurchased 43.3 million shares of common stock, including approximately 38 million shares of common stock purchased from the Icahn Parties pursuant to the Purchase Agreement. The aggregate purchase price for the repurchase from the Icahn Parties was approximately $132 million.</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Financial Information and Analysis of Results of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80" w:type="dxa"/>
            <w:vAlign w:val="bottom"/>
            <w:gridSpan w:val="4"/>
          </w:tcPr>
          <w:p>
            <w:pPr>
              <w:jc w:val="right"/>
              <w:ind w:right="228"/>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2024 vs. 2023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2024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2023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3"/>
                <w:szCs w:val="13"/>
                <w:color w:val="auto"/>
              </w:rPr>
            </w:pPr>
          </w:p>
        </w:tc>
        <w:tc>
          <w:tcPr>
            <w:tcW w:w="142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 net</w:t>
            </w: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settlements (recoveries), net</w:t>
            </w: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Loss on extinguishment of debt</w:t>
            </w: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(income) expenses, net</w:t>
            </w:r>
          </w:p>
        </w:tc>
        <w:tc>
          <w:tcPr>
            <w:tcW w:w="8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86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922</w:t>
            </w:r>
          </w:p>
        </w:tc>
        <w:tc>
          <w:tcPr>
            <w:tcW w:w="10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expense (benefit)</w:t>
            </w: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86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460"/>
              <w:spacing w:after="0"/>
              <w:rPr>
                <w:sz w:val="20"/>
                <w:szCs w:val="20"/>
                <w:color w:val="auto"/>
              </w:rPr>
            </w:pPr>
            <w:r>
              <w:rPr>
                <w:rFonts w:ascii="Arial" w:cs="Arial" w:eastAsia="Arial" w:hAnsi="Arial"/>
                <w:sz w:val="14"/>
                <w:szCs w:val="14"/>
                <w:color w:val="auto"/>
              </w:rPr>
              <w:t>Six Months Ended</w:t>
            </w:r>
          </w:p>
        </w:tc>
        <w:tc>
          <w:tcPr>
            <w:tcW w:w="220" w:type="dxa"/>
            <w:vAlign w:val="bottom"/>
          </w:tcPr>
          <w:p>
            <w:pPr>
              <w:spacing w:after="0"/>
              <w:rPr>
                <w:sz w:val="14"/>
                <w:szCs w:val="1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2024 vs. 2023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3"/>
                <w:szCs w:val="13"/>
                <w:color w:val="auto"/>
              </w:rPr>
            </w:pPr>
          </w:p>
        </w:tc>
        <w:tc>
          <w:tcPr>
            <w:tcW w:w="100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3"/>
                <w:szCs w:val="13"/>
                <w:color w:val="auto"/>
              </w:rPr>
            </w:pPr>
          </w:p>
        </w:tc>
        <w:tc>
          <w:tcPr>
            <w:tcW w:w="142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 net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Revenue</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Revenue for the three months ended June 30, 2024 decreased compared to the prior year period primarily due to the impact of the Benefit Wallet Transfer and the sale of The Curbside Management and Public Safety Solutions businesses. Lost business in all three segments contributed to the decrease and was partially offset by new business ramp, particularly in our Transportation segment.</w:t>
      </w:r>
    </w:p>
    <w:p>
      <w:pPr>
        <w:spacing w:after="0" w:line="11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Revenue for the six months ended June 30, 2024 decreased, compared to the prior year period, primarily due to the impact of the Benefit Wallet Transfer, the sale of the Curbside Management and Public Safety Solutions businesses and lost business in our Commercial and Government segments partially offset by new business ramp, including the State of Victoria contract, stronger volumes and improved operational execution in our Transportation segment.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Cost of Services (excluding depreciation and amortization)</w:t>
      </w:r>
    </w:p>
    <w:p>
      <w:pPr>
        <w:spacing w:after="0" w:line="17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Cost of services for the three months ended June 30, 2024 decreased, compared to the prior year period, primarily due to the impact of the Benefit Wallet Transfer and the sale of the Curbside Management and Public Safety Solutions businesses.</w:t>
      </w:r>
    </w:p>
    <w:p>
      <w:pPr>
        <w:spacing w:after="0" w:line="9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Cost of services for the six months ended June 30, 2024 decreased slightly, compared to the prior year period, primarily driven by the impact of the Benefit Wallet Transfer and the sale of the Curbside Management and Public Safety Solutions businesses partially offset by the absence of a $ 17 million reversal of liabilities due to the settlement of the Cognizant matter in the prior year period described in Note 16 – Contingencies and Litigation to the Consolidated Financial Statements included in our 2023 Annual Report on Form 10-K.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Selling, General and Administrative ("SG&amp;A") (excluding depreciation and amortization)</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SG&amp;A for the three months ended June 30, 2024 decreased, compared to the prior year period, primarily due to the impact of the sale of the Curbside Management and Public Safety Solutions businesses.</w:t>
      </w:r>
    </w:p>
    <w:p>
      <w:pPr>
        <w:spacing w:after="0" w:line="99"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SG&amp;A for the six months ended June 30, 2024 increased, compared to the prior year periods, driven by costs to transition away from a technology vendor, partially offset by the impact of the sale of the Curbside Management and Public Safety Solutions businesses.</w:t>
      </w:r>
    </w:p>
    <w:p>
      <w:pPr>
        <w:spacing w:after="0" w:line="200" w:lineRule="exact"/>
        <w:rPr>
          <w:sz w:val="20"/>
          <w:szCs w:val="20"/>
          <w:color w:val="auto"/>
        </w:rPr>
      </w:pPr>
    </w:p>
    <w:p>
      <w:pPr>
        <w:spacing w:after="0" w:line="30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Depreciation and Amortization</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Depreciation and amortization for the three and six months ended June 30, 2024 decreased, compared to the prior year periods due to the impact of the sale of the Curbside Management and Public Safety Solutions businesses and lower capital investments, partially offset by the current year write-off of an abandoned internal use software asset in our Commercial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Restructuring and Related Costs</w:t>
      </w:r>
    </w:p>
    <w:p>
      <w:pPr>
        <w:spacing w:after="0" w:line="171"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We engage in a series of restructuring programs related to optimizing our employee base, reducing our real estate 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580" w:type="dxa"/>
            <w:vAlign w:val="bottom"/>
            <w:gridSpan w:val="4"/>
          </w:tcPr>
          <w:p>
            <w:pPr>
              <w:jc w:val="right"/>
              <w:ind w:right="368"/>
              <w:spacing w:after="0" w:line="149" w:lineRule="exact"/>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Six Months Ended</w:t>
            </w:r>
          </w:p>
        </w:tc>
        <w:tc>
          <w:tcPr>
            <w:tcW w:w="900" w:type="dxa"/>
            <w:vAlign w:val="bottom"/>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51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040" w:type="dxa"/>
            <w:vAlign w:val="bottom"/>
          </w:tcPr>
          <w:p>
            <w:pPr>
              <w:jc w:val="right"/>
              <w:ind w:right="88"/>
              <w:spacing w:after="0" w:line="155" w:lineRule="exact"/>
              <w:rPr>
                <w:sz w:val="20"/>
                <w:szCs w:val="20"/>
                <w:color w:val="auto"/>
              </w:rPr>
            </w:pPr>
            <w:r>
              <w:rPr>
                <w:rFonts w:ascii="Arial" w:cs="Arial" w:eastAsia="Arial" w:hAnsi="Arial"/>
                <w:sz w:val="14"/>
                <w:szCs w:val="14"/>
                <w:color w:val="auto"/>
              </w:rPr>
              <w:t>2024</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88"/>
              <w:spacing w:after="0" w:line="155" w:lineRule="exact"/>
              <w:rPr>
                <w:sz w:val="20"/>
                <w:szCs w:val="20"/>
                <w:color w:val="auto"/>
              </w:rPr>
            </w:pPr>
            <w:r>
              <w:rPr>
                <w:rFonts w:ascii="Arial" w:cs="Arial" w:eastAsia="Arial" w:hAnsi="Arial"/>
                <w:sz w:val="14"/>
                <w:szCs w:val="14"/>
                <w:color w:val="auto"/>
              </w:rPr>
              <w:t>2023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2024</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jc w:val="right"/>
              <w:ind w:right="488"/>
              <w:spacing w:after="0" w:line="155" w:lineRule="exact"/>
              <w:rPr>
                <w:sz w:val="20"/>
                <w:szCs w:val="20"/>
                <w:color w:val="auto"/>
              </w:rPr>
            </w:pPr>
            <w:r>
              <w:rPr>
                <w:rFonts w:ascii="Arial" w:cs="Arial" w:eastAsia="Arial" w:hAnsi="Arial"/>
                <w:sz w:val="14"/>
                <w:szCs w:val="14"/>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Severance and related costs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98"/>
        </w:trPr>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Data center consolidation costs</w:t>
            </w: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3"/>
        </w:trPr>
        <w:tc>
          <w:tcPr>
            <w:tcW w:w="2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Termination, insourcing and asset impairment costs</w:t>
            </w:r>
          </w:p>
        </w:tc>
        <w:tc>
          <w:tcPr>
            <w:tcW w:w="10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00"/>
        </w:trPr>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Restructuring and related costs</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Restructuring and related costs for the six months ended June 30, 2024 decreased compared to the prior year period. The decrease is primarily driven by severance and related costs due to the closure of one of our Commercial segment operations in Europe in the prior year period.</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Refer to Note 6 – Restructuring Programs and Related Costs to the Condensed Consolidated Financial Statements for additional information regarding our restructuring programs.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Interest Expense</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Interest expense represents interest on long-term debt and the amortization of debt issuance costs. Interest expense for the three and six months ended June 30, 2024 decreased, compared to the prior year periods primarily due to voluntary prepayments of the Term Loan B with proceeds from divestitures.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(Gain) Loss on Divestitures and Transaction Costs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completion of the BenefitWallet Transfer resulted in a gain of $261 million and $425 million for the three and six months ended June 30, 2024, respectively. The completion of the sale of the Curbside Management and Public Safety businesses in the second quarter of 2024 resulted in a gain of $108 million for the three and six months ended June 30, 2024. Additionally, professional fees and other costs related to these consummated and certain other non-consummated transactions considered by the Company are included in this financial statement line item for all periods.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Settlements (Recoveries), Net</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Litigation settlements (recoveries), net for the six months ended June 30, 2023 primarily consisted of a $26 million reversal of reserves due to the settlement of the Cognizant matter.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Income Taxes</w:t>
      </w:r>
    </w:p>
    <w:p>
      <w:pPr>
        <w:spacing w:after="0" w:line="1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effective tax rate for the three months ended June 30, 2024 was 28.2%, compared to (3.3)% for the three months ended June 30, 2023. The June 30, 2024 rate was higher than the U.S. statutory rate of 21%, primarily due to state and local taxes, geographic mix of income, and other nondeductible permanent differences, partially offset by tax benefit of valuation allowances released due to the gain from divestitures and tax credits.</w:t>
      </w:r>
    </w:p>
    <w:p>
      <w:pPr>
        <w:spacing w:after="0" w:line="122" w:lineRule="exact"/>
        <w:rPr>
          <w:sz w:val="20"/>
          <w:szCs w:val="20"/>
          <w:color w:val="auto"/>
        </w:rPr>
      </w:pPr>
    </w:p>
    <w:p>
      <w:pPr>
        <w:ind w:right="920"/>
        <w:spacing w:after="0" w:line="318" w:lineRule="auto"/>
        <w:rPr>
          <w:sz w:val="20"/>
          <w:szCs w:val="20"/>
          <w:color w:val="auto"/>
        </w:rPr>
      </w:pPr>
      <w:r>
        <w:rPr>
          <w:rFonts w:ascii="Arial" w:cs="Arial" w:eastAsia="Arial" w:hAnsi="Arial"/>
          <w:sz w:val="17"/>
          <w:szCs w:val="17"/>
          <w:color w:val="auto"/>
        </w:rPr>
        <w:t>The effective tax rate for the three months ended June 30, 2023 was lower than the U.S. statutory rate of 21% primarily due to the geographic mix of income, valuation allowances, and other non-deductible permanent differences, partially offset by tax credits.</w:t>
      </w:r>
    </w:p>
    <w:p>
      <w:pPr>
        <w:spacing w:after="0" w:line="200" w:lineRule="exact"/>
        <w:rPr>
          <w:sz w:val="20"/>
          <w:szCs w:val="20"/>
          <w:color w:val="auto"/>
        </w:rPr>
      </w:pPr>
    </w:p>
    <w:p>
      <w:pPr>
        <w:spacing w:after="0" w:line="29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Excluding the impact of the gain from divestitures, restructuring costs, amortization of intangibles, valuation allowance release and other discrete tax adjustments, the normalized effective tax rate for the three months ended June 30, 2024 was 23.6%. The normalized effective tax rate for the three months ended June 30, 2023 was 42.2%, primarily due to excluding the impact of restructuring costs, amortization of intangible assets and other discrete tax adjustments. The normalized effective tax rate for the three months ended June 30, 2024 was lower than the rate for the three months ended June 30, 2023 due to the geographic mix of income.</w:t>
      </w:r>
    </w:p>
    <w:p>
      <w:pPr>
        <w:spacing w:after="0" w:line="125"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The effective tax rate for the six months ended June 30, 2024 was 26.3%, compared to 9.2% for the six months ended June 30, 2023. The June 30, 2024 rate was higher than the U.S. statutory rate of 21%, primarily due to state and local taxes, geographic mix of income, and other nondeductible permanent differences, partially offset by tax benefit from valuation allowances and audit settlement reserve releases.</w:t>
      </w:r>
    </w:p>
    <w:p>
      <w:pPr>
        <w:spacing w:after="0" w:line="9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effective tax rate for the six months ended June 30, 2023 was lower than the U.S. statutory rate of 21%, primarily due to the geographic mix of income, valuation allowances, and state and local taxes on pre-tax losses.</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Excluding the impact of the gain from divestitures, restructuring costs, amortization of intangible assets, litigation reserve releases, audit settlement reserve release, valuation allowance and other discrete tax items, the normalized effective tax rate for the six months ended June 30, 2024 was 23.1%. The normalized effective tax rate for the six months ended June 30, 2023 was 40.5%, primarily due to excluding the impact of the amortization of intangible assets, restructuring costs and litigation reserve releases. The normalized effective tax rate for the six months ended June 30, 2024 was lower than the six months ended June 30, 2023 rate primarily due to the geographic mix of income.</w:t>
      </w:r>
    </w:p>
    <w:p>
      <w:pPr>
        <w:spacing w:after="0" w:line="125"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In 2021, the Organization for Economic Cooperation and Development released model rules for a 15% global minimum tax, known as Pillar Two. This alternative minimum tax is treated as a period cost beginning in 2024 and does not have a material impact on the Company's financial results of operations for the current period. The Company is continuing monitoring legislative developments, as well as additional guidance from countries that have enacted legislation. We anticipate further legislative activity and administrative guidance in 2024.</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Operations Review of Segment Revenue and Profit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is based on Segment Profit (Loss) and Segment Adjusted Earnings before Interest, Taxes, Depreciation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Amortization ("Adjusted EBITDA") for the following three segments:</w:t>
      </w:r>
    </w:p>
    <w:p>
      <w:pPr>
        <w:spacing w:after="0" w:line="4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17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Divestitures includes our BenefitWallet and Curbside Management and Public Safety Solutions businesses, which have been reclassified from our Commercial and Transportation segments, respectively.</w:t>
      </w:r>
    </w:p>
    <w:p>
      <w:pPr>
        <w:spacing w:after="0" w:line="9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our reportable segments.</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7" w:name="page28"/>
    <w:bookmarkEnd w:id="2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Results of financial performance by segment were: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788"/>
              <w:spacing w:after="0"/>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3"/>
                <w:szCs w:val="13"/>
                <w:color w:val="auto"/>
              </w:rPr>
            </w:pPr>
          </w:p>
        </w:tc>
        <w:tc>
          <w:tcPr>
            <w:tcW w:w="12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Government</w:t>
            </w:r>
          </w:p>
        </w:tc>
        <w:tc>
          <w:tcPr>
            <w:tcW w:w="160" w:type="dxa"/>
            <w:vAlign w:val="bottom"/>
          </w:tcPr>
          <w:p>
            <w:pPr>
              <w:spacing w:after="0"/>
              <w:rPr>
                <w:sz w:val="13"/>
                <w:szCs w:val="13"/>
                <w:color w:val="auto"/>
              </w:rPr>
            </w:pPr>
          </w:p>
        </w:tc>
        <w:tc>
          <w:tcPr>
            <w:tcW w:w="132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Transportation</w:t>
            </w:r>
          </w:p>
        </w:tc>
        <w:tc>
          <w:tcPr>
            <w:tcW w:w="180" w:type="dxa"/>
            <w:vAlign w:val="bottom"/>
          </w:tcPr>
          <w:p>
            <w:pPr>
              <w:spacing w:after="0"/>
              <w:rPr>
                <w:sz w:val="13"/>
                <w:szCs w:val="13"/>
                <w:color w:val="auto"/>
              </w:rPr>
            </w:pPr>
          </w:p>
        </w:tc>
        <w:tc>
          <w:tcPr>
            <w:tcW w:w="118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Divestitures</w:t>
            </w:r>
          </w:p>
        </w:tc>
        <w:tc>
          <w:tcPr>
            <w:tcW w:w="136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3"/>
                <w:szCs w:val="13"/>
                <w:color w:val="auto"/>
              </w:rPr>
            </w:pPr>
          </w:p>
        </w:tc>
        <w:tc>
          <w:tcPr>
            <w:tcW w:w="92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3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828</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49</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w:t>
            </w: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9.6 %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35.3 %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4.2 %</w:t>
            </w:r>
          </w:p>
        </w:tc>
      </w:tr>
      <w:tr>
        <w:trPr>
          <w:trHeight w:val="274"/>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198"/>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2023</w:t>
            </w:r>
          </w:p>
        </w:tc>
        <w:tc>
          <w:tcPr>
            <w:tcW w:w="2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r>
      <w:tr>
        <w:trPr>
          <w:trHeight w:val="200"/>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915</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37</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93</w:t>
            </w:r>
          </w:p>
        </w:tc>
      </w:tr>
      <w:tr>
        <w:trPr>
          <w:trHeight w:val="166"/>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48.3 %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15.2 %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100.0 %</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45.3 %</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10.2 %</w:t>
            </w:r>
          </w:p>
        </w:tc>
      </w:tr>
      <w:tr>
        <w:trPr>
          <w:trHeight w:val="261"/>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80" w:type="dxa"/>
            <w:vAlign w:val="bottom"/>
            <w:gridSpan w:val="5"/>
          </w:tcPr>
          <w:p>
            <w:pPr>
              <w:jc w:val="center"/>
              <w:ind w:right="360"/>
              <w:spacing w:after="0"/>
              <w:rPr>
                <w:sz w:val="20"/>
                <w:szCs w:val="20"/>
                <w:color w:val="auto"/>
              </w:rPr>
            </w:pPr>
            <w:r>
              <w:rPr>
                <w:rFonts w:ascii="Arial" w:cs="Arial" w:eastAsia="Arial" w:hAnsi="Arial"/>
                <w:sz w:val="14"/>
                <w:szCs w:val="14"/>
                <w:color w:val="auto"/>
              </w:rPr>
              <w:t>Six Months Ended</w:t>
            </w: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788"/>
              <w:spacing w:after="0"/>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29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3"/>
                <w:szCs w:val="13"/>
                <w:color w:val="auto"/>
              </w:rPr>
            </w:pPr>
          </w:p>
        </w:tc>
        <w:tc>
          <w:tcPr>
            <w:tcW w:w="12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Government</w:t>
            </w:r>
          </w:p>
        </w:tc>
        <w:tc>
          <w:tcPr>
            <w:tcW w:w="160" w:type="dxa"/>
            <w:vAlign w:val="bottom"/>
          </w:tcPr>
          <w:p>
            <w:pPr>
              <w:spacing w:after="0"/>
              <w:rPr>
                <w:sz w:val="13"/>
                <w:szCs w:val="13"/>
                <w:color w:val="auto"/>
              </w:rPr>
            </w:pPr>
          </w:p>
        </w:tc>
        <w:tc>
          <w:tcPr>
            <w:tcW w:w="132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Transportation</w:t>
            </w:r>
          </w:p>
        </w:tc>
        <w:tc>
          <w:tcPr>
            <w:tcW w:w="180" w:type="dxa"/>
            <w:vAlign w:val="bottom"/>
          </w:tcPr>
          <w:p>
            <w:pPr>
              <w:spacing w:after="0"/>
              <w:rPr>
                <w:sz w:val="13"/>
                <w:szCs w:val="13"/>
                <w:color w:val="auto"/>
              </w:rPr>
            </w:pPr>
          </w:p>
        </w:tc>
        <w:tc>
          <w:tcPr>
            <w:tcW w:w="118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Divestitures</w:t>
            </w:r>
          </w:p>
        </w:tc>
        <w:tc>
          <w:tcPr>
            <w:tcW w:w="136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3"/>
                <w:szCs w:val="13"/>
                <w:color w:val="auto"/>
              </w:rPr>
            </w:pPr>
          </w:p>
        </w:tc>
        <w:tc>
          <w:tcPr>
            <w:tcW w:w="92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3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881</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1,749</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111</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104</w:t>
            </w:r>
          </w:p>
        </w:tc>
      </w:tr>
      <w:tr>
        <w:trPr>
          <w:trHeight w:val="162"/>
        </w:trPr>
        <w:tc>
          <w:tcPr>
            <w:tcW w:w="20" w:type="dxa"/>
            <w:vAlign w:val="bottom"/>
          </w:tcPr>
          <w:p>
            <w:pPr>
              <w:spacing w:after="0"/>
              <w:rPr>
                <w:sz w:val="14"/>
                <w:szCs w:val="14"/>
                <w:color w:val="auto"/>
              </w:rPr>
            </w:pPr>
          </w:p>
        </w:tc>
        <w:tc>
          <w:tcPr>
            <w:tcW w:w="29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10.3 %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20.7 %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42.5 %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5.9 %</w:t>
            </w:r>
          </w:p>
        </w:tc>
      </w:tr>
      <w:tr>
        <w:trPr>
          <w:trHeight w:val="274"/>
        </w:trPr>
        <w:tc>
          <w:tcPr>
            <w:tcW w:w="660" w:type="dxa"/>
            <w:vAlign w:val="bottom"/>
            <w:gridSpan w:val="2"/>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198"/>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2023</w:t>
            </w:r>
          </w:p>
        </w:tc>
        <w:tc>
          <w:tcPr>
            <w:tcW w:w="2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r>
      <w:tr>
        <w:trPr>
          <w:trHeight w:val="200"/>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1,837</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67</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116</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183</w:t>
            </w:r>
          </w:p>
        </w:tc>
      </w:tr>
      <w:tr>
        <w:trPr>
          <w:trHeight w:val="166"/>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9"/>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50.1 %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13.9 %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100.0 %</w:t>
            </w:r>
          </w:p>
        </w:tc>
      </w:tr>
      <w:tr>
        <w:trPr>
          <w:trHeight w:val="206"/>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43.7 %</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140" w:type="dxa"/>
            <w:vAlign w:val="bottom"/>
            <w:gridSpan w:val="4"/>
          </w:tcPr>
          <w:p>
            <w:pPr>
              <w:jc w:val="right"/>
              <w:ind w:right="168"/>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4"/>
          </w:tcPr>
          <w:p>
            <w:pPr>
              <w:jc w:val="right"/>
              <w:ind w:right="588"/>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gridSpan w:val="4"/>
          </w:tcPr>
          <w:p>
            <w:pPr>
              <w:spacing w:after="0"/>
              <w:rPr>
                <w:sz w:val="20"/>
                <w:szCs w:val="20"/>
                <w:color w:val="auto"/>
              </w:rPr>
            </w:pPr>
            <w:r>
              <w:rPr>
                <w:rFonts w:ascii="Arial" w:cs="Arial" w:eastAsia="Arial" w:hAnsi="Arial"/>
                <w:sz w:val="13"/>
                <w:szCs w:val="13"/>
                <w:color w:val="auto"/>
              </w:rPr>
              <w:t>(in millions)</w:t>
            </w:r>
          </w:p>
        </w:tc>
        <w:tc>
          <w:tcPr>
            <w:tcW w:w="780" w:type="dxa"/>
            <w:vAlign w:val="bottom"/>
          </w:tcPr>
          <w:p>
            <w:pPr>
              <w:spacing w:after="0"/>
              <w:rPr>
                <w:sz w:val="12"/>
                <w:szCs w:val="12"/>
                <w:color w:val="auto"/>
              </w:rPr>
            </w:pPr>
          </w:p>
        </w:tc>
        <w:tc>
          <w:tcPr>
            <w:tcW w:w="1360" w:type="dxa"/>
            <w:vAlign w:val="bottom"/>
            <w:gridSpan w:val="3"/>
          </w:tcPr>
          <w:p>
            <w:pPr>
              <w:jc w:val="right"/>
              <w:ind w:right="548"/>
              <w:spacing w:after="0" w:line="149" w:lineRule="exact"/>
              <w:rPr>
                <w:sz w:val="20"/>
                <w:szCs w:val="20"/>
                <w:color w:val="auto"/>
              </w:rPr>
            </w:pPr>
            <w:r>
              <w:rPr>
                <w:rFonts w:ascii="Arial" w:cs="Arial" w:eastAsia="Arial" w:hAnsi="Arial"/>
                <w:sz w:val="14"/>
                <w:szCs w:val="14"/>
                <w:color w:val="auto"/>
              </w:rPr>
              <w:t>June 30,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June 30,</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6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Profit (Loss) Reconciliation to Pre-tax Income (Loss)</w:t>
            </w: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80" w:type="dxa"/>
            <w:vAlign w:val="bottom"/>
            <w:gridSpan w:val="4"/>
            <w:vMerge w:val="continue"/>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2024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2023</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top w:val="single" w:sz="8" w:color="auto"/>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gridSpan w:val="4"/>
          </w:tcPr>
          <w:p>
            <w:pPr>
              <w:spacing w:after="0"/>
              <w:rPr>
                <w:sz w:val="20"/>
                <w:szCs w:val="20"/>
                <w:color w:val="auto"/>
              </w:rPr>
            </w:pPr>
            <w:r>
              <w:rPr>
                <w:rFonts w:ascii="Arial" w:cs="Arial" w:eastAsia="Arial" w:hAnsi="Arial"/>
                <w:sz w:val="14"/>
                <w:szCs w:val="14"/>
                <w:color w:val="auto"/>
              </w:rPr>
              <w:t>Reconciling items:</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Restructuring and related costs</w:t>
            </w: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(Gain) loss on divestitures and transaction costs</w:t>
            </w: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Litigation settlements (recoveries)</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Loss on extinguishment of debt</w:t>
            </w: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Other (income) expenses, net</w:t>
            </w:r>
          </w:p>
        </w:tc>
        <w:tc>
          <w:tcPr>
            <w:tcW w:w="7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gridSpan w:val="4"/>
          </w:tcPr>
          <w:p>
            <w:pPr>
              <w:spacing w:after="0"/>
              <w:rPr>
                <w:sz w:val="20"/>
                <w:szCs w:val="20"/>
                <w:color w:val="auto"/>
              </w:rPr>
            </w:pPr>
            <w:r>
              <w:rPr>
                <w:rFonts w:ascii="Arial" w:cs="Arial" w:eastAsia="Arial" w:hAnsi="Arial"/>
                <w:sz w:val="14"/>
                <w:szCs w:val="14"/>
                <w:b w:val="1"/>
                <w:bCs w:val="1"/>
                <w:color w:val="auto"/>
              </w:rPr>
              <w:t>Segment Profit (Loss)</w:t>
            </w: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Segment depreciation and amortization (including contract inducements)</w:t>
            </w:r>
          </w:p>
        </w:tc>
        <w:tc>
          <w:tcPr>
            <w:tcW w:w="7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gridSpan w:val="4"/>
          </w:tcPr>
          <w:p>
            <w:pPr>
              <w:spacing w:after="0"/>
              <w:rPr>
                <w:sz w:val="20"/>
                <w:szCs w:val="20"/>
                <w:color w:val="auto"/>
              </w:rPr>
            </w:pPr>
            <w:r>
              <w:rPr>
                <w:rFonts w:ascii="Arial" w:cs="Arial" w:eastAsia="Arial" w:hAnsi="Arial"/>
                <w:sz w:val="14"/>
                <w:szCs w:val="14"/>
                <w:b w:val="1"/>
                <w:bCs w:val="1"/>
                <w:color w:val="auto"/>
              </w:rPr>
              <w:t>Adjusted EBITDA</w:t>
            </w: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Commercial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Commercial revenue for the three and six months ended June 30, 2024 declined compared to the prior year periods, driven by lost business and lower volumes, partially offset by new business ramp.</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Commercial segment profit and adjusted EBITDA for the three months ended June 30, 2024 decreased compared to the prior year period due to the impact of lost business and lower volumes, partially offset by new business ramp.</w:t>
      </w:r>
    </w:p>
    <w:p>
      <w:pPr>
        <w:spacing w:after="0" w:line="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Commercial segment profit and adjusted EBITDA for the six months ended June 30, 2024 are substantially unchanged compared to the prior year period, with new business and cost efficiencies offsetting lost business and lower volumes. Commercial segment profit also benefited slightly from the impact of lower depreciation.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Government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Government revenue for the three and six months ended June 30, 2024 decreased, compared to the prior year periods, primarily driven by lost business and lower volumes, partially offset by the ramping of new business and a non-repeating item in the prior year period.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Government segment profit and adjusted EBITDA for the three and six months ended June 30, 2024 decreased compared to the prior year periods primarily due to lost business, lower volumes and the absence of a $17 million reversal of liabilities due to the settlement of the Cognizant matter in the prior year period and unfavorable revenue mix.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Transportation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Transportation revenue for the three and six months ended June 30, 2024 increased compared to the prior year periods, primarily driven by the ramping of new business, including the State of Victoria contract, higher volumes, improved operational performance and less impact from extended implementation timelines compared to the prior year period, partially offset by the non-retained portion of a Tolling contract.</w:t>
      </w:r>
    </w:p>
    <w:p>
      <w:pPr>
        <w:spacing w:after="0" w:line="200" w:lineRule="exact"/>
        <w:rPr>
          <w:sz w:val="20"/>
          <w:szCs w:val="20"/>
          <w:color w:val="auto"/>
        </w:rPr>
      </w:pPr>
    </w:p>
    <w:p>
      <w:pPr>
        <w:spacing w:after="0" w:line="33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Transportation segment profit and adjusted EBITDA for the three and six months ended June 30, 2024 decreased primarily due to the non-retained portion of a Tolling contract, partially offset by improved operational performance and less impact from extended implementation timelines compared to the prior year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Divestitures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Segment Profit and Adjusted EBITDA</w:t>
      </w:r>
    </w:p>
    <w:p>
      <w:pPr>
        <w:spacing w:after="0" w:line="16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decrease in revenue, segment profit and Adjusted EBITDA for the three and six months ended June 30, 2024 was due to the BenefitWallet portfolio and the Curbside Management and Public Safety businesses being included in the full three and six months of the prior year period whereas their results were only included until the date of their transfer and sale, respectively, in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Unallocated Costs</w:t>
      </w:r>
    </w:p>
    <w:p>
      <w:pPr>
        <w:spacing w:after="0" w:line="171"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Unallocated Costs for the three and six months ended June 30, 2024 decreased compared to the prior year periods primarily due to lower technology costs and lower employee-related healthcare expenses.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Metrics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Metrics</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use metrics to evaluate our business, determine the allocation of our resources, make decisions regarding corporate strategies and evaluate forward-looking projections and trends affecting our business. We disclose these metrics to provide transparency in our performance trends. We present certain key metrics, including Signings and Net ARR Activity below. The metrics for all periods presented below have been recast to remove the activity related to the BenefitWallet Portfolio and the Curbside Management and Public Safety Solutions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Signings</w:t>
      </w:r>
    </w:p>
    <w:p>
      <w:pPr>
        <w:spacing w:after="0" w:line="16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Signings are defined as estimated future revenues from contracts signed during the period, including renewals of existing contracts. Total Contract Value ("TCV") is the estimated total contractual revenue related to signed contracts. TCV signings is defined as estimated future revenues from contracts signed during the period, including renewals of existing contracts. Due to the inconsistency of when existing contracts end, quarterly and yearly comparisons are not a good measure of renewal performance. New business Annual Contract Value ("ACV") is calculated as TCV divided by the contract term, in months, multiplied by 12 for an annual measure.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2024, the Company signed $142 million and $239 million of new business ACV, respectively.</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0" w:name="page31"/>
    <w:bookmarkEnd w:id="3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Signing information for the three and six months ended June 30, 2024 and 2023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gridSpan w:val="5"/>
          </w:tcPr>
          <w:p>
            <w:pPr>
              <w:jc w:val="center"/>
              <w:ind w:right="46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2024 vs. 2023</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4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20" w:type="dxa"/>
            <w:vAlign w:val="bottom"/>
          </w:tcPr>
          <w:p>
            <w:pPr>
              <w:spacing w:after="0"/>
              <w:rPr>
                <w:sz w:val="13"/>
                <w:szCs w:val="13"/>
                <w:color w:val="auto"/>
              </w:rPr>
            </w:pPr>
          </w:p>
        </w:tc>
        <w:tc>
          <w:tcPr>
            <w:tcW w:w="1220" w:type="dxa"/>
            <w:vAlign w:val="bottom"/>
          </w:tcPr>
          <w:p>
            <w:pPr>
              <w:jc w:val="right"/>
              <w:ind w:right="468"/>
              <w:spacing w:after="0" w:line="156" w:lineRule="exact"/>
              <w:rPr>
                <w:sz w:val="20"/>
                <w:szCs w:val="20"/>
                <w:color w:val="auto"/>
              </w:rPr>
            </w:pPr>
            <w:r>
              <w:rPr>
                <w:rFonts w:ascii="Arial" w:cs="Arial" w:eastAsia="Arial" w:hAnsi="Arial"/>
                <w:sz w:val="14"/>
                <w:szCs w:val="14"/>
                <w:color w:val="auto"/>
              </w:rPr>
              <w:t>2024</w:t>
            </w:r>
            <w:r>
              <w:rPr>
                <w:rFonts w:ascii="Arial" w:cs="Arial" w:eastAsia="Arial" w:hAnsi="Arial"/>
                <w:sz w:val="18"/>
                <w:szCs w:val="18"/>
                <w:color w:val="auto"/>
                <w:vertAlign w:val="superscript"/>
              </w:rPr>
              <w:t>(3)</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jc w:val="right"/>
              <w:ind w:right="488"/>
              <w:spacing w:after="0" w:line="156" w:lineRule="exact"/>
              <w:rPr>
                <w:sz w:val="20"/>
                <w:szCs w:val="20"/>
                <w:color w:val="auto"/>
              </w:rPr>
            </w:pPr>
            <w:r>
              <w:rPr>
                <w:rFonts w:ascii="Arial" w:cs="Arial" w:eastAsia="Arial" w:hAnsi="Arial"/>
                <w:sz w:val="14"/>
                <w:szCs w:val="14"/>
                <w:color w:val="auto"/>
                <w:w w:val="95"/>
              </w:rPr>
              <w:t>2023</w:t>
            </w:r>
            <w:r>
              <w:rPr>
                <w:rFonts w:ascii="Arial" w:cs="Arial" w:eastAsia="Arial" w:hAnsi="Arial"/>
                <w:sz w:val="18"/>
                <w:szCs w:val="18"/>
                <w:color w:val="auto"/>
                <w:w w:val="95"/>
                <w:vertAlign w:val="superscript"/>
              </w:rPr>
              <w:t>(3)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3"/>
          </w:tcPr>
          <w:p>
            <w:pPr>
              <w:ind w:left="180"/>
              <w:spacing w:after="0" w:line="155"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ACV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1,946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1"/>
                <w:szCs w:val="21"/>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3"/>
          </w:tcPr>
          <w:p>
            <w:pPr>
              <w:jc w:val="center"/>
              <w:ind w:left="568"/>
              <w:spacing w:after="0"/>
              <w:rPr>
                <w:sz w:val="20"/>
                <w:szCs w:val="20"/>
                <w:color w:val="auto"/>
              </w:rPr>
            </w:pPr>
            <w:r>
              <w:rPr>
                <w:rFonts w:ascii="Arial" w:cs="Arial" w:eastAsia="Arial" w:hAnsi="Arial"/>
                <w:sz w:val="14"/>
                <w:szCs w:val="14"/>
                <w:color w:val="auto"/>
              </w:rPr>
              <w:t>Six Months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2024 vs. 2023</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4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20" w:type="dxa"/>
            <w:vAlign w:val="bottom"/>
          </w:tcPr>
          <w:p>
            <w:pPr>
              <w:spacing w:after="0"/>
              <w:rPr>
                <w:sz w:val="13"/>
                <w:szCs w:val="13"/>
                <w:color w:val="auto"/>
              </w:rPr>
            </w:pPr>
          </w:p>
        </w:tc>
        <w:tc>
          <w:tcPr>
            <w:tcW w:w="1220" w:type="dxa"/>
            <w:vAlign w:val="bottom"/>
          </w:tcPr>
          <w:p>
            <w:pPr>
              <w:jc w:val="right"/>
              <w:ind w:right="468"/>
              <w:spacing w:after="0" w:line="156" w:lineRule="exact"/>
              <w:rPr>
                <w:sz w:val="20"/>
                <w:szCs w:val="20"/>
                <w:color w:val="auto"/>
              </w:rPr>
            </w:pPr>
            <w:r>
              <w:rPr>
                <w:rFonts w:ascii="Arial" w:cs="Arial" w:eastAsia="Arial" w:hAnsi="Arial"/>
                <w:sz w:val="14"/>
                <w:szCs w:val="14"/>
                <w:color w:val="auto"/>
              </w:rPr>
              <w:t>2024</w:t>
            </w:r>
            <w:r>
              <w:rPr>
                <w:rFonts w:ascii="Arial" w:cs="Arial" w:eastAsia="Arial" w:hAnsi="Arial"/>
                <w:sz w:val="18"/>
                <w:szCs w:val="18"/>
                <w:color w:val="auto"/>
                <w:vertAlign w:val="superscript"/>
              </w:rPr>
              <w:t>(3)</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jc w:val="right"/>
              <w:ind w:right="488"/>
              <w:spacing w:after="0" w:line="156" w:lineRule="exact"/>
              <w:rPr>
                <w:sz w:val="20"/>
                <w:szCs w:val="20"/>
                <w:color w:val="auto"/>
              </w:rPr>
            </w:pPr>
            <w:r>
              <w:rPr>
                <w:rFonts w:ascii="Arial" w:cs="Arial" w:eastAsia="Arial" w:hAnsi="Arial"/>
                <w:sz w:val="14"/>
                <w:szCs w:val="14"/>
                <w:color w:val="auto"/>
                <w:w w:val="95"/>
              </w:rPr>
              <w:t>2023</w:t>
            </w:r>
            <w:r>
              <w:rPr>
                <w:rFonts w:ascii="Arial" w:cs="Arial" w:eastAsia="Arial" w:hAnsi="Arial"/>
                <w:sz w:val="18"/>
                <w:szCs w:val="18"/>
                <w:color w:val="auto"/>
                <w:w w:val="95"/>
                <w:vertAlign w:val="superscript"/>
              </w:rPr>
              <w:t>(3)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3"/>
          </w:tcPr>
          <w:p>
            <w:pPr>
              <w:ind w:left="180"/>
              <w:spacing w:after="0" w:line="155"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ACV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1,154</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2,563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1"/>
                <w:szCs w:val="21"/>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Recurring revenue signings are for new business contracts longer than one year.</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Non-recurring revenue signings are for contracts shorter than one year.</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Adjusted to remove Curbside Management and Public Safety new business signings.</w:t>
      </w:r>
    </w:p>
    <w:p>
      <w:pPr>
        <w:spacing w:after="0" w:line="165"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The total new business pipeline at the end of June 30, 2024 and 2023 was $21.8 billion and $ 19.0 billion, respectively. Total new business pipeline is defined as total new business TCV pipeline of deals in all sell stages. This extends past the next twelve-month period to include total pipeline, excluding the impact of divested business as required.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Net ARR Activity</w:t>
      </w:r>
    </w:p>
    <w:p>
      <w:pPr>
        <w:spacing w:after="0" w:line="156"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Net ARR Activity is a metric that is defined as Projected Annual Recurring Revenue for contracts signed in the prior 12 months, less the annualized impact of any client losses, contractual volume and price changes, and other known impacts for which the Company was notified</w:t>
      </w:r>
    </w:p>
    <w:p>
      <w:pPr>
        <w:spacing w:after="0" w:line="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 that same time period, which could positively or negatively impact results. The metric annualizes the net impact to revenue. Timing of revenue impact varies and may not be realized within the forward 12-month timeframe. The metric is for indicative purposes only. This metric excludes non-recurring revenue signings. This metric is not indicative of any specific 12-month timeframe.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Net ARR activity metric for the trailing twelve months for each of the prior five quarters was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4"/>
                <w:szCs w:val="14"/>
                <w:color w:val="auto"/>
              </w:rPr>
            </w:pPr>
          </w:p>
        </w:tc>
        <w:tc>
          <w:tcPr>
            <w:tcW w:w="2100" w:type="dxa"/>
            <w:vAlign w:val="bottom"/>
          </w:tcPr>
          <w:p>
            <w:pPr>
              <w:jc w:val="right"/>
              <w:ind w:right="368"/>
              <w:spacing w:after="0"/>
              <w:rPr>
                <w:sz w:val="20"/>
                <w:szCs w:val="20"/>
                <w:color w:val="auto"/>
              </w:rPr>
            </w:pPr>
            <w:r>
              <w:rPr>
                <w:rFonts w:ascii="Arial" w:cs="Arial" w:eastAsia="Arial" w:hAnsi="Arial"/>
                <w:sz w:val="14"/>
                <w:szCs w:val="14"/>
                <w:color w:val="auto"/>
              </w:rPr>
              <w:t>Net ARR Activity metric</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30, 2024</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98"/>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March 31, 2024</w:t>
            </w:r>
          </w:p>
        </w:tc>
        <w:tc>
          <w:tcPr>
            <w:tcW w:w="2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7"/>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31, 2023</w:t>
            </w:r>
          </w:p>
        </w:tc>
        <w:tc>
          <w:tcPr>
            <w:tcW w:w="28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98"/>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September 30, 2023</w:t>
            </w:r>
          </w:p>
        </w:tc>
        <w:tc>
          <w:tcPr>
            <w:tcW w:w="2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207"/>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30, 2023</w:t>
            </w:r>
          </w:p>
        </w:tc>
        <w:tc>
          <w:tcPr>
            <w:tcW w:w="28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r>
    </w:tbl>
    <w:p>
      <w:pPr>
        <w:spacing w:after="0" w:line="200" w:lineRule="exact"/>
        <w:rPr>
          <w:sz w:val="20"/>
          <w:szCs w:val="20"/>
          <w:color w:val="auto"/>
        </w:rPr>
      </w:pPr>
    </w:p>
    <w:p>
      <w:pPr>
        <w:spacing w:after="0" w:line="277"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Capital Resources and Liquidity</w:t>
      </w:r>
    </w:p>
    <w:p>
      <w:pPr>
        <w:spacing w:after="0" w:line="16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June 30, 2024 and December 31, 2023, total cash and cash equivalents were $300 million and $498 million, respectively. We also have a $550 million revolving line of credit for our various cash needs, of which $3 million was used for letters of credit. The net amount available to be drawn upon under our revolving line of credit as of June 30, 2024, was $547 million.</w:t>
      </w:r>
    </w:p>
    <w:p>
      <w:pPr>
        <w:spacing w:after="0" w:line="11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As of June 30, 2024, our total principal debt outstanding was $ 833 million, of which $33 million was due within one year. Refer to Note 7 – Debt in the Condensed Consolidated Financial Statements for additional debt information.</w:t>
      </w:r>
    </w:p>
    <w:p>
      <w:pPr>
        <w:spacing w:after="0" w:line="9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To provide financial flexibility and finance certain investments and projects, we may continue to utilize external financing arrangements. However, we believe that our cash on hand, projected cash flow from operations, sound balance sheet and our revolving line of credit will continue to provide sufficient financial resources to meet our expected business obligations for at least the next twelve months.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Cash Flow Analysis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as reported in our Condensed Consolidated Statement of Cash Flows in the accompanying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ind w:left="340"/>
              <w:spacing w:after="0"/>
              <w:rPr>
                <w:sz w:val="20"/>
                <w:szCs w:val="20"/>
                <w:color w:val="auto"/>
              </w:rPr>
            </w:pPr>
            <w:r>
              <w:rPr>
                <w:rFonts w:ascii="Arial" w:cs="Arial" w:eastAsia="Arial" w:hAnsi="Arial"/>
                <w:sz w:val="14"/>
                <w:szCs w:val="14"/>
                <w:color w:val="auto"/>
              </w:rPr>
              <w:t>Six Months Ended June 30,</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4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Better (Worse)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98"/>
        </w:trPr>
        <w:tc>
          <w:tcPr>
            <w:tcW w:w="20" w:type="dxa"/>
            <w:vAlign w:val="bottom"/>
          </w:tcPr>
          <w:p>
            <w:pPr>
              <w:spacing w:after="0"/>
              <w:rPr>
                <w:sz w:val="17"/>
                <w:szCs w:val="17"/>
                <w:color w:val="auto"/>
              </w:rPr>
            </w:pPr>
          </w:p>
        </w:tc>
        <w:tc>
          <w:tcPr>
            <w:tcW w:w="6460" w:type="dxa"/>
            <w:vAlign w:val="bottom"/>
            <w:gridSpan w:val="2"/>
          </w:tcPr>
          <w:p>
            <w:pPr>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595</w:t>
            </w:r>
          </w:p>
        </w:tc>
      </w:tr>
      <w:tr>
        <w:trPr>
          <w:trHeight w:val="207"/>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Operating activities</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net increase in cash used in operating activities of $56 million, compared to the prior year period, was primarily due to lower adjusted EBITDA, slightly higher accounts receivable days sales outstanding and lower days payable outstanding. These were partially offset by lower cash income tax and interest payments. We expect cash tax payments to increase significantly in the second half of 2024 resulting from payments on gains related to our divestitures.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Investing activities</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Investing cash flow increased by $595 million mainly due to $599 million of proceeds received from the transfer of the BenefitWallet Portfolio and the sale of the Curbside Management and Public Safety Solutions businesses.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Financing activities</w:t>
      </w:r>
    </w:p>
    <w:p>
      <w:pPr>
        <w:spacing w:after="0" w:line="171"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The increase in cash used in financing activities was primarily driven by the voluntary prepayment of $464 million of debt using the proceeds received for the transfer of the BenefitWallet Portfolio and the sale of the Curbside Management and Public Safety businesses as well as the repurchase of $168 million of treasury stock, including the $132 million purchased from the Icahn Parties.</w:t>
      </w:r>
    </w:p>
    <w:p>
      <w:pPr>
        <w:spacing w:after="0" w:line="200" w:lineRule="exact"/>
        <w:rPr>
          <w:sz w:val="20"/>
          <w:szCs w:val="20"/>
          <w:color w:val="auto"/>
        </w:rPr>
      </w:pPr>
    </w:p>
    <w:p>
      <w:pPr>
        <w:spacing w:after="0" w:line="31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Sales of Accounts Receivable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entered into a factoring agreement in the normal course of business as part of our cash and liquidity management, to sell certain accounts receivable without recourse to a third-party financial institution. The transactions under this agreement are treated as sales and are accounted for as reductions in accounts receivable because the agreement transfers effective control over, and risk related to, the receivables to the buyer. Cash proceeds from this arrangement are included in cash flow from operating activities in the Condensed Consolidated Statements of Cash Flows.</w:t>
      </w:r>
    </w:p>
    <w:p>
      <w:pPr>
        <w:spacing w:after="0" w:line="1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net impact from the sales of accounts receivable on net cash provided by (used in) operating activities for the six months ended June 30, 2024 and 2023 was $(16) million and $(24)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Material Cash Requirements from Contractual Obligations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believes its balances of cash and cash equivalents, which totaled $300 million as of June 30, 2024, along with cash generated by operations and amounts available for borrowing under its 2021 Revolving Credit Facility, will be sufficient to satisfy its cash requirements over the next 12 months and beyond.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June 30, 2024, the Company’s material cash requirements include debt, leases and estimated purchase commitments. See Part II, Item 7</w:t>
      </w:r>
    </w:p>
    <w:p>
      <w:pPr>
        <w:spacing w:after="0" w:line="27"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 Management's Discussion and Analysis of Financial Condition and Results of Operation of our Annual Report on Form 10-K for the year ended December 31, 2023 for additional information on our material cash requirements.</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Critical Accounting Estimates and Policies</w:t>
      </w:r>
    </w:p>
    <w:p>
      <w:pPr>
        <w:spacing w:after="0" w:line="16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accounting principles generally accepted in the United States of America ("U.S. GAAP"). The preparation of financial statements in conformity with U.S. GAAP requires us to make estimates and assumptions in certain circumstances that affect amounts reported in the accompanying Condensed Consolidated Financial Statements and notes thereto.</w:t>
      </w:r>
    </w:p>
    <w:p>
      <w:pPr>
        <w:spacing w:after="0" w:line="12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There have been no significant changes during the six months ended June 30, 2024 to our critical accounting estimates and policies from those disclosed in our Annual Report on Form 10-K for the year ended December 31, 2023.</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Recent Accounting Changes</w:t>
      </w:r>
    </w:p>
    <w:p>
      <w:pPr>
        <w:spacing w:after="0" w:line="16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See Note 2 – Recent Accounting Pronouncements for information on accounting standards adopted during the current year, as well as recently issued accounting standards not yet required to be adopted and the expected impact of the adoption of these accounting standards.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Non-GAAP Financial Measures</w:t>
      </w:r>
    </w:p>
    <w:p>
      <w:pPr>
        <w:spacing w:after="0" w:line="16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reported our financial results in accordance with accounting principles generally accepted in the U.S. (U.S. GAAP). In addition, within this Form 10-Q Part I Item 2 we have discussed our financial results using non-GAAP measures.</w:t>
      </w:r>
    </w:p>
    <w:p>
      <w:pPr>
        <w:spacing w:after="0" w:line="200" w:lineRule="exact"/>
        <w:rPr>
          <w:sz w:val="20"/>
          <w:szCs w:val="20"/>
          <w:color w:val="auto"/>
        </w:rPr>
      </w:pPr>
    </w:p>
    <w:p>
      <w:pPr>
        <w:spacing w:after="0" w:line="31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3" w:name="page34"/>
    <w:bookmarkEnd w:id="3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against the corresponding prior period. However, these non-GAAP financial measures should be viewed in addition to, and not as a substitute for, the Company’s reported results prepared in accordance with U.S. GAAP. Our non-GAAP financial measures are not meant to be considered in isolation or as a substitute for comparable U.S. GAAP measures and should be read only in conjunction with our Consolidated Financial Statements prepared in accordance with U.S. GAAP. Our management regularly uses our non-GAAP financial measures internally to understand, manage and evaluate our business and make operating decisions, and providing such non-GAAP financial measures to investors allows for a further level of transparency as to how management reviews and evaluates our business results and trends. These non-GAAP measures are among the primary factors management uses in planning for and forecasting future periods. Compensation of our executives is based in part on the performance of our business based on certain of these non-GAAP measures.</w:t>
      </w:r>
    </w:p>
    <w:p>
      <w:pPr>
        <w:spacing w:after="0" w:line="136" w:lineRule="exact"/>
        <w:rPr>
          <w:sz w:val="20"/>
          <w:szCs w:val="20"/>
          <w:color w:val="auto"/>
        </w:rPr>
      </w:pPr>
    </w:p>
    <w:p>
      <w:pPr>
        <w:ind w:right="680"/>
        <w:spacing w:after="0" w:line="318" w:lineRule="auto"/>
        <w:rPr>
          <w:sz w:val="20"/>
          <w:szCs w:val="20"/>
          <w:color w:val="auto"/>
        </w:rPr>
      </w:pPr>
      <w:r>
        <w:rPr>
          <w:rFonts w:ascii="Arial" w:cs="Arial" w:eastAsia="Arial" w:hAnsi="Arial"/>
          <w:sz w:val="17"/>
          <w:szCs w:val="17"/>
          <w:color w:val="auto"/>
        </w:rPr>
        <w:t>A reconciliation of the non-GAAP financial measures Adjusted EBITDA and EBITDA Margin to the most directly comparable financial measures calculated and presented in accordance with U.S. GAAP are provided in the Segment Performance Review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Adjusted EBITDA and Adjusted EBITDA Margin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use adjusted EBITDA and adjusted EBITDA Margin as an additional way of assessing certain aspects of our operations that, when viewed with the U.S. GAAP results and the accompanying reconciliations to corresponding U.S. GAAP financial measures, provide a more complete understanding of our on-going business. Adjusted EBITDA Margin is adjusted EBITDA divided by revenue. Adjusted EBITDA represents income (loss) before interest, income taxes, depreciation and amortization and contract inducement amortization adjusted for the following items:</w:t>
      </w:r>
    </w:p>
    <w:p>
      <w:pPr>
        <w:spacing w:after="0" w:line="71" w:lineRule="exact"/>
        <w:rPr>
          <w:sz w:val="20"/>
          <w:szCs w:val="20"/>
          <w:color w:val="auto"/>
        </w:rPr>
      </w:pPr>
    </w:p>
    <w:p>
      <w:pPr>
        <w:ind w:left="660" w:right="12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Amortization of acquired intangible assets. The amortization of acquired intangible assets is driven by acquisition activity, which can vary in size, nature and timing as compared to other companies within our industry and from period to period.</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Restructuring and related costs. Restructuring and related costs include restructuring and asset impairment charges as well as costs associated with our strategic transformation program.</w:t>
      </w:r>
    </w:p>
    <w:p>
      <w:pPr>
        <w:ind w:left="660" w:right="3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Goodwill impairment. This represents goodwill impairment charges related to entering the agreement to transfer the BenefitWallet Portfolio.</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(Gain) loss on divestitures and transaction costs. Represents (gain) loss on divested businesses and transaction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settlements (recoveries), net represents settlements or recoveries for various matters subject to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on extinguishment of debt. This represents write-off of debt issuance costs related to prepayments of debt.</w:t>
      </w:r>
    </w:p>
    <w:p>
      <w:pPr>
        <w:spacing w:after="0" w:line="9" w:lineRule="exact"/>
        <w:rPr>
          <w:rFonts w:ascii="Arial" w:cs="Arial" w:eastAsia="Arial" w:hAnsi="Arial"/>
          <w:sz w:val="18"/>
          <w:szCs w:val="18"/>
          <w:color w:val="auto"/>
        </w:rPr>
      </w:pPr>
    </w:p>
    <w:p>
      <w:pPr>
        <w:ind w:left="660" w:right="400" w:hanging="328"/>
        <w:spacing w:after="0" w:line="26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charges (credits). This includes Other (income) expenses, net on the Consolidated Statements of Income (loss) and other insignificant (income) expenses and other adjustments.</w:t>
      </w:r>
    </w:p>
    <w:p>
      <w:pPr>
        <w:spacing w:after="0" w:line="117"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Adjusted EBITDA is not intended to represent cash flows from operations, operating income (loss) or net income (loss) as defined by U.S. GAAP as indicators of operating performance. Management cautions that amounts presented in accordance with Conduent's definition of adjusted EBITDA and adjusted EBITDA Margin may not be comparable to similar measures disclosed by other companies because not all companies calculate adjusted EBITDA and adjusted EBITDA Margin in the same manner.</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QUANTITATIVE AND QUALITATIVE DISCLOSURES ABOUT MARKET RISK</w:t>
      </w:r>
    </w:p>
    <w:p>
      <w:pPr>
        <w:spacing w:after="0" w:line="1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exposed to market risk from changes in foreign currency exchange rates which could affect operating results, financial position and cash flows. We manage our exposure to these market risks through our regular operating and financing activities and, when appropriate, through the use of derivative financial instruments. We may utilize derivative financial instruments to hedge economic exposures, as well as to reduce earnings and cash flow volatility resulting from shifts in market rates. We also may hedge the cost to fund material non-dollar entities by buying currencies periodically in advance of the funding date. This is accounted for using derivative accounting.</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4" w:name="page35"/>
    <w:bookmarkEnd w:id="3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Recent market and economic events have not caused us to materially modify nor change our financial risk management strategies with respect to our exposures to foreign currency risk. Refer to Note 18 – Financial Instruments in the Condensed Consolidated Financial Statements for additional discussion on our financial risk management.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reporting period, there have been no material changes to the quantitative and qualitative disclosures regarding our market risk set forth in our Annual Report on Form 10-K for the year ended December 31, 2023.</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CONTROLS AND PROCEDURES</w:t>
      </w:r>
    </w:p>
    <w:p>
      <w:pPr>
        <w:spacing w:after="0" w:line="162"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1269BC"/>
        </w:rPr>
      </w:pPr>
      <w:r>
        <w:rPr>
          <w:rFonts w:ascii="Arial" w:cs="Arial" w:eastAsia="Arial" w:hAnsi="Arial"/>
          <w:sz w:val="18"/>
          <w:szCs w:val="18"/>
          <w:b w:val="1"/>
          <w:bCs w:val="1"/>
          <w:color w:val="1269BC"/>
        </w:rPr>
        <w:t>Evaluation of Disclosure Controls and Procedures</w:t>
      </w:r>
    </w:p>
    <w:p>
      <w:pPr>
        <w:spacing w:after="0" w:line="171" w:lineRule="exact"/>
        <w:rPr>
          <w:sz w:val="20"/>
          <w:szCs w:val="20"/>
          <w:color w:val="auto"/>
        </w:rPr>
      </w:pPr>
    </w:p>
    <w:p>
      <w:pPr>
        <w:ind w:left="340" w:right="140"/>
        <w:spacing w:after="0" w:line="255" w:lineRule="auto"/>
        <w:rPr>
          <w:sz w:val="20"/>
          <w:szCs w:val="20"/>
          <w:color w:val="auto"/>
        </w:rPr>
      </w:pPr>
      <w:r>
        <w:rPr>
          <w:rFonts w:ascii="Arial" w:cs="Arial" w:eastAsia="Arial" w:hAnsi="Arial"/>
          <w:sz w:val="18"/>
          <w:szCs w:val="18"/>
          <w:color w:val="auto"/>
        </w:rPr>
        <w:t>The Company’s management evaluated, with the participation of our principal executive officer and principal financial officer, or persons performing similar functions, the effectiveness of our disclosure controls and procedures, as defined in Rules 13a-15(e) and 15d -15(e) under the Securities Exchange Act of 1934, as amended (the "Exchange Act"), as of the end of the period covered by this Form 10-Q. Based on this evaluation, our principal executive officer and principal financial officer have concluded that, as of the end of the period covered by this Form 10-Q, our disclosure controls and procedures were effective to ensure that information we are required to disclose in the reports that we file or submit under the Exchange Act, is recorded, processed, summarized and reported within the time periods specified in the SEC’s rules and forms relating to the Company,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127"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b w:val="1"/>
          <w:bCs w:val="1"/>
          <w:color w:val="1269BC"/>
        </w:rPr>
      </w:pPr>
      <w:r>
        <w:rPr>
          <w:rFonts w:ascii="Arial" w:cs="Arial" w:eastAsia="Arial" w:hAnsi="Arial"/>
          <w:sz w:val="18"/>
          <w:szCs w:val="18"/>
          <w:b w:val="1"/>
          <w:bCs w:val="1"/>
          <w:color w:val="1269BC"/>
        </w:rPr>
        <w:t>Changes in Internal Control Over Financial Reporting</w:t>
      </w:r>
    </w:p>
    <w:p>
      <w:pPr>
        <w:spacing w:after="0" w:line="171" w:lineRule="exact"/>
        <w:rPr>
          <w:sz w:val="20"/>
          <w:szCs w:val="20"/>
          <w:color w:val="auto"/>
        </w:rPr>
      </w:pPr>
    </w:p>
    <w:p>
      <w:pPr>
        <w:ind w:left="340" w:right="260"/>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2024,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PART II —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LEGAL PROCEEDINGS</w:t>
      </w:r>
    </w:p>
    <w:p>
      <w:pPr>
        <w:spacing w:after="0" w:line="17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set forth under Note 12 – Contingencies and Litigation in the Condensed Consolidated Financial Statements of this Form 10-Q is incorporated herein by reference in answer to this Item.</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1A — RISK FACTORS</w:t>
      </w:r>
    </w:p>
    <w:p>
      <w:pPr>
        <w:spacing w:after="0" w:line="16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Reference is made to the Risk Factors set forth in Part I, Item 1A of our Annual Report on Form 10-K for the year ended December 31, 2023. There have been no material changes to our risk factors as previously reported in our Annual Report on Form 10-K for the year ended December 31, 2023.</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2 — UNREGISTERED SALES OF EQUITY SECURITIES AND USE OF PROCEEDS</w:t>
      </w:r>
    </w:p>
    <w:p>
      <w:pPr>
        <w:spacing w:after="0" w:line="162"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1269BC"/>
        </w:rPr>
      </w:pPr>
      <w:r>
        <w:rPr>
          <w:rFonts w:ascii="Arial" w:cs="Arial" w:eastAsia="Arial" w:hAnsi="Arial"/>
          <w:sz w:val="18"/>
          <w:szCs w:val="18"/>
          <w:b w:val="1"/>
          <w:bCs w:val="1"/>
          <w:color w:val="1269BC"/>
        </w:rPr>
        <w:t>Sales of Unregistered Securities during the Quarter ended June 30, 2024</w:t>
      </w:r>
    </w:p>
    <w:p>
      <w:pPr>
        <w:spacing w:after="0" w:line="171" w:lineRule="exact"/>
        <w:rPr>
          <w:sz w:val="20"/>
          <w:szCs w:val="20"/>
          <w:color w:val="auto"/>
        </w:rPr>
      </w:pPr>
    </w:p>
    <w:p>
      <w:pPr>
        <w:ind w:left="420" w:right="20"/>
        <w:spacing w:after="0" w:line="287" w:lineRule="auto"/>
        <w:rPr>
          <w:sz w:val="20"/>
          <w:szCs w:val="20"/>
          <w:color w:val="auto"/>
        </w:rPr>
      </w:pPr>
      <w:r>
        <w:rPr>
          <w:rFonts w:ascii="Arial" w:cs="Arial" w:eastAsia="Arial" w:hAnsi="Arial"/>
          <w:sz w:val="18"/>
          <w:szCs w:val="18"/>
          <w:color w:val="auto"/>
        </w:rPr>
        <w:t>During the quarter ended June 30, 2024, the Company did not issue any securities in transactions that were not registered under the Securities Act of 1933, as amended.</w:t>
      </w:r>
    </w:p>
    <w:p>
      <w:pPr>
        <w:spacing w:after="0" w:line="99"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1269BC"/>
        </w:rPr>
      </w:pPr>
      <w:r>
        <w:rPr>
          <w:rFonts w:ascii="Arial" w:cs="Arial" w:eastAsia="Arial" w:hAnsi="Arial"/>
          <w:sz w:val="18"/>
          <w:szCs w:val="18"/>
          <w:b w:val="1"/>
          <w:bCs w:val="1"/>
          <w:color w:val="1269BC"/>
        </w:rPr>
        <w:t>Purchases of Equity Securities by the Issuer and Affiliated Purchasers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Share repurchase activity during the three months ended June 30, 2024 was as follows:</w:t>
      </w:r>
    </w:p>
    <w:p>
      <w:pPr>
        <w:spacing w:after="0" w:line="200" w:lineRule="exact"/>
        <w:rPr>
          <w:sz w:val="20"/>
          <w:szCs w:val="20"/>
          <w:color w:val="auto"/>
        </w:rPr>
      </w:pPr>
    </w:p>
    <w:p>
      <w:pPr>
        <w:spacing w:after="0" w:line="38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Q2 2024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Total Number of Shares</w:t>
            </w:r>
          </w:p>
        </w:tc>
        <w:tc>
          <w:tcPr>
            <w:tcW w:w="2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 of Shares that</w:t>
            </w:r>
          </w:p>
        </w:tc>
        <w:tc>
          <w:tcPr>
            <w:tcW w:w="0" w:type="dxa"/>
            <w:vAlign w:val="bottom"/>
          </w:tcPr>
          <w:p>
            <w:pPr>
              <w:spacing w:after="0"/>
              <w:rPr>
                <w:sz w:val="1"/>
                <w:szCs w:val="1"/>
                <w:color w:val="auto"/>
              </w:rPr>
            </w:pPr>
          </w:p>
        </w:tc>
      </w:tr>
      <w:tr>
        <w:trPr>
          <w:trHeight w:val="135"/>
        </w:trPr>
        <w:tc>
          <w:tcPr>
            <w:tcW w:w="1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Purchased as a Part of</w:t>
            </w:r>
          </w:p>
        </w:tc>
        <w:tc>
          <w:tcPr>
            <w:tcW w:w="120" w:type="dxa"/>
            <w:vAlign w:val="bottom"/>
          </w:tcPr>
          <w:p>
            <w:pPr>
              <w:spacing w:after="0"/>
              <w:rPr>
                <w:sz w:val="11"/>
                <w:szCs w:val="11"/>
                <w:color w:val="auto"/>
              </w:rPr>
            </w:pPr>
          </w:p>
        </w:tc>
        <w:tc>
          <w:tcPr>
            <w:tcW w:w="27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May Yet Be Purchased Under Plan (in</w:t>
            </w:r>
          </w:p>
        </w:tc>
        <w:tc>
          <w:tcPr>
            <w:tcW w:w="0" w:type="dxa"/>
            <w:vAlign w:val="bottom"/>
          </w:tcPr>
          <w:p>
            <w:pPr>
              <w:spacing w:after="0"/>
              <w:rPr>
                <w:sz w:val="1"/>
                <w:szCs w:val="1"/>
                <w:color w:val="auto"/>
              </w:rPr>
            </w:pPr>
          </w:p>
        </w:tc>
      </w:tr>
      <w:tr>
        <w:trPr>
          <w:trHeight w:val="202"/>
        </w:trPr>
        <w:tc>
          <w:tcPr>
            <w:tcW w:w="1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r>
              <w:rPr>
                <w:rFonts w:ascii="Arial" w:cs="Arial" w:eastAsia="Arial" w:hAnsi="Arial"/>
                <w:sz w:val="9"/>
                <w:szCs w:val="9"/>
                <w:b w:val="1"/>
                <w:bCs w:val="1"/>
                <w:color w:val="auto"/>
              </w:rPr>
              <w:t>(1) (2)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9"/>
                <w:szCs w:val="9"/>
                <w:b w:val="1"/>
                <w:bCs w:val="1"/>
                <w:color w:val="auto"/>
              </w:rPr>
              <w:t>(3)</w:t>
            </w:r>
          </w:p>
        </w:tc>
        <w:tc>
          <w:tcPr>
            <w:tcW w:w="10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Publicly Announced Plan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197"/>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April 1-30, 2024</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2,101,902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2,101,902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9"/>
        </w:trPr>
        <w:tc>
          <w:tcPr>
            <w:tcW w:w="1880" w:type="dxa"/>
            <w:vAlign w:val="bottom"/>
            <w:gridSpan w:val="2"/>
          </w:tcPr>
          <w:p>
            <w:pPr>
              <w:ind w:left="20"/>
              <w:spacing w:after="0"/>
              <w:rPr>
                <w:sz w:val="20"/>
                <w:szCs w:val="20"/>
                <w:color w:val="auto"/>
              </w:rPr>
            </w:pPr>
            <w:r>
              <w:rPr>
                <w:rFonts w:ascii="Arial" w:cs="Arial" w:eastAsia="Arial" w:hAnsi="Arial"/>
                <w:sz w:val="14"/>
                <w:szCs w:val="14"/>
                <w:color w:val="auto"/>
              </w:rPr>
              <w:t>May 1-31, 2024</w:t>
            </w:r>
          </w:p>
        </w:tc>
        <w:tc>
          <w:tcPr>
            <w:tcW w:w="1560" w:type="dxa"/>
            <w:vAlign w:val="bottom"/>
          </w:tcPr>
          <w:p>
            <w:pPr>
              <w:jc w:val="right"/>
              <w:spacing w:after="0"/>
              <w:rPr>
                <w:sz w:val="20"/>
                <w:szCs w:val="20"/>
                <w:color w:val="auto"/>
              </w:rPr>
            </w:pPr>
            <w:r>
              <w:rPr>
                <w:rFonts w:ascii="Arial" w:cs="Arial" w:eastAsia="Arial" w:hAnsi="Arial"/>
                <w:sz w:val="14"/>
                <w:szCs w:val="14"/>
                <w:color w:val="auto"/>
              </w:rPr>
              <w:t>1,474,177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1,474,177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3"/>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1-30,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39,700,862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7"/>
                <w:szCs w:val="17"/>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1,551,526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0"/>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43,276,941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5,127,605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80" w:right="240" w:hanging="167"/>
        <w:spacing w:after="0" w:line="221" w:lineRule="auto"/>
        <w:tabs>
          <w:tab w:leader="none" w:pos="611"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On May 16, 2023, the Board of Directors authorized a three year share repurchase program, granting approval for the Company to repurchase up to $75 million of its common stock from time to time as market and business conditions warrant, including through open market purchases or Rule 10b5-1 trading plans.</w:t>
      </w:r>
    </w:p>
    <w:p>
      <w:pPr>
        <w:ind w:left="580" w:right="240" w:hanging="167"/>
        <w:spacing w:after="0" w:line="223" w:lineRule="auto"/>
        <w:tabs>
          <w:tab w:leader="none" w:pos="611"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As disclosed in Note 13 – Common Stock and Preferred Stock, on June 8, 2024, the Company entered into a purchase agreement with the Icahn Parties pursuant to which the Company agreed to purchase an aggregate of approximately 38 million shares of the Company’s Common Stock, at a price of $3.47 per share, for an aggregate purchase price of approximately $132 million. The transaction closed on June 10, 2024.</w:t>
      </w:r>
    </w:p>
    <w:p>
      <w:pPr>
        <w:ind w:left="600" w:hanging="187"/>
        <w:spacing w:after="0" w:line="209" w:lineRule="auto"/>
        <w:tabs>
          <w:tab w:leader="none" w:pos="60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Average share price includes transaction commissions.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5 —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10b5-1 Plans</w:t>
      </w:r>
    </w:p>
    <w:p>
      <w:pPr>
        <w:spacing w:after="0" w:line="171"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During the three months ended June 30, 2024,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2024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6" w:name="page37"/>
    <w:bookmarkEnd w:id="3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6 — EXHIBITS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vMerge w:val="restart"/>
          </w:tcPr>
          <w:p>
            <w:pPr>
              <w:ind w:left="18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60" w:type="dxa"/>
            <w:vAlign w:val="bottom"/>
            <w:gridSpan w:val="14"/>
            <w:vMerge w:val="restart"/>
          </w:tcPr>
          <w:p>
            <w:pPr>
              <w:ind w:left="20"/>
              <w:spacing w:after="0"/>
              <w:rPr>
                <w:sz w:val="20"/>
                <w:szCs w:val="20"/>
                <w:color w:val="auto"/>
              </w:rPr>
            </w:pPr>
            <w:r>
              <w:rPr>
                <w:rFonts w:ascii="Arial" w:cs="Arial" w:eastAsia="Arial" w:hAnsi="Arial"/>
                <w:sz w:val="18"/>
                <w:szCs w:val="18"/>
                <w:color w:val="auto"/>
              </w:rPr>
              <w:t>Description</w:t>
            </w: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Filed</w:t>
            </w:r>
          </w:p>
        </w:tc>
        <w:tc>
          <w:tcPr>
            <w:tcW w:w="0" w:type="dxa"/>
            <w:vAlign w:val="bottom"/>
          </w:tcPr>
          <w:p>
            <w:pPr>
              <w:spacing w:after="0"/>
              <w:rPr>
                <w:sz w:val="1"/>
                <w:szCs w:val="1"/>
                <w:color w:val="auto"/>
              </w:rPr>
            </w:pPr>
          </w:p>
        </w:tc>
      </w:tr>
      <w:tr>
        <w:trPr>
          <w:trHeight w:val="243"/>
        </w:trPr>
        <w:tc>
          <w:tcPr>
            <w:tcW w:w="1320" w:type="dxa"/>
            <w:vAlign w:val="bottom"/>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14"/>
            <w:vMerge w:val="continue"/>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r>
        <w:trPr>
          <w:trHeight w:val="183"/>
        </w:trPr>
        <w:tc>
          <w:tcPr>
            <w:tcW w:w="1320" w:type="dxa"/>
            <w:vAlign w:val="bottom"/>
          </w:tcPr>
          <w:p>
            <w:pPr>
              <w:spacing w:after="0" w:line="182"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434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Custodial Transfer and Purchase Agreement, between</w:t>
              </w:r>
            </w:hyperlink>
          </w:p>
        </w:tc>
        <w:tc>
          <w:tcPr>
            <w:tcW w:w="820" w:type="dxa"/>
            <w:vAlign w:val="bottom"/>
            <w:gridSpan w:val="10"/>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gridSpan w:val="17"/>
          </w:tcPr>
          <w:p>
            <w:pPr>
              <w:spacing w:after="0" w:line="156" w:lineRule="exact"/>
              <w:rPr>
                <w:rFonts w:ascii="Arial" w:cs="Arial" w:eastAsia="Arial" w:hAnsi="Arial"/>
                <w:sz w:val="18"/>
                <w:szCs w:val="18"/>
                <w:color w:val="0000FF"/>
              </w:rPr>
            </w:pPr>
            <w:hyperlink r:id="rId47">
              <w:r>
                <w:rPr>
                  <w:rFonts w:ascii="Arial" w:cs="Arial" w:eastAsia="Arial" w:hAnsi="Arial"/>
                  <w:sz w:val="18"/>
                  <w:szCs w:val="18"/>
                  <w:color w:val="0000FF"/>
                </w:rPr>
                <w:t>Conduent Business Services, LLC and HealthEquity, Inc., dated</w:t>
              </w:r>
            </w:hyperlink>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vMerge w:val="restart"/>
          </w:tcPr>
          <w:p>
            <w:pPr>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4"/>
                <w:szCs w:val="14"/>
                <w:color w:val="auto"/>
              </w:rPr>
            </w:pPr>
          </w:p>
        </w:tc>
        <w:tc>
          <w:tcPr>
            <w:tcW w:w="508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47">
              <w:r>
                <w:rPr>
                  <w:rFonts w:ascii="Arial" w:cs="Arial" w:eastAsia="Arial" w:hAnsi="Arial"/>
                  <w:sz w:val="18"/>
                  <w:szCs w:val="18"/>
                  <w:color w:val="0000FF"/>
                </w:rPr>
                <w:t>as of September 18, 2023.</w:t>
              </w:r>
            </w:hyperlink>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
        </w:trPr>
        <w:tc>
          <w:tcPr>
            <w:tcW w:w="1320" w:type="dxa"/>
            <w:vAlign w:val="bottom"/>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160" w:type="dxa"/>
            <w:vAlign w:val="bottom"/>
            <w:gridSpan w:val="17"/>
          </w:tcPr>
          <w:p>
            <w:pPr>
              <w:spacing w:after="0" w:line="182" w:lineRule="exact"/>
              <w:rPr>
                <w:sz w:val="20"/>
                <w:szCs w:val="20"/>
                <w:color w:val="auto"/>
              </w:rPr>
            </w:pPr>
            <w:r>
              <w:rPr>
                <w:rFonts w:ascii="Arial" w:cs="Arial" w:eastAsia="Arial" w:hAnsi="Arial"/>
                <w:sz w:val="18"/>
                <w:szCs w:val="18"/>
                <w:color w:val="0000FF"/>
              </w:rPr>
              <w:t>First Amendment to Custodial Transfer and Purchase</w:t>
            </w:r>
          </w:p>
        </w:tc>
        <w:tc>
          <w:tcPr>
            <w:tcW w:w="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gridSpan w:val="17"/>
          </w:tcPr>
          <w:p>
            <w:pPr>
              <w:spacing w:after="0" w:line="156" w:lineRule="exact"/>
              <w:rPr>
                <w:sz w:val="20"/>
                <w:szCs w:val="20"/>
                <w:color w:val="auto"/>
              </w:rPr>
            </w:pPr>
            <w:r>
              <w:rPr>
                <w:rFonts w:ascii="Arial" w:cs="Arial" w:eastAsia="Arial" w:hAnsi="Arial"/>
                <w:sz w:val="18"/>
                <w:szCs w:val="18"/>
                <w:color w:val="0000FF"/>
              </w:rPr>
              <w:t>Agreement, between Conduent Business Services, LLC and</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8"/>
                <w:szCs w:val="18"/>
                <w:color w:val="0000FF"/>
                <w:w w:val="99"/>
              </w:rPr>
              <w:t>HealthEquity, Inc., dated as of March 7, 2024.</w:t>
            </w:r>
          </w:p>
        </w:tc>
        <w:tc>
          <w:tcPr>
            <w:tcW w:w="116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5160" w:type="dxa"/>
            <w:vAlign w:val="bottom"/>
            <w:gridSpan w:val="17"/>
          </w:tcPr>
          <w:p>
            <w:pPr>
              <w:spacing w:after="0"/>
              <w:rPr>
                <w:rFonts w:ascii="Arial" w:cs="Arial" w:eastAsia="Arial" w:hAnsi="Arial"/>
                <w:sz w:val="18"/>
                <w:szCs w:val="18"/>
                <w:color w:val="0000FF"/>
              </w:rPr>
            </w:pPr>
            <w:hyperlink r:id="rId48">
              <w:r>
                <w:rPr>
                  <w:rFonts w:ascii="Arial" w:cs="Arial" w:eastAsia="Arial" w:hAnsi="Arial"/>
                  <w:sz w:val="18"/>
                  <w:szCs w:val="18"/>
                  <w:color w:val="0000FF"/>
                </w:rPr>
                <w:t>Restated Certificate of Incorporation of Registrant filed with the</w:t>
              </w:r>
            </w:hyperlink>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Department of the State of New York on December 31, 2016.</w:t>
              </w:r>
            </w:hyperlink>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5160" w:type="dxa"/>
            <w:vAlign w:val="bottom"/>
            <w:gridSpan w:val="17"/>
          </w:tcPr>
          <w:p>
            <w:pPr>
              <w:spacing w:after="0"/>
              <w:rPr>
                <w:rFonts w:ascii="Arial" w:cs="Arial" w:eastAsia="Arial" w:hAnsi="Arial"/>
                <w:sz w:val="18"/>
                <w:szCs w:val="18"/>
                <w:color w:val="0000FF"/>
              </w:rPr>
            </w:pPr>
            <w:hyperlink r:id="rId49">
              <w:r>
                <w:rPr>
                  <w:rFonts w:ascii="Arial" w:cs="Arial" w:eastAsia="Arial" w:hAnsi="Arial"/>
                  <w:sz w:val="18"/>
                  <w:szCs w:val="18"/>
                  <w:color w:val="0000FF"/>
                </w:rPr>
                <w:t>Amended and Restated By-Laws of Registrant as amended</w:t>
              </w:r>
            </w:hyperlink>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49">
              <w:r>
                <w:rPr>
                  <w:rFonts w:ascii="Arial" w:cs="Arial" w:eastAsia="Arial" w:hAnsi="Arial"/>
                  <w:sz w:val="18"/>
                  <w:szCs w:val="18"/>
                  <w:color w:val="0000FF"/>
                </w:rPr>
                <w:t>through October 31, 2023.</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5160" w:type="dxa"/>
            <w:vAlign w:val="bottom"/>
            <w:gridSpan w:val="17"/>
          </w:tcPr>
          <w:p>
            <w:pPr>
              <w:spacing w:after="0"/>
              <w:rPr>
                <w:rFonts w:ascii="Arial" w:cs="Arial" w:eastAsia="Arial" w:hAnsi="Arial"/>
                <w:sz w:val="18"/>
                <w:szCs w:val="18"/>
                <w:color w:val="0000FF"/>
              </w:rPr>
            </w:pPr>
            <w:hyperlink r:id="rId50">
              <w:r>
                <w:rPr>
                  <w:rFonts w:ascii="Arial" w:cs="Arial" w:eastAsia="Arial" w:hAnsi="Arial"/>
                  <w:sz w:val="18"/>
                  <w:szCs w:val="18"/>
                  <w:color w:val="0000FF"/>
                </w:rPr>
                <w:t>Purchase Agreement dated June 8, 2024 among the Company</w:t>
              </w:r>
            </w:hyperlink>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and the Icahn Parties.</w:t>
              </w:r>
            </w:hyperlink>
          </w:p>
        </w:tc>
        <w:tc>
          <w:tcPr>
            <w:tcW w:w="3260" w:type="dxa"/>
            <w:vAlign w:val="bottom"/>
            <w:tcBorders>
              <w:top w:val="single" w:sz="8" w:color="0000FF"/>
            </w:tcBorders>
            <w:gridSpan w:val="13"/>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31(a)</w:t>
            </w:r>
          </w:p>
        </w:tc>
        <w:tc>
          <w:tcPr>
            <w:tcW w:w="20" w:type="dxa"/>
            <w:vAlign w:val="bottom"/>
          </w:tcPr>
          <w:p>
            <w:pPr>
              <w:spacing w:after="0"/>
              <w:rPr>
                <w:sz w:val="19"/>
                <w:szCs w:val="19"/>
                <w:color w:val="auto"/>
              </w:rPr>
            </w:pPr>
          </w:p>
        </w:tc>
        <w:tc>
          <w:tcPr>
            <w:tcW w:w="5160" w:type="dxa"/>
            <w:vAlign w:val="bottom"/>
            <w:gridSpan w:val="17"/>
          </w:tcPr>
          <w:p>
            <w:pPr>
              <w:spacing w:after="0"/>
              <w:rPr>
                <w:sz w:val="20"/>
                <w:szCs w:val="20"/>
                <w:color w:val="auto"/>
              </w:rPr>
            </w:pPr>
            <w:r>
              <w:rPr>
                <w:rFonts w:ascii="Arial" w:cs="Arial" w:eastAsia="Arial" w:hAnsi="Arial"/>
                <w:sz w:val="18"/>
                <w:szCs w:val="18"/>
                <w:color w:val="0000FF"/>
              </w:rPr>
              <w:t>Certification of CEO pursuant to Rule 13a-14(a) or Rule 15d-</w:t>
            </w: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14(a).</w:t>
            </w:r>
          </w:p>
        </w:tc>
        <w:tc>
          <w:tcPr>
            <w:tcW w:w="4380" w:type="dxa"/>
            <w:vAlign w:val="bottom"/>
            <w:tcBorders>
              <w:top w:val="single" w:sz="8" w:color="0000FF"/>
            </w:tcBorders>
            <w:gridSpan w:val="11"/>
          </w:tcPr>
          <w:p>
            <w:pPr>
              <w:spacing w:after="0"/>
              <w:rPr>
                <w:sz w:val="13"/>
                <w:szCs w:val="13"/>
                <w:color w:val="auto"/>
              </w:rPr>
            </w:pPr>
          </w:p>
        </w:tc>
        <w:tc>
          <w:tcPr>
            <w:tcW w:w="30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31(b)</w:t>
            </w:r>
          </w:p>
        </w:tc>
        <w:tc>
          <w:tcPr>
            <w:tcW w:w="20" w:type="dxa"/>
            <w:vAlign w:val="bottom"/>
          </w:tcPr>
          <w:p>
            <w:pPr>
              <w:spacing w:after="0"/>
              <w:rPr>
                <w:sz w:val="19"/>
                <w:szCs w:val="19"/>
                <w:color w:val="auto"/>
              </w:rPr>
            </w:pPr>
          </w:p>
        </w:tc>
        <w:tc>
          <w:tcPr>
            <w:tcW w:w="5160" w:type="dxa"/>
            <w:vAlign w:val="bottom"/>
            <w:gridSpan w:val="17"/>
          </w:tcPr>
          <w:p>
            <w:pPr>
              <w:spacing w:after="0"/>
              <w:rPr>
                <w:sz w:val="20"/>
                <w:szCs w:val="20"/>
                <w:color w:val="auto"/>
              </w:rPr>
            </w:pPr>
            <w:r>
              <w:rPr>
                <w:rFonts w:ascii="Arial" w:cs="Arial" w:eastAsia="Arial" w:hAnsi="Arial"/>
                <w:sz w:val="18"/>
                <w:szCs w:val="18"/>
                <w:color w:val="0000FF"/>
              </w:rPr>
              <w:t>Certification of CFO pursuant to Rule 13a-14(a) or Rule 15d-</w:t>
            </w: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14(a).</w:t>
            </w:r>
          </w:p>
        </w:tc>
        <w:tc>
          <w:tcPr>
            <w:tcW w:w="4360" w:type="dxa"/>
            <w:vAlign w:val="bottom"/>
            <w:tcBorders>
              <w:top w:val="single" w:sz="8" w:color="0000FF"/>
            </w:tcBorders>
            <w:gridSpan w:val="10"/>
          </w:tcPr>
          <w:p>
            <w:pPr>
              <w:spacing w:after="0"/>
              <w:rPr>
                <w:sz w:val="13"/>
                <w:szCs w:val="13"/>
                <w:color w:val="auto"/>
              </w:rPr>
            </w:pPr>
          </w:p>
        </w:tc>
        <w:tc>
          <w:tcPr>
            <w:tcW w:w="320" w:type="dxa"/>
            <w:vAlign w:val="bottom"/>
            <w:gridSpan w:val="6"/>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5160" w:type="dxa"/>
            <w:vAlign w:val="bottom"/>
            <w:gridSpan w:val="17"/>
          </w:tcPr>
          <w:p>
            <w:pPr>
              <w:spacing w:after="0"/>
              <w:rPr>
                <w:sz w:val="20"/>
                <w:szCs w:val="20"/>
                <w:color w:val="auto"/>
              </w:rPr>
            </w:pPr>
            <w:r>
              <w:rPr>
                <w:rFonts w:ascii="Arial" w:cs="Arial" w:eastAsia="Arial" w:hAnsi="Arial"/>
                <w:sz w:val="18"/>
                <w:szCs w:val="18"/>
                <w:color w:val="0000FF"/>
              </w:rPr>
              <w:t>Certification of CEO and CFO pursuant to 18 U.S.C. Section</w:t>
            </w: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tcBorders>
              <w:top w:val="single" w:sz="8" w:color="0000FF"/>
            </w:tcBorders>
            <w:gridSpan w:val="10"/>
          </w:tcPr>
          <w:p>
            <w:pPr>
              <w:spacing w:after="0" w:line="168" w:lineRule="exact"/>
              <w:rPr>
                <w:sz w:val="20"/>
                <w:szCs w:val="20"/>
                <w:color w:val="auto"/>
              </w:rPr>
            </w:pPr>
            <w:r>
              <w:rPr>
                <w:rFonts w:ascii="Arial" w:cs="Arial" w:eastAsia="Arial" w:hAnsi="Arial"/>
                <w:sz w:val="18"/>
                <w:szCs w:val="18"/>
                <w:u w:val="single" w:color="auto"/>
                <w:color w:val="0000FF"/>
              </w:rPr>
              <w:t>1350, as adopted pursuant to Section 906 of the Sarbanes-</w:t>
            </w:r>
          </w:p>
        </w:tc>
        <w:tc>
          <w:tcPr>
            <w:tcW w:w="340" w:type="dxa"/>
            <w:vAlign w:val="bottom"/>
            <w:gridSpan w:val="7"/>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360"/>
        <w:spacing w:after="0"/>
        <w:rPr>
          <w:sz w:val="20"/>
          <w:szCs w:val="20"/>
          <w:color w:val="auto"/>
        </w:rPr>
      </w:pPr>
      <w:r>
        <w:rPr>
          <w:rFonts w:ascii="Arial" w:cs="Arial" w:eastAsia="Arial" w:hAnsi="Arial"/>
          <w:sz w:val="18"/>
          <w:szCs w:val="18"/>
          <w:u w:val="single" w:color="auto"/>
          <w:color w:val="0000FF"/>
        </w:rPr>
        <w:t>Oxley Act of 2002.</w:t>
      </w:r>
    </w:p>
    <w:p>
      <w:pPr>
        <w:spacing w:after="0" w:line="14" w:lineRule="exact"/>
        <w:rPr>
          <w:sz w:val="20"/>
          <w:szCs w:val="20"/>
          <w:color w:val="auto"/>
        </w:rPr>
      </w:pPr>
    </w:p>
    <w:p>
      <w:pPr>
        <w:ind w:left="1360" w:right="1220" w:hanging="1334"/>
        <w:spacing w:after="0" w:line="216" w:lineRule="auto"/>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materials from the Registrant's Quarterly Report on Form 10-Q for the quarter ended June 30, 2024 formatted in Inline XBRL: (i) Consolidated Statements of Income, (ii) Consolidated Statements of Comprehensive Income, (iii) Consolidated Balance Sheets, (iv) Consolidated Statements of Cash Flows, (v) Consolidated Statements of Shareholders' Equity and (vi) Notes to Consolidated Financial Statements.</w:t>
      </w:r>
    </w:p>
    <w:p>
      <w:pPr>
        <w:spacing w:after="0" w:line="5" w:lineRule="exact"/>
        <w:rPr>
          <w:sz w:val="20"/>
          <w:szCs w:val="20"/>
          <w:color w:val="auto"/>
        </w:rPr>
      </w:pPr>
    </w:p>
    <w:p>
      <w:pPr>
        <w:ind w:left="1360" w:right="1200" w:hanging="1334"/>
        <w:spacing w:after="0" w:line="234" w:lineRule="auto"/>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2371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80" w:type="dxa"/>
            <w:vAlign w:val="bottom"/>
            <w:gridSpan w:val="2"/>
          </w:tcPr>
          <w:p>
            <w:pPr>
              <w:ind w:left="180"/>
              <w:spacing w:after="0"/>
              <w:rPr>
                <w:sz w:val="20"/>
                <w:szCs w:val="20"/>
                <w:color w:val="auto"/>
              </w:rPr>
            </w:pPr>
            <w:r>
              <w:rPr>
                <w:rFonts w:ascii="Arial" w:cs="Arial" w:eastAsia="Arial" w:hAnsi="Arial"/>
                <w:sz w:val="18"/>
                <w:szCs w:val="18"/>
                <w:color w:val="auto"/>
              </w:rPr>
              <w:t>Form</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Exhibit No.</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Filing Date</w:t>
            </w:r>
          </w:p>
        </w:tc>
      </w:tr>
      <w:tr>
        <w:trPr>
          <w:trHeight w:val="232"/>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8-K</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9/19/2023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100" w:type="dxa"/>
            <w:vAlign w:val="bottom"/>
          </w:tcPr>
          <w:p>
            <w:pPr>
              <w:ind w:left="240"/>
              <w:spacing w:after="0"/>
              <w:rPr>
                <w:sz w:val="20"/>
                <w:szCs w:val="20"/>
                <w:color w:val="auto"/>
              </w:rPr>
            </w:pPr>
            <w:r>
              <w:rPr>
                <w:rFonts w:ascii="Arial" w:cs="Arial" w:eastAsia="Arial" w:hAnsi="Arial"/>
                <w:sz w:val="18"/>
                <w:szCs w:val="18"/>
                <w:color w:val="auto"/>
              </w:rPr>
              <w:t>3.1</w:t>
            </w:r>
          </w:p>
        </w:tc>
        <w:tc>
          <w:tcPr>
            <w:tcW w:w="1440" w:type="dxa"/>
            <w:vAlign w:val="bottom"/>
          </w:tcPr>
          <w:p>
            <w:pPr>
              <w:ind w:left="540"/>
              <w:spacing w:after="0"/>
              <w:rPr>
                <w:sz w:val="20"/>
                <w:szCs w:val="20"/>
                <w:color w:val="auto"/>
              </w:rPr>
            </w:pPr>
            <w:r>
              <w:rPr>
                <w:rFonts w:ascii="Arial" w:cs="Arial" w:eastAsia="Arial" w:hAnsi="Arial"/>
                <w:sz w:val="18"/>
                <w:szCs w:val="18"/>
                <w:color w:val="auto"/>
                <w:w w:val="97"/>
              </w:rPr>
              <w:t>12/23/2016</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10-Q</w:t>
            </w:r>
          </w:p>
        </w:tc>
        <w:tc>
          <w:tcPr>
            <w:tcW w:w="1100" w:type="dxa"/>
            <w:vAlign w:val="bottom"/>
          </w:tcPr>
          <w:p>
            <w:pPr>
              <w:ind w:left="240"/>
              <w:spacing w:after="0"/>
              <w:rPr>
                <w:sz w:val="20"/>
                <w:szCs w:val="20"/>
                <w:color w:val="auto"/>
              </w:rPr>
            </w:pPr>
            <w:r>
              <w:rPr>
                <w:rFonts w:ascii="Arial" w:cs="Arial" w:eastAsia="Arial" w:hAnsi="Arial"/>
                <w:sz w:val="18"/>
                <w:szCs w:val="18"/>
                <w:color w:val="auto"/>
              </w:rPr>
              <w:t>3.2</w:t>
            </w:r>
          </w:p>
        </w:tc>
        <w:tc>
          <w:tcPr>
            <w:tcW w:w="1440" w:type="dxa"/>
            <w:vAlign w:val="bottom"/>
          </w:tcPr>
          <w:p>
            <w:pPr>
              <w:ind w:left="540"/>
              <w:spacing w:after="0"/>
              <w:rPr>
                <w:sz w:val="20"/>
                <w:szCs w:val="20"/>
                <w:color w:val="auto"/>
              </w:rPr>
            </w:pPr>
            <w:r>
              <w:rPr>
                <w:rFonts w:ascii="Arial" w:cs="Arial" w:eastAsia="Arial" w:hAnsi="Arial"/>
                <w:sz w:val="18"/>
                <w:szCs w:val="18"/>
                <w:color w:val="auto"/>
              </w:rPr>
              <w:t>11/1/2023</w:t>
            </w:r>
          </w:p>
        </w:tc>
      </w:tr>
      <w:tr>
        <w:trPr>
          <w:trHeight w:val="419"/>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100" w:type="dxa"/>
            <w:vAlign w:val="bottom"/>
          </w:tcPr>
          <w:p>
            <w:pPr>
              <w:ind w:left="240"/>
              <w:spacing w:after="0"/>
              <w:rPr>
                <w:sz w:val="20"/>
                <w:szCs w:val="20"/>
                <w:color w:val="auto"/>
              </w:rPr>
            </w:pPr>
            <w:r>
              <w:rPr>
                <w:rFonts w:ascii="Arial" w:cs="Arial" w:eastAsia="Arial" w:hAnsi="Arial"/>
                <w:sz w:val="18"/>
                <w:szCs w:val="18"/>
                <w:color w:val="auto"/>
              </w:rPr>
              <w:t>10.1</w:t>
            </w:r>
          </w:p>
        </w:tc>
        <w:tc>
          <w:tcPr>
            <w:tcW w:w="1440" w:type="dxa"/>
            <w:vAlign w:val="bottom"/>
          </w:tcPr>
          <w:p>
            <w:pPr>
              <w:ind w:left="540"/>
              <w:spacing w:after="0"/>
              <w:rPr>
                <w:sz w:val="20"/>
                <w:szCs w:val="20"/>
                <w:color w:val="auto"/>
              </w:rPr>
            </w:pPr>
            <w:r>
              <w:rPr>
                <w:rFonts w:ascii="Arial" w:cs="Arial" w:eastAsia="Arial" w:hAnsi="Arial"/>
                <w:sz w:val="18"/>
                <w:szCs w:val="18"/>
                <w:color w:val="auto"/>
              </w:rPr>
              <w:t>6/10/2024</w:t>
            </w:r>
          </w:p>
        </w:tc>
      </w:tr>
    </w:tbl>
    <w:p>
      <w:pPr>
        <w:spacing w:after="0" w:line="3424" w:lineRule="exact"/>
        <w:rPr>
          <w:sz w:val="20"/>
          <w:szCs w:val="20"/>
          <w:color w:val="auto"/>
        </w:rPr>
      </w:pPr>
    </w:p>
    <w:p>
      <w:pPr>
        <w:sectPr>
          <w:pgSz w:w="11900" w:h="16838" w:orient="portrait"/>
          <w:cols w:equalWidth="0" w:num="2">
            <w:col w:w="7620" w:space="100"/>
            <w:col w:w="3520"/>
          </w:cols>
          <w:pgMar w:left="320" w:top="156" w:right="339" w:bottom="1440" w:gutter="0" w:footer="0" w:header="0"/>
        </w:sect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07" w:lineRule="exact"/>
        <w:rPr>
          <w:sz w:val="20"/>
          <w:szCs w:val="20"/>
          <w:color w:val="auto"/>
        </w:rPr>
      </w:pPr>
    </w:p>
    <w:p>
      <w:pPr>
        <w:ind w:left="660" w:right="140" w:hanging="652"/>
        <w:spacing w:after="0" w:line="257" w:lineRule="auto"/>
        <w:tabs>
          <w:tab w:leader="none" w:pos="2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Document has been furnished, is deemed not filed and is not to be incorporated by reference into any of Registrant’s filings under the Securities Act of 1933, as amended, or the Securities Exchange Act of 1934, as amended, irrespective of any general incorporation language contained in any such filing.</w:t>
      </w:r>
    </w:p>
    <w:p>
      <w:pPr>
        <w:spacing w:after="0" w:line="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type w:val="continuous"/>
        </w:sectPr>
      </w:pPr>
    </w:p>
    <w:bookmarkStart w:id="37" w:name="page38"/>
    <w:bookmarkEnd w:id="3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SIGNATURES</w:t>
      </w:r>
    </w:p>
    <w:p>
      <w:pPr>
        <w:spacing w:after="0" w:line="243"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80"/>
        <w:spacing w:after="0" w:line="226" w:lineRule="auto"/>
        <w:rPr>
          <w:sz w:val="20"/>
          <w:szCs w:val="20"/>
          <w:color w:val="auto"/>
        </w:rPr>
      </w:pPr>
      <w:r>
        <w:rPr>
          <w:rFonts w:ascii="Arial" w:cs="Arial" w:eastAsia="Arial" w:hAnsi="Arial"/>
          <w:sz w:val="18"/>
          <w:szCs w:val="18"/>
          <w:b w:val="1"/>
          <w:bCs w:val="1"/>
          <w:color w:val="auto"/>
        </w:rPr>
        <w:t>CONDUENT INCORPORATED</w:t>
      </w:r>
    </w:p>
    <w:p>
      <w:pPr>
        <w:ind w:left="80"/>
        <w:spacing w:after="0"/>
        <w:rPr>
          <w:sz w:val="20"/>
          <w:szCs w:val="20"/>
          <w:color w:val="auto"/>
        </w:rPr>
      </w:pPr>
      <w:r>
        <w:rPr>
          <w:rFonts w:ascii="Arial" w:cs="Arial" w:eastAsia="Arial" w:hAnsi="Arial"/>
          <w:sz w:val="18"/>
          <w:szCs w:val="18"/>
          <w:color w:val="auto"/>
        </w:rPr>
        <w:t>(Registrant)</w:t>
      </w:r>
    </w:p>
    <w:p>
      <w:pPr>
        <w:spacing w:after="0" w:line="86"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By:</w:t>
        <w:tab/>
        <w:t>/S/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17780</wp:posOffset>
            </wp:positionV>
            <wp:extent cx="28886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Stephen Wood</w:t>
      </w:r>
    </w:p>
    <w:p>
      <w:pPr>
        <w:ind w:left="580"/>
        <w:spacing w:after="0" w:line="203" w:lineRule="auto"/>
        <w:rPr>
          <w:sz w:val="20"/>
          <w:szCs w:val="20"/>
          <w:color w:val="auto"/>
        </w:rPr>
      </w:pPr>
      <w:r>
        <w:rPr>
          <w:rFonts w:ascii="Arial" w:cs="Arial" w:eastAsia="Arial" w:hAnsi="Arial"/>
          <w:sz w:val="14"/>
          <w:szCs w:val="14"/>
          <w:b w:val="1"/>
          <w:bCs w:val="1"/>
          <w:color w:val="auto"/>
        </w:rPr>
        <w:t>Chief Financial Officer</w:t>
      </w:r>
    </w:p>
    <w:p>
      <w:pPr>
        <w:ind w:left="580"/>
        <w:spacing w:after="0"/>
        <w:rPr>
          <w:sz w:val="20"/>
          <w:szCs w:val="20"/>
          <w:color w:val="auto"/>
        </w:rPr>
      </w:pPr>
      <w:r>
        <w:rPr>
          <w:rFonts w:ascii="Arial" w:cs="Arial" w:eastAsia="Arial" w:hAnsi="Arial"/>
          <w:sz w:val="14"/>
          <w:szCs w:val="14"/>
          <w:b w:val="1"/>
          <w:bCs w:val="1"/>
          <w:color w:val="auto"/>
        </w:rPr>
        <w:t>(Principal Financial Officer)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Q2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56" w:right="3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CUSTODIAL TRANSFER AND ASSET PURCHASE AGREEMENT</w:t>
      </w:r>
    </w:p>
    <w:p>
      <w:pPr>
        <w:spacing w:after="0" w:line="2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FIRST AMENDMENT TO CUSTODIAL TRANSFER AND ASSET PURCHASE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made as of March 7,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HealthEquity, Inc., a Delaware corporation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and Conduent Business Services, LLC, a Delaware limited liability company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reference is made to that certain Custodial Transfer and Asset Purchase Agreement, dated as of September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18, 2023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between Buyer and Seller; and</w:t>
      </w:r>
    </w:p>
    <w:p>
      <w:pPr>
        <w:spacing w:after="0" w:line="16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accordance with the terms of the Agreement, including Section 12.1 thereof, Buyer and Seller each desire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amend the Agreement.</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good and valuable consideration, the receipt and sufficiency of which are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acknowledged, the parties hereto hereby agree as follows:</w:t>
      </w:r>
    </w:p>
    <w:p>
      <w:pPr>
        <w:spacing w:after="0" w:line="153" w:lineRule="exact"/>
        <w:rPr>
          <w:sz w:val="20"/>
          <w:szCs w:val="20"/>
          <w:color w:val="auto"/>
        </w:rPr>
      </w:pPr>
    </w:p>
    <w:p>
      <w:pPr>
        <w:ind w:left="660" w:hanging="652"/>
        <w:spacing w:after="0" w:line="271"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capitalized terms used in this Amendment and not otherwise defined herein shall have the meanings ascribed to such terms in the Agreement.</w:t>
      </w:r>
    </w:p>
    <w:p>
      <w:pPr>
        <w:spacing w:after="0" w:line="171" w:lineRule="exact"/>
        <w:rPr>
          <w:rFonts w:ascii="Times New Roman" w:cs="Times New Roman" w:eastAsia="Times New Roman" w:hAnsi="Times New Roman"/>
          <w:sz w:val="22"/>
          <w:szCs w:val="22"/>
          <w:color w:val="auto"/>
        </w:rPr>
      </w:pPr>
    </w:p>
    <w:p>
      <w:pPr>
        <w:ind w:left="660" w:hanging="652"/>
        <w:spacing w:after="0" w:line="271"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“Partner Agreement” in Section 1.1 of the Agreement is hereby deleted in its entirety and replaced with the following:</w:t>
      </w:r>
    </w:p>
    <w:p>
      <w:pPr>
        <w:spacing w:after="0" w:line="157" w:lineRule="exact"/>
        <w:rPr>
          <w:rFonts w:ascii="Times New Roman" w:cs="Times New Roman" w:eastAsia="Times New Roman" w:hAnsi="Times New Roman"/>
          <w:sz w:val="22"/>
          <w:szCs w:val="22"/>
          <w:color w:val="auto"/>
        </w:rPr>
      </w:pPr>
    </w:p>
    <w:p>
      <w:pPr>
        <w:ind w:left="66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 Agreement” shall mean a Referral Agreement to be entered into by and between Buyer and Seller prior to the Initial Conversion Date, in the form attached hereto as Exhibit B.”</w:t>
      </w:r>
    </w:p>
    <w:p>
      <w:pPr>
        <w:spacing w:after="0" w:line="15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B of the Agreement is hereby deleted in its entirety and replaced with Exhibit B attached to this Amendment.</w:t>
      </w:r>
    </w:p>
    <w:p>
      <w:pPr>
        <w:spacing w:after="0" w:line="23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last sentence of Section 6.2(a) of the Agreement is hereby deleted in its entirety and replaced with the following:</w:t>
      </w:r>
    </w:p>
    <w:p>
      <w:pPr>
        <w:spacing w:after="0" w:line="219" w:lineRule="exact"/>
        <w:rPr>
          <w:rFonts w:ascii="Times New Roman" w:cs="Times New Roman" w:eastAsia="Times New Roman" w:hAnsi="Times New Roman"/>
          <w:sz w:val="22"/>
          <w:szCs w:val="22"/>
          <w:color w:val="auto"/>
        </w:rPr>
      </w:pPr>
    </w:p>
    <w:p>
      <w:pPr>
        <w:jc w:val="both"/>
        <w:ind w:left="66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Buyer and the applicable Enterprise Partner execute a replacement Contract on commercially reasonable terms acceptable to Buyer for the plan year following the final plan year administered by Seller, Buyer shall compensate Seller as set forth in the Partner Agreement.”</w:t>
      </w:r>
    </w:p>
    <w:p>
      <w:pPr>
        <w:spacing w:after="0" w:line="172" w:lineRule="exact"/>
        <w:rPr>
          <w:rFonts w:ascii="Times New Roman" w:cs="Times New Roman" w:eastAsia="Times New Roman" w:hAnsi="Times New Roman"/>
          <w:sz w:val="22"/>
          <w:szCs w:val="22"/>
          <w:color w:val="auto"/>
        </w:rPr>
      </w:pPr>
    </w:p>
    <w:p>
      <w:pPr>
        <w:ind w:left="660" w:hanging="652"/>
        <w:spacing w:after="0" w:line="284"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conflict between the provisions of the Agreement and the provisions of this Amendment, the provisions of this Amendment shall control.</w:t>
      </w:r>
    </w:p>
    <w:p>
      <w:pPr>
        <w:spacing w:after="0" w:line="143" w:lineRule="exact"/>
        <w:rPr>
          <w:rFonts w:ascii="Times New Roman" w:cs="Times New Roman" w:eastAsia="Times New Roman" w:hAnsi="Times New Roman"/>
          <w:sz w:val="22"/>
          <w:szCs w:val="22"/>
          <w:color w:val="auto"/>
        </w:rPr>
      </w:pPr>
    </w:p>
    <w:p>
      <w:pPr>
        <w:ind w:left="660" w:hanging="652"/>
        <w:spacing w:after="0" w:line="271"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amended and otherwise modified by this Amendment, all other provisions of the Agreement shall remain in full force and effect in accordance with its terms.</w:t>
      </w:r>
    </w:p>
    <w:p>
      <w:pPr>
        <w:sectPr>
          <w:pgSz w:w="11900" w:h="16838" w:orient="portrait"/>
          <w:cols w:equalWidth="0" w:num="1">
            <w:col w:w="11240"/>
          </w:cols>
          <w:pgMar w:left="320" w:top="100" w:right="339" w:bottom="1440" w:gutter="0" w:footer="0" w:header="0"/>
        </w:sectPr>
      </w:pPr>
    </w:p>
    <w:bookmarkStart w:id="39" w:name="page40"/>
    <w:bookmarkEnd w:id="39"/>
    <w:p>
      <w:pPr>
        <w:jc w:val="both"/>
        <w:ind w:left="652" w:hanging="652"/>
        <w:spacing w:after="0" w:line="249" w:lineRule="auto"/>
        <w:tabs>
          <w:tab w:leader="none" w:pos="65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and any claim, demand, action or cause of action arising under this Amendment shall be governed by, and construed in accordance with, the laws of the State of Delaware applicable to contracts made and wholly performed within such state, without regard to any applicable conflicts of law principles. The parties irrevocably submit to the exclusive jurisdiction of the courts of the State of Delaware and to the jurisdiction of the United States District Court for the District of Delaware over any suit, action or proceeding arising out of or relating to this Amendment or any of the Transactions. To the fullest extent that they may effectively do so under Applicable Law, the parties irrevocably waive and agree not to assert, by way of motion, as a defense or otherwise, any claim that they are not subject to the jurisdiction of any such court, any objection that they may now or hereafter have to the laying of the venue of any such suit, action or proceeding brought in any such court and any claim that any such suit, action or proceeding brought in any such court has been brought in an inconvenient forum.</w:t>
      </w:r>
    </w:p>
    <w:p>
      <w:pPr>
        <w:spacing w:after="0" w:line="183" w:lineRule="exact"/>
        <w:rPr>
          <w:rFonts w:ascii="Times New Roman" w:cs="Times New Roman" w:eastAsia="Times New Roman" w:hAnsi="Times New Roman"/>
          <w:sz w:val="22"/>
          <w:szCs w:val="22"/>
          <w:color w:val="auto"/>
        </w:rPr>
      </w:pPr>
    </w:p>
    <w:p>
      <w:pPr>
        <w:jc w:val="both"/>
        <w:ind w:left="652" w:hanging="652"/>
        <w:spacing w:after="0" w:line="253" w:lineRule="auto"/>
        <w:tabs>
          <w:tab w:leader="none" w:pos="65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counterparts, each of which shall be deemed a duplicate original so long as each party has executed one counterpart; all of which counterparts collectively shall constitute one instrument representing this Amendment. A copy of this Amendment or signature page hereto signed and transmitted by facsimile machine, as an attachment to an email or by other electronic means, including via www.DocuSign.com, shall be treated as an original document.</w:t>
      </w:r>
    </w:p>
    <w:p>
      <w:pPr>
        <w:spacing w:after="0" w:line="17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32"/>
          </w:cols>
          <w:pgMar w:left="328" w:top="1422" w:right="339" w:bottom="1440" w:gutter="0" w:footer="0" w:header="0"/>
        </w:sectPr>
      </w:pPr>
    </w:p>
    <w:bookmarkStart w:id="40" w:name="page41"/>
    <w:bookmarkEnd w:id="40"/>
    <w:p>
      <w:pPr>
        <w:ind w:left="5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Amendment on and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BUYER: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HealthEquity, Inc.</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James Lucania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-13970</wp:posOffset>
            </wp:positionV>
            <wp:extent cx="13862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138620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James Lucania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EVP &amp; CFO</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SELLER: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Conduent Business Services, LLC</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Clifford A.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-13970</wp:posOffset>
            </wp:positionV>
            <wp:extent cx="16357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163576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Clifford A. Skelton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 First Amendment to Custodial Transfer and Asset Purchase Agreement</w:t>
      </w:r>
      <w:r>
        <w:rPr>
          <w:rFonts w:ascii="Times New Roman" w:cs="Times New Roman" w:eastAsia="Times New Roman" w:hAnsi="Times New Roman"/>
          <w:sz w:val="22"/>
          <w:szCs w:val="22"/>
          <w:color w:val="auto"/>
        </w:rPr>
        <w:t>]</w:t>
      </w:r>
    </w:p>
    <w:p>
      <w:pPr>
        <w:sectPr>
          <w:pgSz w:w="11900" w:h="16838" w:orient="portrait"/>
          <w:cols w:equalWidth="0" w:num="1">
            <w:col w:w="10940"/>
          </w:cols>
          <w:pgMar w:left="400" w:top="1418" w:right="5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1269BC"/>
        </w:rPr>
        <w:t>EXHIBIT 31(a)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CEO 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Clifford Skelton, certify that:</w:t>
      </w:r>
    </w:p>
    <w:p>
      <w:pPr>
        <w:spacing w:after="0" w:line="117"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August 7, 2024</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18859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Clifford Skelton</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2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1269BC"/>
        </w:rPr>
        <w:t>EXHIBIT 31(b)</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CFO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Stephen Wood, certify that:</w:t>
      </w:r>
    </w:p>
    <w:p>
      <w:pPr>
        <w:spacing w:after="0" w:line="198"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August 7,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632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Stephen Wood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2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1269BC"/>
        </w:rPr>
        <w:t>EXHIBIT 32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CERTIFICATION OF CEO AND CFO PURSUANT TO 18 U.S.C. § 1350,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AS ADOPTED PURSUANT TO § 906 OF THE SARBANES-OXLEY ACT OF 2002</w:t>
      </w:r>
    </w:p>
    <w:p>
      <w:pPr>
        <w:spacing w:after="0" w:line="15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connection with the Quarterly Report on Form 10-Q of Conduent Incorporated, a New York corporation (the “Company”), for the quarter ended June 30, 2024, as filed with the Securities and Exchange Commission on the date hereof (the “Report”), Clifford Skelton, Chief Executive Officer of the Company, and Stephen Wood, Chief Financial Officer of the Company, each hereby certifies, pursuant to 18 U.S.C. § 1350, as adopted pursuant to § 906 of the Sarbanes-Oxley Act of 2002, to the best of his/her knowledge, that:</w:t>
      </w:r>
    </w:p>
    <w:p>
      <w:pPr>
        <w:spacing w:after="0" w:line="149"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340" w:right="340" w:hanging="332"/>
        <w:spacing w:after="0" w:line="266" w:lineRule="auto"/>
        <w:tabs>
          <w:tab w:leader="none" w:pos="3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831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Clifford Skelton</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Executive Officer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August 7, 2024</w:t>
      </w:r>
    </w:p>
    <w:p>
      <w:pPr>
        <w:spacing w:after="0" w:line="200" w:lineRule="exact"/>
        <w:rPr>
          <w:sz w:val="20"/>
          <w:szCs w:val="20"/>
          <w:color w:val="auto"/>
        </w:rPr>
      </w:pPr>
    </w:p>
    <w:p>
      <w:pPr>
        <w:spacing w:after="0" w:line="3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831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Stephen Wood</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Financial Officer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August 7, 2024</w:t>
      </w:r>
    </w:p>
    <w:p>
      <w:pPr>
        <w:spacing w:after="0" w:line="34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 signed original of this written statement required by § 906 has been provided to Conduent Incorporated and will be retained by Conduent Incorporated and furnished to the Securities and Exchange Commission or its staff upon request.</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endash "/>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2"/>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2"/>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01"/>
    </w:lvl>
  </w:abstractNum>
  <w:abstractNum w:abstractNumId="19">
    <w:nsid w:val="6763845E"/>
    <w:multiLevelType w:val="hybridMultilevel"/>
    <w:lvl w:ilvl="0">
      <w:lvlJc w:val="left"/>
      <w:lvlText w:val="%1"/>
      <w:numFmt w:val="decimal"/>
      <w:start w:val="104"/>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7"/>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47" Type="http://schemas.openxmlformats.org/officeDocument/2006/relationships/hyperlink" Target="https://www.sec.gov/Archives/edgar/data/1677703/000167770323000054/ex21-assetpurchaseagreement.htm" TargetMode="External"/><Relationship Id="rId48" Type="http://schemas.openxmlformats.org/officeDocument/2006/relationships/hyperlink" Target="https://www.sec.gov/Archives/edgar/data/1677703/000119312516803247/d275811dex31.htm" TargetMode="External"/><Relationship Id="rId49" Type="http://schemas.openxmlformats.org/officeDocument/2006/relationships/hyperlink" Target="https://www.sec.gov/Archives/edgar/data/1677703/000167770323000065/cndt-ex32amendedbyxlaws.htm" TargetMode="External"/><Relationship Id="rId50" Type="http://schemas.openxmlformats.org/officeDocument/2006/relationships/hyperlink" Target="https://www.sec.gov/Archives/edgar/data/1677703/000167770324000094/ex101projectpicturepurcha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2024-08-07T07:11:33Z</dcterms:created>
  <dcterms:modified xsi:type="dcterms:W3CDTF">2024-08-07T07:11:33Z</dcterms:modified>
</cp:coreProperties>
</file>