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9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85"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120650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4" w:right="339" w:bottom="1440" w:gutter="0" w:footer="0" w:header="0"/>
        </w:sectPr>
      </w:pPr>
    </w:p>
    <w:p>
      <w:pPr>
        <w:spacing w:after="0" w:line="31"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81-2983623</w:t>
      </w:r>
    </w:p>
    <w:p>
      <w:pPr>
        <w:spacing w:after="0" w:line="32" w:lineRule="exact"/>
        <w:rPr>
          <w:sz w:val="24"/>
          <w:szCs w:val="24"/>
          <w:color w:val="auto"/>
        </w:rPr>
      </w:pPr>
    </w:p>
    <w:p>
      <w:pPr>
        <w:sectPr>
          <w:pgSz w:w="11900" w:h="16838" w:orient="portrait"/>
          <w:cols w:equalWidth="0" w:num="2">
            <w:col w:w="7940" w:space="720"/>
            <w:col w:w="2580"/>
          </w:cols>
          <w:pgMar w:left="320" w:top="264"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112" w:lineRule="exact"/>
        <w:rPr>
          <w:sz w:val="24"/>
          <w:szCs w:val="24"/>
          <w:color w:val="auto"/>
        </w:rPr>
      </w:pPr>
    </w:p>
    <w:p>
      <w:pPr>
        <w:sectPr>
          <w:pgSz w:w="11900" w:h="16838" w:orient="portrait"/>
          <w:cols w:equalWidth="0" w:num="2">
            <w:col w:w="7800" w:space="720"/>
            <w:col w:w="2720"/>
          </w:cols>
          <w:pgMar w:left="320" w:top="264" w:right="339" w:bottom="1440" w:gutter="0" w:footer="0" w:header="0"/>
          <w:type w:val="continuous"/>
        </w:sectPr>
      </w:pPr>
    </w:p>
    <w:p>
      <w:pPr>
        <w:ind w:left="920" w:hanging="323"/>
        <w:spacing w:after="0" w:line="292"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51" w:lineRule="exact"/>
        <w:rPr>
          <w:sz w:val="24"/>
          <w:szCs w:val="24"/>
          <w:color w:val="auto"/>
        </w:rPr>
      </w:pPr>
    </w:p>
    <w:p>
      <w:pPr>
        <w:sectPr>
          <w:pgSz w:w="11900" w:h="16838" w:orient="portrait"/>
          <w:cols w:equalWidth="0" w:num="3">
            <w:col w:w="2200" w:space="560"/>
            <w:col w:w="5400" w:space="720"/>
            <w:col w:w="2360"/>
          </w:cols>
          <w:pgMar w:left="320" w:top="264"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6" w:lineRule="exact"/>
        <w:rPr>
          <w:sz w:val="24"/>
          <w:szCs w:val="24"/>
          <w:color w:val="auto"/>
        </w:rPr>
      </w:pPr>
    </w:p>
    <w:p>
      <w:pPr>
        <w:sectPr>
          <w:pgSz w:w="11900" w:h="16838" w:orient="portrait"/>
          <w:cols w:equalWidth="0" w:num="2">
            <w:col w:w="8060" w:space="720"/>
            <w:col w:w="2460"/>
          </w:cols>
          <w:pgMar w:left="320" w:top="26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ectPr>
          <w:pgSz w:w="11900" w:h="16838" w:orient="portrait"/>
          <w:cols w:equalWidth="0" w:num="1">
            <w:col w:w="11240"/>
          </w:cols>
          <w:pgMar w:left="320" w:top="264" w:right="339" w:bottom="1440" w:gutter="0" w:footer="0" w:header="0"/>
          <w:type w:val="continuous"/>
        </w:sectPr>
      </w:pPr>
    </w:p>
    <w:p>
      <w:pPr>
        <w:spacing w:after="0" w:line="3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4" w:right="33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4040" w:space="720"/>
            <w:col w:w="1960" w:space="720"/>
            <w:col w:w="3800"/>
          </w:cols>
          <w:pgMar w:left="320" w:top="264"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00" w:lineRule="exact"/>
        <w:rPr>
          <w:sz w:val="24"/>
          <w:szCs w:val="24"/>
          <w:color w:val="auto"/>
        </w:rPr>
      </w:pPr>
    </w:p>
    <w:p>
      <w:pPr>
        <w:sectPr>
          <w:pgSz w:w="11900" w:h="16838" w:orient="portrait"/>
          <w:cols w:equalWidth="0" w:num="3">
            <w:col w:w="4380" w:space="720"/>
            <w:col w:w="1760" w:space="720"/>
            <w:col w:w="3660"/>
          </w:cols>
          <w:pgMar w:left="320" w:top="264" w:right="339" w:bottom="1440" w:gutter="0" w:footer="0" w:header="0"/>
          <w:type w:val="continuous"/>
        </w:sectPr>
      </w:pPr>
    </w:p>
    <w:p>
      <w:pPr>
        <w:ind w:right="300" w:firstLine="162"/>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right="320" w:firstLine="162"/>
        <w:spacing w:after="0" w:line="266"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3" w:lineRule="exact"/>
        <w:rPr>
          <w:sz w:val="24"/>
          <w:szCs w:val="24"/>
          <w:color w:val="auto"/>
        </w:rPr>
      </w:pPr>
    </w:p>
    <w:p>
      <w:pPr>
        <w:ind w:right="20"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0"/>
        <w:spacing w:after="0" w:line="181" w:lineRule="exact"/>
        <w:tabs>
          <w:tab w:leader="none" w:pos="1960" w:val="left"/>
          <w:tab w:leader="none" w:pos="2420" w:val="left"/>
          <w:tab w:leader="none" w:pos="3740" w:val="left"/>
          <w:tab w:leader="none" w:pos="4220" w:val="left"/>
          <w:tab w:leader="none" w:pos="5880" w:val="left"/>
          <w:tab w:leader="none" w:pos="6380" w:val="left"/>
          <w:tab w:leader="none" w:pos="8340" w:val="left"/>
          <w:tab w:leader="none" w:pos="8860" w:val="left"/>
          <w:tab w:leader="none" w:pos="109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9" w:lineRule="exact"/>
        <w:rPr>
          <w:sz w:val="24"/>
          <w:szCs w:val="24"/>
          <w:color w:val="auto"/>
        </w:rPr>
      </w:pPr>
    </w:p>
    <w:p>
      <w:pPr>
        <w:ind w:right="160" w:firstLine="162"/>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tabs>
          <w:tab w:leader="none" w:pos="9100" w:val="left"/>
        </w:tabs>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76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w w:val="98"/>
              </w:rPr>
              <w:t>Class</w:t>
            </w:r>
          </w:p>
        </w:tc>
        <w:tc>
          <w:tcPr>
            <w:tcW w:w="132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 at July 31, 2025</w:t>
            </w:r>
          </w:p>
        </w:tc>
      </w:tr>
      <w:tr>
        <w:trPr>
          <w:trHeight w:val="208"/>
        </w:trPr>
        <w:tc>
          <w:tcPr>
            <w:tcW w:w="176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320" w:type="dxa"/>
            <w:vAlign w:val="bottom"/>
          </w:tcPr>
          <w:p>
            <w:pPr>
              <w:spacing w:after="0"/>
              <w:rPr>
                <w:sz w:val="20"/>
                <w:szCs w:val="20"/>
                <w:color w:val="auto"/>
              </w:rPr>
            </w:pPr>
            <w:r>
              <w:rPr>
                <w:rFonts w:ascii="Arial" w:cs="Arial" w:eastAsia="Arial" w:hAnsi="Arial"/>
                <w:sz w:val="16"/>
                <w:szCs w:val="16"/>
                <w:color w:val="auto"/>
              </w:rPr>
              <w:t>$0.01 par value</w:t>
            </w:r>
          </w:p>
        </w:tc>
        <w:tc>
          <w:tcPr>
            <w:tcW w:w="4660" w:type="dxa"/>
            <w:vAlign w:val="bottom"/>
          </w:tcPr>
          <w:p>
            <w:pPr>
              <w:spacing w:after="0"/>
              <w:rPr>
                <w:sz w:val="18"/>
                <w:szCs w:val="18"/>
                <w:color w:val="auto"/>
              </w:rPr>
            </w:pPr>
          </w:p>
        </w:tc>
        <w:tc>
          <w:tcPr>
            <w:tcW w:w="3500" w:type="dxa"/>
            <w:vAlign w:val="bottom"/>
          </w:tcPr>
          <w:p>
            <w:pPr>
              <w:jc w:val="right"/>
              <w:ind w:right="1222"/>
              <w:spacing w:after="0"/>
              <w:rPr>
                <w:sz w:val="20"/>
                <w:szCs w:val="20"/>
                <w:color w:val="auto"/>
              </w:rPr>
            </w:pPr>
            <w:r>
              <w:rPr>
                <w:rFonts w:ascii="Arial" w:cs="Arial" w:eastAsia="Arial" w:hAnsi="Arial"/>
                <w:sz w:val="16"/>
                <w:szCs w:val="16"/>
                <w:color w:val="auto"/>
              </w:rPr>
              <w:t>157,974,022</w:t>
            </w:r>
          </w:p>
        </w:tc>
      </w:tr>
      <w:tr>
        <w:trPr>
          <w:trHeight w:val="398"/>
        </w:trPr>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Q2 2025 Form 10-Q</w:t>
            </w:r>
          </w:p>
        </w:tc>
      </w:tr>
      <w:tr>
        <w:trPr>
          <w:trHeight w:val="690"/>
        </w:trPr>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"Litigation Reform Act"). These forward-looking statements and other information are based on our beliefs as well as assumptions made by us using information currently available. The words “anticipate,” “believe,” “estimate,” “expect,” "plan," “intend,” “will,” "aim," “should,” "could," "forecast," "target," "may," "continue to," "endeavor," "if," "growing," "projected," "potential," "likely," "further," "going forward"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and could materially adversely affect our business, financial condition, results of operations, cash flows and liquidity.</w:t>
      </w:r>
    </w:p>
    <w:p>
      <w:pPr>
        <w:spacing w:after="0" w:line="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Important factors and uncertainties that could cause our actual results to differ materially from those in our forward-looking statements include, but are not limited to: the competitiveness of the markets in which we operate and our ability to renew commercial and government contracts, including contracts awarded through competitive bidding processes; our ability to recover capital and other investments in connection with our contracts; risk and impact of geopolitical events and increasing geopolitical tensions (such as the war in the Ukraine and conflict in the Middle East), macroeconomic conditions, natural disasters and other factors in a particular country or region on our workforce, customers and vendors; our reliance on third-party providers; our ability to deliver on our contractual obligations properly and on time; changes in interest in outsourced business process services;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risks related to our use of artificial intelligence ("AI");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 cybersecurity threats to our data systems, information systems and network infrastructure and other service interruptions, including relating to the previously disclosed cyber event that took place in January 2025 (the January 2025 Cyber Event"), including the Company’s investigation of such incident and mitigation and remediation efforts, the nature and extent of such incident, the potential disruption to our business or operations, the potential impact on the Company’s reputation, and the Company’s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risks related to recently completed divestitures including the (i) transfer of the Company’s BenefitWallet’s health savings account, medical savings account and flexible spending account portfolio, (ii) sale of the Company’s Curbside Management and Public Safety Solutions businesses and (iii) sale of the Company's Casualty Claims Solutions business, including but not limited to the Company’s ability to realize the benefits anticipated from such transactions, unexpected costs, liabilities or delays in connection with such transactions, and the significant transaction costs associated with such transactions; government appropriations and termination rights contained in our government contracts; risk and impact of potential goodwill and other asset impairments;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and other payments from our subsidiaries; and other factors that are set forth in the “Risk Factors” section, the “Legal Proceedings” section, the “Management's Discussion and Analysis of Financial Condition and Results of Operations” section and other sections of this Form 10-Q as well as in our 2024 Annual Report on Form 10-K and any subsequent Quarterly Report on Form 10-Q and Current Report on Form 8-K filed (or furnished) with the Securities and Exchange Commission (the "SEC"). Any forward-looking statements made by us in this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34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26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6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18"/>
                <w:szCs w:val="18"/>
                <w:b w:val="1"/>
                <w:bCs w:val="1"/>
                <w:color w:val="1269BC"/>
              </w:rPr>
              <w:t>June 30, 2025</w:t>
            </w:r>
          </w:p>
        </w:tc>
        <w:tc>
          <w:tcPr>
            <w:tcW w:w="8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260" w:type="dxa"/>
            <w:vAlign w:val="bottom"/>
          </w:tcPr>
          <w:p>
            <w:pPr>
              <w:spacing w:after="0"/>
              <w:rPr>
                <w:sz w:val="24"/>
                <w:szCs w:val="24"/>
                <w:color w:val="auto"/>
              </w:rPr>
            </w:pPr>
          </w:p>
        </w:tc>
        <w:tc>
          <w:tcPr>
            <w:tcW w:w="8620" w:type="dxa"/>
            <w:vAlign w:val="bottom"/>
          </w:tcPr>
          <w:p>
            <w:pPr>
              <w:ind w:left="340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61"/>
        </w:trPr>
        <w:tc>
          <w:tcPr>
            <w:tcW w:w="1260" w:type="dxa"/>
            <w:vAlign w:val="bottom"/>
            <w:tcBorders>
              <w:bottom w:val="single" w:sz="8" w:color="CCEEFF"/>
            </w:tcBorders>
          </w:tcPr>
          <w:p>
            <w:pPr>
              <w:spacing w:after="0"/>
              <w:rPr>
                <w:sz w:val="24"/>
                <w:szCs w:val="24"/>
                <w:color w:val="auto"/>
              </w:rPr>
            </w:pPr>
          </w:p>
        </w:tc>
        <w:tc>
          <w:tcPr>
            <w:tcW w:w="86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661DE8"/>
              </w:rPr>
              <w:t>Page</w:t>
            </w:r>
          </w:p>
        </w:tc>
      </w:tr>
      <w:tr>
        <w:trPr>
          <w:trHeight w:val="21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 — Financial Information</w:t>
            </w:r>
          </w:p>
        </w:tc>
        <w:tc>
          <w:tcPr>
            <w:tcW w:w="1340" w:type="dxa"/>
            <w:vAlign w:val="bottom"/>
            <w:shd w:val="clear" w:color="auto" w:fill="CCEEFF"/>
          </w:tcPr>
          <w:p>
            <w:pPr>
              <w:spacing w:after="0"/>
              <w:rPr>
                <w:sz w:val="18"/>
                <w:szCs w:val="18"/>
                <w:color w:val="auto"/>
              </w:rPr>
            </w:pPr>
          </w:p>
        </w:tc>
      </w:tr>
      <w:tr>
        <w:trPr>
          <w:trHeight w:val="229"/>
        </w:trPr>
        <w:tc>
          <w:tcPr>
            <w:tcW w:w="1260" w:type="dxa"/>
            <w:vAlign w:val="bottom"/>
          </w:tcPr>
          <w:p>
            <w:pPr>
              <w:ind w:left="20"/>
              <w:spacing w:after="0"/>
              <w:rPr>
                <w:sz w:val="20"/>
                <w:szCs w:val="20"/>
                <w:color w:val="auto"/>
              </w:rPr>
            </w:pPr>
            <w:r>
              <w:rPr>
                <w:rFonts w:ascii="Arial" w:cs="Arial" w:eastAsia="Arial" w:hAnsi="Arial"/>
                <w:sz w:val="18"/>
                <w:szCs w:val="18"/>
                <w:color w:val="0000FF"/>
              </w:rPr>
              <w:t>Item 1.</w:t>
            </w:r>
          </w:p>
        </w:tc>
        <w:tc>
          <w:tcPr>
            <w:tcW w:w="8620" w:type="dxa"/>
            <w:vAlign w:val="bottom"/>
          </w:tcPr>
          <w:p>
            <w:pPr>
              <w:ind w:left="80"/>
              <w:spacing w:after="0"/>
              <w:rPr>
                <w:sz w:val="20"/>
                <w:szCs w:val="20"/>
                <w:color w:val="auto"/>
              </w:rPr>
            </w:pPr>
            <w:r>
              <w:rPr>
                <w:rFonts w:ascii="Arial" w:cs="Arial" w:eastAsia="Arial" w:hAnsi="Arial"/>
                <w:sz w:val="18"/>
                <w:szCs w:val="18"/>
                <w:color w:val="0000FF"/>
              </w:rPr>
              <w:t>Financial Statements (Unaudited)</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w:t>
            </w:r>
          </w:p>
        </w:tc>
      </w:tr>
      <w:tr>
        <w:trPr>
          <w:trHeight w:val="229"/>
        </w:trPr>
        <w:tc>
          <w:tcPr>
            <w:tcW w:w="1260" w:type="dxa"/>
            <w:vAlign w:val="bottom"/>
            <w:shd w:val="clear" w:color="auto" w:fill="CCEEFF"/>
          </w:tcPr>
          <w:p>
            <w:pPr>
              <w:spacing w:after="0"/>
              <w:rPr>
                <w:sz w:val="19"/>
                <w:szCs w:val="19"/>
                <w:color w:val="auto"/>
              </w:rPr>
            </w:pP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Condensed Consolidated Statements of Income (Loss)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w:t>
            </w:r>
          </w:p>
        </w:tc>
      </w:tr>
      <w:tr>
        <w:trPr>
          <w:trHeight w:val="230"/>
        </w:trPr>
        <w:tc>
          <w:tcPr>
            <w:tcW w:w="1260" w:type="dxa"/>
            <w:vAlign w:val="bottom"/>
          </w:tcPr>
          <w:p>
            <w:pPr>
              <w:spacing w:after="0"/>
              <w:rPr>
                <w:sz w:val="19"/>
                <w:szCs w:val="19"/>
                <w:color w:val="auto"/>
              </w:rPr>
            </w:pPr>
          </w:p>
        </w:tc>
        <w:tc>
          <w:tcPr>
            <w:tcW w:w="8620" w:type="dxa"/>
            <w:vAlign w:val="bottom"/>
          </w:tcPr>
          <w:p>
            <w:pPr>
              <w:ind w:left="80"/>
              <w:spacing w:after="0"/>
              <w:rPr>
                <w:sz w:val="20"/>
                <w:szCs w:val="20"/>
                <w:color w:val="auto"/>
              </w:rPr>
            </w:pPr>
            <w:r>
              <w:rPr>
                <w:rFonts w:ascii="Arial" w:cs="Arial" w:eastAsia="Arial" w:hAnsi="Arial"/>
                <w:sz w:val="18"/>
                <w:szCs w:val="18"/>
                <w:color w:val="0000FF"/>
              </w:rPr>
              <w:t>Condensed Consolidated Statements of Comprehensive Income (Loss)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4</w:t>
            </w:r>
          </w:p>
        </w:tc>
      </w:tr>
      <w:tr>
        <w:trPr>
          <w:trHeight w:val="229"/>
        </w:trPr>
        <w:tc>
          <w:tcPr>
            <w:tcW w:w="1260" w:type="dxa"/>
            <w:vAlign w:val="bottom"/>
            <w:shd w:val="clear" w:color="auto" w:fill="CCEEFF"/>
          </w:tcPr>
          <w:p>
            <w:pPr>
              <w:spacing w:after="0"/>
              <w:rPr>
                <w:sz w:val="19"/>
                <w:szCs w:val="19"/>
                <w:color w:val="auto"/>
              </w:rPr>
            </w:pP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Condensed Consolidated Balance Sheets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5</w:t>
            </w:r>
          </w:p>
        </w:tc>
      </w:tr>
      <w:tr>
        <w:trPr>
          <w:trHeight w:val="229"/>
        </w:trPr>
        <w:tc>
          <w:tcPr>
            <w:tcW w:w="1260" w:type="dxa"/>
            <w:vAlign w:val="bottom"/>
          </w:tcPr>
          <w:p>
            <w:pPr>
              <w:spacing w:after="0"/>
              <w:rPr>
                <w:sz w:val="19"/>
                <w:szCs w:val="19"/>
                <w:color w:val="auto"/>
              </w:rPr>
            </w:pPr>
          </w:p>
        </w:tc>
        <w:tc>
          <w:tcPr>
            <w:tcW w:w="8620" w:type="dxa"/>
            <w:vAlign w:val="bottom"/>
          </w:tcPr>
          <w:p>
            <w:pPr>
              <w:ind w:left="80"/>
              <w:spacing w:after="0"/>
              <w:rPr>
                <w:sz w:val="20"/>
                <w:szCs w:val="20"/>
                <w:color w:val="auto"/>
              </w:rPr>
            </w:pPr>
            <w:r>
              <w:rPr>
                <w:rFonts w:ascii="Arial" w:cs="Arial" w:eastAsia="Arial" w:hAnsi="Arial"/>
                <w:sz w:val="18"/>
                <w:szCs w:val="18"/>
                <w:color w:val="0000FF"/>
              </w:rPr>
              <w:t>Condensed Consolidated Statements of Cash Flows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6</w:t>
            </w:r>
          </w:p>
        </w:tc>
      </w:tr>
      <w:tr>
        <w:trPr>
          <w:trHeight w:val="230"/>
        </w:trPr>
        <w:tc>
          <w:tcPr>
            <w:tcW w:w="1260" w:type="dxa"/>
            <w:vAlign w:val="bottom"/>
            <w:shd w:val="clear" w:color="auto" w:fill="CCEEFF"/>
          </w:tcPr>
          <w:p>
            <w:pPr>
              <w:spacing w:after="0"/>
              <w:rPr>
                <w:sz w:val="19"/>
                <w:szCs w:val="19"/>
                <w:color w:val="auto"/>
              </w:rPr>
            </w:pP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Condensed Consolidated Statements of Shareholders' Equity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7</w:t>
            </w:r>
          </w:p>
        </w:tc>
      </w:tr>
      <w:tr>
        <w:trPr>
          <w:trHeight w:val="229"/>
        </w:trPr>
        <w:tc>
          <w:tcPr>
            <w:tcW w:w="1260" w:type="dxa"/>
            <w:vAlign w:val="bottom"/>
          </w:tcPr>
          <w:p>
            <w:pPr>
              <w:spacing w:after="0"/>
              <w:rPr>
                <w:sz w:val="19"/>
                <w:szCs w:val="19"/>
                <w:color w:val="auto"/>
              </w:rPr>
            </w:pPr>
          </w:p>
        </w:tc>
        <w:tc>
          <w:tcPr>
            <w:tcW w:w="8620" w:type="dxa"/>
            <w:vAlign w:val="bottom"/>
          </w:tcPr>
          <w:p>
            <w:pPr>
              <w:ind w:left="80"/>
              <w:spacing w:after="0"/>
              <w:rPr>
                <w:sz w:val="20"/>
                <w:szCs w:val="20"/>
                <w:color w:val="auto"/>
              </w:rPr>
            </w:pPr>
            <w:r>
              <w:rPr>
                <w:rFonts w:ascii="Arial" w:cs="Arial" w:eastAsia="Arial" w:hAnsi="Arial"/>
                <w:sz w:val="18"/>
                <w:szCs w:val="18"/>
                <w:color w:val="0000FF"/>
              </w:rPr>
              <w:t>Notes to the Condensed Consolidated Financial Statements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8</w:t>
            </w:r>
          </w:p>
        </w:tc>
      </w:tr>
      <w:tr>
        <w:trPr>
          <w:trHeight w:val="230"/>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22</w:t>
            </w:r>
          </w:p>
        </w:tc>
      </w:tr>
      <w:tr>
        <w:trPr>
          <w:trHeight w:val="229"/>
        </w:trPr>
        <w:tc>
          <w:tcPr>
            <w:tcW w:w="1260" w:type="dxa"/>
            <w:vAlign w:val="bottom"/>
          </w:tcPr>
          <w:p>
            <w:pPr>
              <w:ind w:left="20"/>
              <w:spacing w:after="0"/>
              <w:rPr>
                <w:sz w:val="20"/>
                <w:szCs w:val="20"/>
                <w:color w:val="auto"/>
              </w:rPr>
            </w:pPr>
            <w:r>
              <w:rPr>
                <w:rFonts w:ascii="Arial" w:cs="Arial" w:eastAsia="Arial" w:hAnsi="Arial"/>
                <w:sz w:val="18"/>
                <w:szCs w:val="18"/>
                <w:color w:val="0000FF"/>
              </w:rPr>
              <w:t>Item 3.</w:t>
            </w:r>
          </w:p>
        </w:tc>
        <w:tc>
          <w:tcPr>
            <w:tcW w:w="8620" w:type="dxa"/>
            <w:vAlign w:val="bottom"/>
          </w:tcPr>
          <w:p>
            <w:pPr>
              <w:ind w:left="80"/>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34</w:t>
            </w:r>
          </w:p>
        </w:tc>
      </w:tr>
      <w:tr>
        <w:trPr>
          <w:trHeight w:val="229"/>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Controls and Procedures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35</w:t>
            </w:r>
          </w:p>
        </w:tc>
      </w:tr>
      <w:tr>
        <w:trPr>
          <w:trHeight w:val="148"/>
        </w:trPr>
        <w:tc>
          <w:tcPr>
            <w:tcW w:w="988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II — Other Information</w:t>
            </w:r>
          </w:p>
        </w:tc>
        <w:tc>
          <w:tcPr>
            <w:tcW w:w="1340" w:type="dxa"/>
            <w:vAlign w:val="bottom"/>
            <w:shd w:val="clear" w:color="auto" w:fill="CCEEFF"/>
          </w:tcPr>
          <w:p>
            <w:pPr>
              <w:spacing w:after="0"/>
              <w:rPr>
                <w:sz w:val="19"/>
                <w:szCs w:val="19"/>
                <w:color w:val="auto"/>
              </w:rPr>
            </w:pPr>
          </w:p>
        </w:tc>
      </w:tr>
      <w:tr>
        <w:trPr>
          <w:trHeight w:val="162"/>
        </w:trPr>
        <w:tc>
          <w:tcPr>
            <w:tcW w:w="126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w:t>
            </w: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Legal Proceedings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35</w:t>
            </w:r>
          </w:p>
        </w:tc>
      </w:tr>
      <w:tr>
        <w:trPr>
          <w:trHeight w:val="229"/>
        </w:trPr>
        <w:tc>
          <w:tcPr>
            <w:tcW w:w="1260" w:type="dxa"/>
            <w:vAlign w:val="bottom"/>
          </w:tcPr>
          <w:p>
            <w:pPr>
              <w:ind w:left="20"/>
              <w:spacing w:after="0"/>
              <w:rPr>
                <w:sz w:val="20"/>
                <w:szCs w:val="20"/>
                <w:color w:val="auto"/>
              </w:rPr>
            </w:pPr>
            <w:r>
              <w:rPr>
                <w:rFonts w:ascii="Arial" w:cs="Arial" w:eastAsia="Arial" w:hAnsi="Arial"/>
                <w:sz w:val="18"/>
                <w:szCs w:val="18"/>
                <w:color w:val="0000FF"/>
              </w:rPr>
              <w:t>Item 1A.</w:t>
            </w:r>
          </w:p>
        </w:tc>
        <w:tc>
          <w:tcPr>
            <w:tcW w:w="8620" w:type="dxa"/>
            <w:vAlign w:val="bottom"/>
          </w:tcPr>
          <w:p>
            <w:pPr>
              <w:ind w:left="80"/>
              <w:spacing w:after="0"/>
              <w:rPr>
                <w:sz w:val="20"/>
                <w:szCs w:val="20"/>
                <w:color w:val="auto"/>
              </w:rPr>
            </w:pPr>
            <w:r>
              <w:rPr>
                <w:rFonts w:ascii="Arial" w:cs="Arial" w:eastAsia="Arial" w:hAnsi="Arial"/>
                <w:sz w:val="18"/>
                <w:szCs w:val="18"/>
                <w:color w:val="0000FF"/>
              </w:rPr>
              <w:t>Risk Factors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35</w:t>
            </w:r>
          </w:p>
        </w:tc>
      </w:tr>
      <w:tr>
        <w:trPr>
          <w:trHeight w:val="230"/>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Unregistered Sales of Equity Securities and Use of Proceeds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37</w:t>
            </w:r>
          </w:p>
        </w:tc>
      </w:tr>
      <w:tr>
        <w:trPr>
          <w:trHeight w:val="230"/>
        </w:trPr>
        <w:tc>
          <w:tcPr>
            <w:tcW w:w="1260" w:type="dxa"/>
            <w:vAlign w:val="bottom"/>
          </w:tcPr>
          <w:p>
            <w:pPr>
              <w:ind w:left="20"/>
              <w:spacing w:after="0"/>
              <w:rPr>
                <w:sz w:val="20"/>
                <w:szCs w:val="20"/>
                <w:color w:val="auto"/>
              </w:rPr>
            </w:pPr>
            <w:r>
              <w:rPr>
                <w:rFonts w:ascii="Arial" w:cs="Arial" w:eastAsia="Arial" w:hAnsi="Arial"/>
                <w:sz w:val="18"/>
                <w:szCs w:val="18"/>
                <w:color w:val="0000FF"/>
              </w:rPr>
              <w:t>Item 3.</w:t>
            </w:r>
          </w:p>
        </w:tc>
        <w:tc>
          <w:tcPr>
            <w:tcW w:w="8620" w:type="dxa"/>
            <w:vAlign w:val="bottom"/>
          </w:tcPr>
          <w:p>
            <w:pPr>
              <w:ind w:left="80"/>
              <w:spacing w:after="0"/>
              <w:rPr>
                <w:sz w:val="20"/>
                <w:szCs w:val="20"/>
                <w:color w:val="auto"/>
              </w:rPr>
            </w:pPr>
            <w:r>
              <w:rPr>
                <w:rFonts w:ascii="Arial" w:cs="Arial" w:eastAsia="Arial" w:hAnsi="Arial"/>
                <w:sz w:val="18"/>
                <w:szCs w:val="18"/>
                <w:color w:val="0000FF"/>
              </w:rPr>
              <w:t>Defaults Upon Senior Securities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37</w:t>
            </w:r>
          </w:p>
        </w:tc>
      </w:tr>
      <w:tr>
        <w:trPr>
          <w:trHeight w:val="229"/>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Mine Safety Disclosures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37</w:t>
            </w:r>
          </w:p>
        </w:tc>
      </w:tr>
      <w:tr>
        <w:trPr>
          <w:trHeight w:val="230"/>
        </w:trPr>
        <w:tc>
          <w:tcPr>
            <w:tcW w:w="1260" w:type="dxa"/>
            <w:vAlign w:val="bottom"/>
          </w:tcPr>
          <w:p>
            <w:pPr>
              <w:ind w:left="20"/>
              <w:spacing w:after="0"/>
              <w:rPr>
                <w:sz w:val="20"/>
                <w:szCs w:val="20"/>
                <w:color w:val="auto"/>
              </w:rPr>
            </w:pPr>
            <w:r>
              <w:rPr>
                <w:rFonts w:ascii="Arial" w:cs="Arial" w:eastAsia="Arial" w:hAnsi="Arial"/>
                <w:sz w:val="18"/>
                <w:szCs w:val="18"/>
                <w:color w:val="0000FF"/>
              </w:rPr>
              <w:t>Item 5.</w:t>
            </w:r>
          </w:p>
        </w:tc>
        <w:tc>
          <w:tcPr>
            <w:tcW w:w="8620" w:type="dxa"/>
            <w:vAlign w:val="bottom"/>
          </w:tcPr>
          <w:p>
            <w:pPr>
              <w:ind w:left="80"/>
              <w:spacing w:after="0"/>
              <w:rPr>
                <w:sz w:val="20"/>
                <w:szCs w:val="20"/>
                <w:color w:val="auto"/>
              </w:rPr>
            </w:pPr>
            <w:r>
              <w:rPr>
                <w:rFonts w:ascii="Arial" w:cs="Arial" w:eastAsia="Arial" w:hAnsi="Arial"/>
                <w:sz w:val="18"/>
                <w:szCs w:val="18"/>
                <w:color w:val="0000FF"/>
              </w:rPr>
              <w:t>Other Information</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37</w:t>
            </w:r>
          </w:p>
        </w:tc>
      </w:tr>
      <w:tr>
        <w:trPr>
          <w:trHeight w:val="230"/>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6.</w:t>
            </w: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Exhibits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38</w:t>
            </w:r>
          </w:p>
        </w:tc>
      </w:tr>
      <w:tr>
        <w:trPr>
          <w:trHeight w:val="247"/>
        </w:trPr>
        <w:tc>
          <w:tcPr>
            <w:tcW w:w="1260" w:type="dxa"/>
            <w:vAlign w:val="bottom"/>
          </w:tcPr>
          <w:p>
            <w:pPr>
              <w:ind w:left="20"/>
              <w:spacing w:after="0"/>
              <w:rPr>
                <w:sz w:val="20"/>
                <w:szCs w:val="20"/>
                <w:color w:val="auto"/>
              </w:rPr>
            </w:pPr>
            <w:r>
              <w:rPr>
                <w:rFonts w:ascii="Arial" w:cs="Arial" w:eastAsia="Arial" w:hAnsi="Arial"/>
                <w:sz w:val="18"/>
                <w:szCs w:val="18"/>
                <w:b w:val="1"/>
                <w:bCs w:val="1"/>
                <w:color w:val="0000FF"/>
              </w:rPr>
              <w:t>Signatures</w:t>
            </w:r>
          </w:p>
        </w:tc>
        <w:tc>
          <w:tcPr>
            <w:tcW w:w="86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39</w:t>
            </w:r>
          </w:p>
        </w:tc>
      </w:tr>
    </w:tbl>
    <w:p>
      <w:pPr>
        <w:spacing w:after="0" w:line="30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 w:name="page4"/>
    <w:bookmarkEnd w:id="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PART I — FINANCIAL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548"/>
              <w:spacing w:after="0"/>
              <w:rPr>
                <w:sz w:val="20"/>
                <w:szCs w:val="20"/>
                <w:color w:val="auto"/>
              </w:rPr>
            </w:pPr>
            <w:r>
              <w:rPr>
                <w:rFonts w:ascii="Arial" w:cs="Arial" w:eastAsia="Arial" w:hAnsi="Arial"/>
                <w:sz w:val="14"/>
                <w:szCs w:val="14"/>
                <w:color w:val="auto"/>
              </w:rPr>
              <w:t>Six Months Ended</w:t>
            </w:r>
          </w:p>
        </w:tc>
      </w:tr>
      <w:tr>
        <w:trPr>
          <w:trHeight w:val="185"/>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42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40" w:type="dxa"/>
            <w:vAlign w:val="bottom"/>
          </w:tcPr>
          <w:p>
            <w:pPr>
              <w:spacing w:after="0"/>
              <w:rPr>
                <w:sz w:val="13"/>
                <w:szCs w:val="13"/>
                <w:color w:val="auto"/>
              </w:rPr>
            </w:pPr>
          </w:p>
        </w:tc>
        <w:tc>
          <w:tcPr>
            <w:tcW w:w="88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1,412</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(508)</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5"/>
        </w:trPr>
        <w:tc>
          <w:tcPr>
            <w:tcW w:w="20" w:type="dxa"/>
            <w:vAlign w:val="bottom"/>
            <w:tcBorders>
              <w:bottom w:val="single" w:sz="8" w:color="CCEEFF"/>
            </w:tcBorders>
          </w:tcPr>
          <w:p>
            <w:pPr>
              <w:spacing w:after="0"/>
              <w:rPr>
                <w:sz w:val="16"/>
                <w:szCs w:val="16"/>
                <w:color w:val="auto"/>
              </w:rPr>
            </w:pPr>
          </w:p>
        </w:tc>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792</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1,599</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1,322</w:t>
            </w:r>
          </w:p>
        </w:tc>
      </w:tr>
      <w:tr>
        <w:trPr>
          <w:trHeight w:val="143"/>
        </w:trPr>
        <w:tc>
          <w:tcPr>
            <w:tcW w:w="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427</w:t>
            </w:r>
          </w:p>
        </w:tc>
      </w:tr>
      <w:tr>
        <w:trPr>
          <w:trHeight w:val="163"/>
        </w:trPr>
        <w:tc>
          <w:tcPr>
            <w:tcW w:w="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r>
      <w:tr>
        <w:trPr>
          <w:trHeight w:val="198"/>
        </w:trPr>
        <w:tc>
          <w:tcPr>
            <w:tcW w:w="20" w:type="dxa"/>
            <w:vAlign w:val="bottom"/>
            <w:tcBorders>
              <w:bottom w:val="single" w:sz="8" w:color="CCEEFF"/>
            </w:tcBorders>
            <w:shd w:val="clear" w:color="auto" w:fill="CCEEFF"/>
          </w:tcPr>
          <w:p>
            <w:pPr>
              <w:spacing w:after="0"/>
              <w:rPr>
                <w:sz w:val="16"/>
                <w:szCs w:val="16"/>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03"/>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 per Share: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62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60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 w:type="dxa"/>
            <w:vAlign w:val="bottom"/>
            <w:tcBorders>
              <w:right w:val="single" w:sz="8" w:color="CCEEFF"/>
            </w:tcBorders>
          </w:tcPr>
          <w:p>
            <w:pPr>
              <w:spacing w:after="0"/>
              <w:rPr>
                <w:sz w:val="17"/>
                <w:szCs w:val="17"/>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02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CCEEFF"/>
            </w:tcBorders>
          </w:tcPr>
          <w:p>
            <w:pPr>
              <w:spacing w:after="0"/>
              <w:rPr>
                <w:sz w:val="17"/>
                <w:szCs w:val="17"/>
                <w:color w:val="auto"/>
              </w:rPr>
            </w:pPr>
          </w:p>
        </w:tc>
        <w:tc>
          <w:tcPr>
            <w:tcW w:w="6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6020" w:type="dxa"/>
            <w:vAlign w:val="bottom"/>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80" w:type="dxa"/>
            <w:vAlign w:val="bottom"/>
            <w:tcBorders>
              <w:right w:val="single" w:sz="8" w:color="CCEEFF"/>
            </w:tcBorders>
          </w:tcPr>
          <w:p>
            <w:pPr>
              <w:spacing w:after="0"/>
              <w:rPr>
                <w:sz w:val="17"/>
                <w:szCs w:val="17"/>
                <w:color w:val="auto"/>
              </w:rPr>
            </w:pPr>
          </w:p>
        </w:tc>
        <w:tc>
          <w:tcPr>
            <w:tcW w:w="6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CCEEFF"/>
            </w:tcBorders>
          </w:tcPr>
          <w:p>
            <w:pPr>
              <w:spacing w:after="0"/>
              <w:rPr>
                <w:sz w:val="17"/>
                <w:szCs w:val="17"/>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Comprehensive Income (Loss), Net</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0"/>
        </w:trPr>
        <w:tc>
          <w:tcPr>
            <w:tcW w:w="80" w:type="dxa"/>
            <w:vAlign w:val="bottom"/>
            <w:tcBorders>
              <w:right w:val="single" w:sz="8" w:color="CCEEFF"/>
            </w:tcBorders>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4"/>
                <w:szCs w:val="14"/>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3"/>
          </w:tcPr>
          <w:p>
            <w:pPr>
              <w:spacing w:after="0"/>
              <w:rPr>
                <w:sz w:val="20"/>
                <w:szCs w:val="20"/>
                <w:color w:val="auto"/>
              </w:rPr>
            </w:pPr>
            <w:r>
              <w:rPr>
                <w:rFonts w:ascii="Arial" w:cs="Arial" w:eastAsia="Arial" w:hAnsi="Arial"/>
                <w:sz w:val="14"/>
                <w:szCs w:val="14"/>
                <w:i w:val="1"/>
                <w:iCs w:val="1"/>
                <w:color w:val="auto"/>
              </w:rPr>
              <w:t>(1)  All amounts are net of tax. Tax effects were immaterial.</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26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June 30, 2025</w:t>
            </w:r>
          </w:p>
        </w:tc>
        <w:tc>
          <w:tcPr>
            <w:tcW w:w="180" w:type="dxa"/>
            <w:vAlign w:val="bottom"/>
          </w:tcPr>
          <w:p>
            <w:pPr>
              <w:spacing w:after="0"/>
              <w:rPr>
                <w:sz w:val="14"/>
                <w:szCs w:val="14"/>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366</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493</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Contract assets</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132</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261</w:t>
            </w:r>
          </w:p>
        </w:tc>
      </w:tr>
      <w:tr>
        <w:trPr>
          <w:trHeight w:val="192"/>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1,252</w:t>
            </w: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buildings and equipment, net</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r>
      <w:tr>
        <w:trPr>
          <w:trHeight w:val="199"/>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169</w:t>
            </w:r>
          </w:p>
        </w:tc>
      </w:tr>
      <w:tr>
        <w:trPr>
          <w:trHeight w:val="20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r>
      <w:tr>
        <w:trPr>
          <w:trHeight w:val="199"/>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609</w:t>
            </w:r>
          </w:p>
        </w:tc>
      </w:tr>
      <w:tr>
        <w:trPr>
          <w:trHeight w:val="202"/>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388</w:t>
            </w:r>
          </w:p>
        </w:tc>
      </w:tr>
      <w:tr>
        <w:trPr>
          <w:trHeight w:val="200"/>
        </w:trPr>
        <w:tc>
          <w:tcPr>
            <w:tcW w:w="20" w:type="dxa"/>
            <w:vAlign w:val="bottom"/>
          </w:tcPr>
          <w:p>
            <w:pPr>
              <w:spacing w:after="0"/>
              <w:rPr>
                <w:sz w:val="17"/>
                <w:szCs w:val="17"/>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Current portion of long-term debt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24</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Accrued compensation and benefits costs</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170</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Unearned income</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290</w:t>
            </w: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744</w:t>
            </w:r>
          </w:p>
        </w:tc>
      </w:tr>
      <w:tr>
        <w:trPr>
          <w:trHeight w:val="192"/>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615</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138</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1,614</w:t>
            </w:r>
          </w:p>
        </w:tc>
      </w:tr>
      <w:tr>
        <w:trPr>
          <w:trHeight w:val="197"/>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12)</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Treasury stock, at cost</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3,952</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Retained earnings (deficit)</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(2,433)</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r>
      <w:tr>
        <w:trPr>
          <w:trHeight w:val="195"/>
        </w:trPr>
        <w:tc>
          <w:tcPr>
            <w:tcW w:w="20" w:type="dxa"/>
            <w:vAlign w:val="bottom"/>
          </w:tcPr>
          <w:p>
            <w:pPr>
              <w:spacing w:after="0"/>
              <w:rPr>
                <w:sz w:val="16"/>
                <w:szCs w:val="16"/>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Conduent Inc. Equity</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839</w:t>
            </w: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Noncontrolling Interest</w:t>
            </w:r>
          </w:p>
        </w:tc>
        <w:tc>
          <w:tcPr>
            <w:tcW w:w="2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Equity</w:t>
            </w:r>
          </w:p>
        </w:tc>
        <w:tc>
          <w:tcPr>
            <w:tcW w:w="2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843</w:t>
            </w: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issued and outstanding</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161,829</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120</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held in treasury</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60,868</w:t>
            </w: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Six Months Ended</w:t>
      </w: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0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Pr>
          <w:p>
            <w:pPr>
              <w:spacing w:after="0"/>
              <w:rPr>
                <w:sz w:val="13"/>
                <w:szCs w:val="13"/>
                <w:color w:val="auto"/>
              </w:rPr>
            </w:pPr>
          </w:p>
        </w:tc>
        <w:tc>
          <w:tcPr>
            <w:tcW w:w="118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315</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113</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on divestitures and sales of fixed assets, net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98"/>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w:t>
            </w:r>
          </w:p>
        </w:tc>
      </w:tr>
      <w:tr>
        <w:trPr>
          <w:trHeight w:val="200"/>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182"/>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599</w:t>
            </w: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w:t>
            </w:r>
          </w:p>
        </w:tc>
      </w:tr>
      <w:tr>
        <w:trPr>
          <w:trHeight w:val="187"/>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Proceeds from revolving credit facility</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30</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the issuance of debt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on revolving credit facility</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Treasury stock purchases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Excise tax payment on treasury stock purchases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Repurchase of noncontrolling interest</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0"/>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r>
      <w:tr>
        <w:trPr>
          <w:trHeight w:val="192"/>
        </w:trPr>
        <w:tc>
          <w:tcPr>
            <w:tcW w:w="20" w:type="dxa"/>
            <w:vAlign w:val="bottom"/>
          </w:tcPr>
          <w:p>
            <w:pPr>
              <w:spacing w:after="0"/>
              <w:rPr>
                <w:sz w:val="16"/>
                <w:szCs w:val="16"/>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198"/>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519</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spacing w:after="0" w:line="200"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40" w:right="140" w:hanging="332"/>
        <w:spacing w:after="0" w:line="302"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$19 million and $7 million of restricted cash as of June 30, 2025 and 2024, respectively, that were included in Other current assets on the respective Condensed Consolidated Balance Sheets.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7"/>
              </w:rPr>
              <w:t>Three Months Ended June 30, 2025</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2025</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Buyback of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4"/>
        </w:trPr>
        <w:tc>
          <w:tcPr>
            <w:tcW w:w="2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June 30, 2025</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3,959</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(437)</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7"/>
              </w:rPr>
              <w:t>Three Months Ended June 30, 2024</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2024</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Contribution from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June 30, 2024</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7"/>
              </w:rPr>
              <w:t>Six Months Ended June 30, 2025</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2024</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$40/share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Buyback of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4"/>
        </w:trPr>
        <w:tc>
          <w:tcPr>
            <w:tcW w:w="2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June 30, 2025</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3,959</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(437)</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7"/>
              </w:rPr>
              <w:t>Six Months Ended June 30, 2024</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2023</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$40/share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June 30, 2024</w:t>
            </w: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jc w:val="right"/>
        <w:ind w:left="2700" w:right="2040" w:hanging="2692"/>
        <w:spacing w:after="0" w:line="382" w:lineRule="auto"/>
        <w:tabs>
          <w:tab w:leader="none" w:pos="314"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11 – Accumulated Other Comprehensive Loss for the components of AOCL. The accompanying notes are an integral part of these Condensed Consolidated Financial Statements.</w:t>
      </w:r>
    </w:p>
    <w:p>
      <w:pPr>
        <w:spacing w:after="0" w:line="1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16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Conduent Incorporated is a New York corporation, organized in 2016. Conduent delivers digital business solutions and services spanning the commercial, government and transportation spectrum – creating valuable outcomes for its clients and the millions of people who count on them. The Company leverages cloud computing, artificial intelligence ("AI"), machine learning, automation and advanced analytics to deliver mission-critical solutions. Through a dedicated global team of approximately 53,000 associates, as well as process expertise and advanced technologies, Conduent's solutions and services digitally transform its clients’ operations to enhance customer experiences, improve performance, increase efficiencies and reduce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171" w:lineRule="exact"/>
        <w:rPr>
          <w:sz w:val="20"/>
          <w:szCs w:val="20"/>
          <w:color w:val="auto"/>
        </w:rPr>
      </w:pPr>
    </w:p>
    <w:p>
      <w:pPr>
        <w:jc w:val="both"/>
        <w:ind w:right="640"/>
        <w:spacing w:after="0" w:line="257"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(the "SEC").</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Accordingly, they do not include all the information and notes required by U.S. GAAP for complete financial statements. The December 31, 2024 Condensed Consolidated Balance Sheet was derived from the audited Consolidated Financial Statements included in the Company's Annual Report on Form 10-K for the year ended December 31, 2024.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Summary of Significant Accounting Policies</w:t>
      </w:r>
    </w:p>
    <w:p>
      <w:pPr>
        <w:spacing w:after="0" w:line="17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Company's significant accounting policies are described in Note 1 – Basis of Presentation and Summary of Significant Accounting Policies in the Company's Annual Report on Form 10-K for the year ended December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During 2025, there have been no changes to the Company's significant accounting policies as described therein.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In November 2023, the Financial Accounting Standards Board ("FASB") issued final guidance that expands reportable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disclosures, particularly incremental segment expense disclosures. This guidance is effective for fiscal years beginning after December 15, 2023 and interim periods within fiscal years beginning after December 15, 2024. As the guidance is disclosure related, adoption did not have any impact on the Company's Condensed Consolidated Financial Statements. The required additional disclosure is included in Note 4 – Segment Reporting.</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 December 2023, the FASB issued final guidance designed to improve income tax disclosures, particularly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around business entities' income tax rate reconciliation and income taxes paid. The guidance requires consistent categories and greater disaggregation of information in the reconciliation of an entity's statutory tax rate to its effective tax rate and information about income taxes paid disaggregated by jurisdiction. This guidance is effective for fiscal years beginning after December 15, 2024. The required disclosure will be included in the Company's Annual Report on Form 10-K for the year ended December 31, 2025. As the guidance is disclosure related, adoption will not have any impact on the Company's results of operations, financial position or cash flows.</w:t>
      </w:r>
    </w:p>
    <w:p>
      <w:pPr>
        <w:spacing w:after="0" w:line="1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auto"/>
        </w:rPr>
        <w:t xml:space="preserve">Disaggregation of Income Statement Expenses: </w:t>
      </w:r>
      <w:r>
        <w:rPr>
          <w:rFonts w:ascii="Arial" w:cs="Arial" w:eastAsia="Arial" w:hAnsi="Arial"/>
          <w:sz w:val="18"/>
          <w:szCs w:val="18"/>
          <w:color w:val="auto"/>
        </w:rPr>
        <w:t>In November 2024, the FASB issued final guidance designed to enhance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by requiring public business entities to disclose additional details regarding specific expense categories in the notes to the financial statements for both interim and annual periods. The new guidance is effective for annual periods beginning after December 15, 2026 and interim periods beginning after December 15, 2027. The Company is not early adopting this guidance. As the guidance is disclosure related, adoption will not have any impact on the Company's results of operations, financial position or cash flows.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1" w:lineRule="exact"/>
        <w:rPr>
          <w:sz w:val="20"/>
          <w:szCs w:val="20"/>
          <w:color w:val="auto"/>
        </w:rPr>
      </w:pPr>
    </w:p>
    <w:p>
      <w:pPr>
        <w:jc w:val="both"/>
        <w:ind w:right="140"/>
        <w:spacing w:after="0" w:line="291" w:lineRule="auto"/>
        <w:rPr>
          <w:sz w:val="20"/>
          <w:szCs w:val="20"/>
          <w:color w:val="auto"/>
        </w:rPr>
      </w:pPr>
      <w:r>
        <w:rPr>
          <w:rFonts w:ascii="Arial" w:cs="Arial" w:eastAsia="Arial" w:hAnsi="Arial"/>
          <w:sz w:val="17"/>
          <w:szCs w:val="17"/>
          <w:color w:val="auto"/>
        </w:rPr>
        <w:t>In 2024, revenue from the BenefitWallet Portfolio and the Casualty Claims Solutions business were reclassified to the Divestitures segment from the Commercial segment. In addition, in 2024, revenue from the Curbside Management and Public Safety businesses was reclassified to the Divestitures segment from the Transportation segment. All prior periods presented have been recast to reflect these changes.</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first quarter of 2025, the Company updated the presentation of disaggregated revenue by major service offering within the Commercial segment. This change had no impact on disaggregated revenue by reportable segment or the timing of revenue recognition. All prior periods presented have been recast to reflect this change.</w:t>
      </w:r>
    </w:p>
    <w:p>
      <w:pPr>
        <w:spacing w:after="0" w:line="117"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following table provides information about disaggregated revenue by major service offering and reportable segment and the timing of revenue recognition. Refer to Note 4 – Segment Reporting for additional information on the Company's reportable segments and Note 5 – Divestitures for additional information on the Company's divestitures.</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62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98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Commercial:</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59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BPaaS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Integrated Digital Solutions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95"/>
        </w:trPr>
        <w:tc>
          <w:tcPr>
            <w:tcW w:w="59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Total Commercial</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83"/>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Government: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Government Healthcare Solutions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Services Solutions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95"/>
        </w:trPr>
        <w:tc>
          <w:tcPr>
            <w:tcW w:w="59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Total Government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84"/>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Road Usage Charging &amp; Management Solutions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Transit Solutions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Commercial Vehicles</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59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Transportation</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95"/>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Divestitures</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22"/>
        </w:trPr>
        <w:tc>
          <w:tcPr>
            <w:tcW w:w="59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Consolidated Revenue</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gridSpan w:val="3"/>
          </w:tcPr>
          <w:p>
            <w:pPr>
              <w:ind w:left="20"/>
              <w:spacing w:after="0"/>
              <w:rPr>
                <w:sz w:val="20"/>
                <w:szCs w:val="20"/>
                <w:color w:val="auto"/>
              </w:rPr>
            </w:pPr>
            <w:r>
              <w:rPr>
                <w:rFonts w:ascii="Arial" w:cs="Arial" w:eastAsia="Arial" w:hAnsi="Arial"/>
                <w:sz w:val="14"/>
                <w:szCs w:val="14"/>
                <w:color w:val="auto"/>
              </w:rPr>
              <w:t>Point in time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3"/>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Over time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200"/>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changes to the major service offerings within the Government and Transportation segments as disclosed in Note 2 - Revenue in the Company's Annual Report on Form 10-K for the year ended December 31, 2024. As noted above, the Company has updated the presentation of its major service offerings within the Commercial segment. These major service offerings are described as follows: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3051F2"/>
        </w:rPr>
        <w:t xml:space="preserve">Customer Experience Management: </w:t>
      </w:r>
      <w:r>
        <w:rPr>
          <w:rFonts w:ascii="Arial" w:cs="Arial" w:eastAsia="Arial" w:hAnsi="Arial"/>
          <w:sz w:val="18"/>
          <w:szCs w:val="18"/>
          <w:color w:val="000000"/>
        </w:rPr>
        <w:t>The Company delivers a full range of customer contact services including customer care, technical</w:t>
      </w:r>
      <w:r>
        <w:rPr>
          <w:rFonts w:ascii="Arial" w:cs="Arial" w:eastAsia="Arial" w:hAnsi="Arial"/>
          <w:sz w:val="18"/>
          <w:szCs w:val="18"/>
          <w:b w:val="1"/>
          <w:bCs w:val="1"/>
          <w:color w:val="3051F2"/>
        </w:rPr>
        <w:t xml:space="preserve"> </w:t>
      </w:r>
      <w:r>
        <w:rPr>
          <w:rFonts w:ascii="Arial" w:cs="Arial" w:eastAsia="Arial" w:hAnsi="Arial"/>
          <w:sz w:val="18"/>
          <w:szCs w:val="18"/>
          <w:color w:val="000000"/>
        </w:rPr>
        <w:t>support, loyalty management, and outbound and inbound sales, handling many complex interactions and representing the brands of its clients. The Company creates better experiences across the customer lifecycle through a variety of channels including chat, email, voice and virtual agent to help customers where and how they want to engage. Through omni-channel communications, automation and analytics, as well as labor efficiencies, the Company helps its clients drive revenue growth, enable scale, and gain cost reductions and other operational efficiencies. The Company serves marquee clients across multiple sectors, including the financial services, healthcare and life sciences, logistics, technology, telecom, travel and hospitality sectors, helping to resolve complex issues for their customers with empathy and effectiveness.</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3051F2"/>
        </w:rPr>
        <w:t xml:space="preserve">Business Process as a Service ("BPaaS"): </w:t>
      </w:r>
      <w:r>
        <w:rPr>
          <w:rFonts w:ascii="Arial" w:cs="Arial" w:eastAsia="Arial" w:hAnsi="Arial"/>
          <w:sz w:val="18"/>
          <w:szCs w:val="18"/>
          <w:color w:val="000000"/>
        </w:rPr>
        <w:t>The Company helps its clients digitally transform business processes and drive efficiency,</w:t>
      </w:r>
      <w:r>
        <w:rPr>
          <w:rFonts w:ascii="Arial" w:cs="Arial" w:eastAsia="Arial" w:hAnsi="Arial"/>
          <w:sz w:val="18"/>
          <w:szCs w:val="18"/>
          <w:b w:val="1"/>
          <w:bCs w:val="1"/>
          <w:color w:val="3051F2"/>
        </w:rPr>
        <w:t xml:space="preserve"> </w:t>
      </w:r>
      <w:r>
        <w:rPr>
          <w:rFonts w:ascii="Arial" w:cs="Arial" w:eastAsia="Arial" w:hAnsi="Arial"/>
          <w:sz w:val="18"/>
          <w:szCs w:val="18"/>
          <w:color w:val="000000"/>
        </w:rPr>
        <w:t>automation and scale across essential business functions. The Company streamlines client operations through its deep industry experience, understanding of its clients’ needs and the latest technology solutions to reduce costs, improve security, performance and accuracy, and enable revenue growth, while enhancing the end-user experience. The Company's portfolio of BPaaS solutions spans payment integrity, finance, accounting, and procurement, human capital, legal and compliance, and bank and lending.</w:t>
      </w:r>
    </w:p>
    <w:p>
      <w:pPr>
        <w:spacing w:after="0" w:line="1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3051F2"/>
        </w:rPr>
        <w:t xml:space="preserve">Integrated Digital Solutions: </w:t>
      </w:r>
      <w:r>
        <w:rPr>
          <w:rFonts w:ascii="Arial" w:cs="Arial" w:eastAsia="Arial" w:hAnsi="Arial"/>
          <w:sz w:val="18"/>
          <w:szCs w:val="18"/>
          <w:color w:val="000000"/>
        </w:rPr>
        <w:t>The Company drives efficiencies for clients with more digitized processes across the customer and document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lifecycle through automation, data analytics and AI-powered solutions. This helps to shorten time to decisions on items like claims and applications while lowering costs, reducing manual effort, improving data accuracy, providing omnichannel communications and enhancing the overall customer experience. The Company's solutions span: document and claims processing; health plan administration; scanning and digitization of mailrooms, data and documents; omnichannel digital and physical communications, including print and mail and solutions focused specifically in the pharmaceutical and banking industries.</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2025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significant movements in contract assets (current and long-term) for the six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2025 and 2024:</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2024</w:t>
            </w:r>
          </w:p>
        </w:tc>
      </w:tr>
      <w:tr>
        <w:trPr>
          <w:trHeight w:val="21"/>
        </w:trPr>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r>
      <w:tr>
        <w:trPr>
          <w:trHeight w:val="198"/>
        </w:trPr>
        <w:tc>
          <w:tcPr>
            <w:tcW w:w="7520" w:type="dxa"/>
            <w:vAlign w:val="bottom"/>
            <w:gridSpan w:val="2"/>
          </w:tcPr>
          <w:p>
            <w:pPr>
              <w:ind w:left="120"/>
              <w:spacing w:after="0"/>
              <w:rPr>
                <w:sz w:val="20"/>
                <w:szCs w:val="20"/>
                <w:color w:val="auto"/>
              </w:rPr>
            </w:pPr>
            <w:r>
              <w:rPr>
                <w:rFonts w:ascii="Arial" w:cs="Arial" w:eastAsia="Arial" w:hAnsi="Arial"/>
                <w:sz w:val="14"/>
                <w:szCs w:val="14"/>
                <w:color w:val="auto"/>
              </w:rPr>
              <w:t>Additional contract assets recognized</w:t>
            </w:r>
          </w:p>
        </w:tc>
        <w:tc>
          <w:tcPr>
            <w:tcW w:w="42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03"/>
        </w:trPr>
        <w:tc>
          <w:tcPr>
            <w:tcW w:w="7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Billed and transferred to Accounts receivable and other</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200"/>
        </w:trPr>
        <w:tc>
          <w:tcPr>
            <w:tcW w:w="7520" w:type="dxa"/>
            <w:vAlign w:val="bottom"/>
            <w:gridSpan w:val="2"/>
          </w:tcPr>
          <w:p>
            <w:pPr>
              <w:spacing w:after="0" w:line="200" w:lineRule="exact"/>
              <w:rPr>
                <w:sz w:val="20"/>
                <w:szCs w:val="20"/>
                <w:color w:val="auto"/>
              </w:rPr>
            </w:pPr>
            <w:r>
              <w:rPr>
                <w:rFonts w:ascii="Arial" w:cs="Arial" w:eastAsia="Arial" w:hAnsi="Arial"/>
                <w:sz w:val="14"/>
                <w:szCs w:val="14"/>
                <w:color w:val="auto"/>
              </w:rPr>
              <w:t>Ending balance</w:t>
            </w:r>
            <w:r>
              <w:rPr>
                <w:rFonts w:ascii="Arial" w:cs="Arial" w:eastAsia="Arial" w:hAnsi="Arial"/>
                <w:sz w:val="18"/>
                <w:szCs w:val="18"/>
                <w:color w:val="auto"/>
                <w:vertAlign w:val="superscript"/>
              </w:rPr>
              <w:t>(1)</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r>
      <w:tr>
        <w:trPr>
          <w:trHeight w:val="21"/>
        </w:trPr>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w:t>
      </w:r>
    </w:p>
    <w:p>
      <w:pPr>
        <w:spacing w:after="0" w:line="20"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Of which $2 million and $7 million are included in Other long-term assets as of June 30, 2025 and 2024, respectively.</w:t>
      </w:r>
    </w:p>
    <w:p>
      <w:pPr>
        <w:spacing w:after="0" w:line="13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following table provides information about significant movements in unearned income balances (current and long-term) for the six months ended June 30, 2025 and 2024:</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2024</w:t>
            </w:r>
          </w:p>
        </w:tc>
      </w:tr>
      <w:tr>
        <w:trPr>
          <w:trHeight w:val="20"/>
        </w:trPr>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ind w:left="928"/>
              <w:spacing w:after="0"/>
              <w:rPr>
                <w:sz w:val="20"/>
                <w:szCs w:val="20"/>
                <w:color w:val="auto"/>
              </w:rPr>
            </w:pPr>
            <w:r>
              <w:rPr>
                <w:rFonts w:ascii="Arial" w:cs="Arial" w:eastAsia="Arial" w:hAnsi="Arial"/>
                <w:sz w:val="14"/>
                <w:szCs w:val="14"/>
                <w:color w:val="auto"/>
              </w:rPr>
              <w:t>146</w:t>
            </w:r>
          </w:p>
        </w:tc>
      </w:tr>
      <w:tr>
        <w:trPr>
          <w:trHeight w:val="199"/>
        </w:trPr>
        <w:tc>
          <w:tcPr>
            <w:tcW w:w="7520" w:type="dxa"/>
            <w:vAlign w:val="bottom"/>
            <w:gridSpan w:val="2"/>
          </w:tcPr>
          <w:p>
            <w:pPr>
              <w:ind w:left="120"/>
              <w:spacing w:after="0"/>
              <w:rPr>
                <w:sz w:val="20"/>
                <w:szCs w:val="20"/>
                <w:color w:val="auto"/>
              </w:rPr>
            </w:pPr>
            <w:r>
              <w:rPr>
                <w:rFonts w:ascii="Arial" w:cs="Arial" w:eastAsia="Arial" w:hAnsi="Arial"/>
                <w:sz w:val="14"/>
                <w:szCs w:val="14"/>
                <w:color w:val="auto"/>
              </w:rPr>
              <w:t>Additional deferral of income</w:t>
            </w:r>
          </w:p>
        </w:tc>
        <w:tc>
          <w:tcPr>
            <w:tcW w:w="42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center"/>
              <w:ind w:left="928"/>
              <w:spacing w:after="0"/>
              <w:rPr>
                <w:sz w:val="20"/>
                <w:szCs w:val="20"/>
                <w:color w:val="auto"/>
              </w:rPr>
            </w:pPr>
            <w:r>
              <w:rPr>
                <w:rFonts w:ascii="Arial" w:cs="Arial" w:eastAsia="Arial" w:hAnsi="Arial"/>
                <w:sz w:val="14"/>
                <w:szCs w:val="14"/>
                <w:color w:val="auto"/>
              </w:rPr>
              <w:t>130</w:t>
            </w:r>
          </w:p>
        </w:tc>
      </w:tr>
      <w:tr>
        <w:trPr>
          <w:trHeight w:val="206"/>
        </w:trPr>
        <w:tc>
          <w:tcPr>
            <w:tcW w:w="7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Revenue recognized related to deferral of income</w:t>
            </w:r>
            <w:r>
              <w:rPr>
                <w:rFonts w:ascii="Arial" w:cs="Arial" w:eastAsia="Arial" w:hAnsi="Arial"/>
                <w:sz w:val="18"/>
                <w:szCs w:val="18"/>
                <w:color w:val="auto"/>
                <w:vertAlign w:val="superscript"/>
              </w:rPr>
              <w:t>(1)</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center"/>
              <w:ind w:left="908"/>
              <w:spacing w:after="0"/>
              <w:rPr>
                <w:sz w:val="20"/>
                <w:szCs w:val="20"/>
                <w:color w:val="auto"/>
              </w:rPr>
            </w:pPr>
            <w:r>
              <w:rPr>
                <w:rFonts w:ascii="Arial" w:cs="Arial" w:eastAsia="Arial" w:hAnsi="Arial"/>
                <w:sz w:val="14"/>
                <w:szCs w:val="14"/>
                <w:color w:val="auto"/>
              </w:rPr>
              <w:t>(124)</w:t>
            </w:r>
          </w:p>
        </w:tc>
      </w:tr>
      <w:tr>
        <w:trPr>
          <w:trHeight w:val="196"/>
        </w:trPr>
        <w:tc>
          <w:tcPr>
            <w:tcW w:w="7520" w:type="dxa"/>
            <w:vAlign w:val="bottom"/>
            <w:gridSpan w:val="2"/>
          </w:tcPr>
          <w:p>
            <w:pPr>
              <w:spacing w:after="0" w:line="196" w:lineRule="exact"/>
              <w:rPr>
                <w:sz w:val="20"/>
                <w:szCs w:val="20"/>
                <w:color w:val="auto"/>
              </w:rPr>
            </w:pPr>
            <w:r>
              <w:rPr>
                <w:rFonts w:ascii="Arial" w:cs="Arial" w:eastAsia="Arial" w:hAnsi="Arial"/>
                <w:sz w:val="14"/>
                <w:szCs w:val="14"/>
                <w:color w:val="auto"/>
              </w:rPr>
              <w:t>Ending balance</w:t>
            </w:r>
            <w:r>
              <w:rPr>
                <w:rFonts w:ascii="Arial" w:cs="Arial" w:eastAsia="Arial" w:hAnsi="Arial"/>
                <w:sz w:val="18"/>
                <w:szCs w:val="18"/>
                <w:color w:val="auto"/>
                <w:vertAlign w:val="superscript"/>
              </w:rPr>
              <w:t>(2)</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center"/>
              <w:ind w:left="928"/>
              <w:spacing w:after="0"/>
              <w:rPr>
                <w:sz w:val="20"/>
                <w:szCs w:val="20"/>
                <w:color w:val="auto"/>
              </w:rPr>
            </w:pPr>
            <w:r>
              <w:rPr>
                <w:rFonts w:ascii="Arial" w:cs="Arial" w:eastAsia="Arial" w:hAnsi="Arial"/>
                <w:sz w:val="14"/>
                <w:szCs w:val="14"/>
                <w:color w:val="auto"/>
              </w:rPr>
              <w:t>152</w:t>
            </w:r>
          </w:p>
        </w:tc>
      </w:tr>
      <w:tr>
        <w:trPr>
          <w:trHeight w:val="20"/>
        </w:trPr>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w:t>
      </w:r>
    </w:p>
    <w:p>
      <w:pPr>
        <w:spacing w:after="0" w:line="15" w:lineRule="exact"/>
        <w:rPr>
          <w:sz w:val="20"/>
          <w:szCs w:val="20"/>
          <w:color w:val="auto"/>
        </w:rPr>
      </w:pPr>
    </w:p>
    <w:p>
      <w:pPr>
        <w:ind w:right="100" w:firstLine="8"/>
        <w:spacing w:after="0" w:line="284" w:lineRule="auto"/>
        <w:tabs>
          <w:tab w:leader="none" w:pos="154" w:val="left"/>
        </w:tabs>
        <w:numPr>
          <w:ilvl w:val="0"/>
          <w:numId w:val="6"/>
        </w:numPr>
        <w:rPr>
          <w:rFonts w:ascii="Arial" w:cs="Arial" w:eastAsia="Arial" w:hAnsi="Arial"/>
          <w:sz w:val="9"/>
          <w:szCs w:val="9"/>
          <w:i w:val="1"/>
          <w:iCs w:val="1"/>
          <w:color w:val="auto"/>
        </w:rPr>
      </w:pPr>
      <w:r>
        <w:rPr>
          <w:rFonts w:ascii="Arial" w:cs="Arial" w:eastAsia="Arial" w:hAnsi="Arial"/>
          <w:sz w:val="14"/>
          <w:szCs w:val="14"/>
          <w:i w:val="1"/>
          <w:iCs w:val="1"/>
          <w:color w:val="auto"/>
        </w:rPr>
        <w:t>Of which $66 million and $69 million were recognized during the six months ended June 30, 2025 and 2024, respectively, that related to the Company's unearned income as of December 31, 2024 and 2023, respectively.</w:t>
      </w:r>
    </w:p>
    <w:p>
      <w:pPr>
        <w:ind w:left="160" w:hanging="152"/>
        <w:spacing w:after="0"/>
        <w:tabs>
          <w:tab w:leader="none" w:pos="160" w:val="left"/>
        </w:tabs>
        <w:numPr>
          <w:ilvl w:val="0"/>
          <w:numId w:val="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Of which $60 million and $57 million are included in Long-term unearned income as of June 30, 2025 and 2024,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71"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June 30, 2025 was approximately $1.5 billion. The Company expects to recognize approximately 71% of this revenue over the next two years and the remainder thereafter.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16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its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Divestitures includes the Company's BenefitWallet Portfolio, for which the Company completed the transfer in the second quarter of 2024, its Curbside Management and Public Safety Solutions businesses, which it sold in the second quarter of 2024, and its Casualty Claims business which it sold in the third quarter of 2024. Refer to Note 5 – Divestitures for additional information.</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Company's CODM evaluates the Company's financial performance based on Segment profit (loss) for its three reportable segments - Commercial, Government and Transportation. The Company's CODM uses Segment profit (loss) information to monitor budget versus actual results and then uses this information to help make informed decisions about future resource investment, potential restructuring of segments to enhance overall company performance, and future divestitures and acquisitions.</w:t>
      </w:r>
    </w:p>
    <w:p>
      <w:pPr>
        <w:spacing w:after="0" w:line="200" w:lineRule="exact"/>
        <w:rPr>
          <w:sz w:val="20"/>
          <w:szCs w:val="20"/>
          <w:color w:val="auto"/>
        </w:rPr>
      </w:pPr>
    </w:p>
    <w:p>
      <w:pPr>
        <w:spacing w:after="0" w:line="32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2" w:name="page13"/>
    <w:bookmarkEnd w:id="1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Company's CODM does not evaluate operating segments using discrete asset information as a significant portion of the assets is managed at the total company level.</w:t>
      </w:r>
    </w:p>
    <w:p>
      <w:pPr>
        <w:spacing w:after="0" w:line="99" w:lineRule="exact"/>
        <w:rPr>
          <w:sz w:val="20"/>
          <w:szCs w:val="20"/>
          <w:color w:val="auto"/>
        </w:rPr>
      </w:pPr>
    </w:p>
    <w:p>
      <w:pPr>
        <w:ind w:left="340" w:right="140" w:hanging="332"/>
        <w:spacing w:after="0" w:line="259" w:lineRule="auto"/>
        <w:tabs>
          <w:tab w:leader="none" w:pos="33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0066CC"/>
        </w:rPr>
        <w:t xml:space="preserve">Commercial: </w:t>
      </w:r>
      <w:r>
        <w:rPr>
          <w:rFonts w:ascii="Arial" w:cs="Arial" w:eastAsia="Arial" w:hAnsi="Arial"/>
          <w:sz w:val="18"/>
          <w:szCs w:val="18"/>
          <w:color w:val="000000"/>
        </w:rPr>
        <w:t>The Commercial segment provides business process services that span its clients' businesses end-to-end from the front-office to the back-office for a variety of commercial industries. These solutions are both cross-industry and industry-specific in nature. Across the Commercial segment, the Company operates on its clients’ behalf to deliver mission-critical solutions and services to reduce costs, improve efficiencies and enhance performance for the Company's clients and deliver better experiences for their consumers and employees.</w:t>
      </w:r>
    </w:p>
    <w:p>
      <w:pPr>
        <w:spacing w:after="0" w:line="125" w:lineRule="exact"/>
        <w:rPr>
          <w:rFonts w:ascii="Arial" w:cs="Arial" w:eastAsia="Arial" w:hAnsi="Arial"/>
          <w:sz w:val="18"/>
          <w:szCs w:val="18"/>
          <w:b w:val="1"/>
          <w:bCs w:val="1"/>
          <w:color w:val="auto"/>
        </w:rPr>
      </w:pPr>
    </w:p>
    <w:p>
      <w:pPr>
        <w:ind w:left="340" w:right="140" w:hanging="332"/>
        <w:spacing w:after="0" w:line="259"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0066CC"/>
        </w:rPr>
        <w:t xml:space="preserve">Government: </w:t>
      </w:r>
      <w:r>
        <w:rPr>
          <w:rFonts w:ascii="Arial" w:cs="Arial" w:eastAsia="Arial" w:hAnsi="Arial"/>
          <w:sz w:val="18"/>
          <w:szCs w:val="18"/>
          <w:color w:val="000000"/>
        </w:rPr>
        <w:t>The Government segment provides government-centric business process services and solutions to U.S. federal, state,</w:t>
      </w:r>
      <w:r>
        <w:rPr>
          <w:rFonts w:ascii="Arial" w:cs="Arial" w:eastAsia="Arial" w:hAnsi="Arial"/>
          <w:sz w:val="18"/>
          <w:szCs w:val="18"/>
          <w:b w:val="1"/>
          <w:bCs w:val="1"/>
          <w:color w:val="0066CC"/>
        </w:rPr>
        <w:t xml:space="preserve"> </w:t>
      </w:r>
      <w:r>
        <w:rPr>
          <w:rFonts w:ascii="Arial" w:cs="Arial" w:eastAsia="Arial" w:hAnsi="Arial"/>
          <w:sz w:val="18"/>
          <w:szCs w:val="18"/>
          <w:color w:val="000000"/>
        </w:rPr>
        <w:t>local and foreign governments for public assistance, healthcare programs and administration, transaction processing, payment services and case management. In this segment, the Company helps governments respond to changing rules for eligibility and keep pace with increasing citizen expectations, modernize legacy technology systems, combat benefits fraud and shift in response to an evolving regulatory environment.</w:t>
      </w:r>
    </w:p>
    <w:p>
      <w:pPr>
        <w:spacing w:after="0" w:line="125" w:lineRule="exact"/>
        <w:rPr>
          <w:rFonts w:ascii="Arial" w:cs="Arial" w:eastAsia="Arial" w:hAnsi="Arial"/>
          <w:sz w:val="18"/>
          <w:szCs w:val="18"/>
          <w:color w:val="auto"/>
        </w:rPr>
      </w:pPr>
    </w:p>
    <w:p>
      <w:pPr>
        <w:ind w:left="340" w:right="380" w:hanging="332"/>
        <w:spacing w:after="0" w:line="259"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government agencies and transportation authorities around the world with</w:t>
      </w:r>
      <w:r>
        <w:rPr>
          <w:rFonts w:ascii="Arial" w:cs="Arial" w:eastAsia="Arial" w:hAnsi="Arial"/>
          <w:sz w:val="18"/>
          <w:szCs w:val="18"/>
          <w:b w:val="1"/>
          <w:bCs w:val="1"/>
          <w:color w:val="0066CC"/>
        </w:rPr>
        <w:t xml:space="preserve"> </w:t>
      </w:r>
      <w:r>
        <w:rPr>
          <w:rFonts w:ascii="Arial" w:cs="Arial" w:eastAsia="Arial" w:hAnsi="Arial"/>
          <w:sz w:val="18"/>
          <w:szCs w:val="18"/>
          <w:color w:val="000000"/>
        </w:rPr>
        <w:t>systems, support and revenue-generating solutions serving toll and fare collections as well as mobility and digital payments that help streamline operations and increase revenue to government transportation agencies. With an expanded focus on sustainability and enhancing the quality of life for citizens and communities around the world, the Company's solutions help reduce congestion and greenhouse emissions, while creating seamless travel experiences for consumers throughout transportation ecosystems.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segments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color w:val="auto"/>
              </w:rPr>
              <w:t>June 30,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06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1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Transportation</w:t>
            </w:r>
          </w:p>
        </w:tc>
        <w:tc>
          <w:tcPr>
            <w:tcW w:w="220" w:type="dxa"/>
            <w:vAlign w:val="bottom"/>
          </w:tcPr>
          <w:p>
            <w:pPr>
              <w:spacing w:after="0"/>
              <w:rPr>
                <w:sz w:val="13"/>
                <w:szCs w:val="13"/>
                <w:color w:val="auto"/>
              </w:rPr>
            </w:pPr>
          </w:p>
        </w:tc>
        <w:tc>
          <w:tcPr>
            <w:tcW w:w="880" w:type="dxa"/>
            <w:vAlign w:val="bottom"/>
          </w:tcPr>
          <w:p>
            <w:pPr>
              <w:jc w:val="right"/>
              <w:ind w:right="268"/>
              <w:spacing w:after="0" w:line="156" w:lineRule="exact"/>
              <w:rPr>
                <w:sz w:val="20"/>
                <w:szCs w:val="20"/>
                <w:color w:val="auto"/>
              </w:rPr>
            </w:pPr>
            <w:r>
              <w:rPr>
                <w:rFonts w:ascii="Arial" w:cs="Arial" w:eastAsia="Arial" w:hAnsi="Arial"/>
                <w:sz w:val="14"/>
                <w:szCs w:val="14"/>
                <w:color w:val="auto"/>
              </w:rPr>
              <w:t>Total</w:t>
            </w:r>
            <w:r>
              <w:rPr>
                <w:rFonts w:ascii="Arial" w:cs="Arial" w:eastAsia="Arial" w:hAnsi="Arial"/>
                <w:sz w:val="18"/>
                <w:szCs w:val="18"/>
                <w:color w:val="auto"/>
                <w:vertAlign w:val="superscript"/>
              </w:rPr>
              <w:t>(1)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53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Segment 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754</w:t>
            </w:r>
          </w:p>
        </w:tc>
      </w:tr>
      <w:tr>
        <w:trPr>
          <w:trHeight w:val="99"/>
        </w:trPr>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98"/>
        </w:trPr>
        <w:tc>
          <w:tcPr>
            <w:tcW w:w="20" w:type="dxa"/>
            <w:vAlign w:val="bottom"/>
          </w:tcPr>
          <w:p>
            <w:pPr>
              <w:spacing w:after="0"/>
              <w:rPr>
                <w:sz w:val="17"/>
                <w:szCs w:val="17"/>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Wages and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r>
      <w:tr>
        <w:trPr>
          <w:trHeight w:val="198"/>
        </w:trPr>
        <w:tc>
          <w:tcPr>
            <w:tcW w:w="20" w:type="dxa"/>
            <w:vAlign w:val="bottom"/>
          </w:tcPr>
          <w:p>
            <w:pPr>
              <w:spacing w:after="0"/>
              <w:rPr>
                <w:sz w:val="17"/>
                <w:szCs w:val="17"/>
                <w:color w:val="auto"/>
              </w:rPr>
            </w:pPr>
          </w:p>
        </w:tc>
        <w:tc>
          <w:tcPr>
            <w:tcW w:w="6060" w:type="dxa"/>
            <w:vAlign w:val="bottom"/>
            <w:gridSpan w:val="3"/>
          </w:tcPr>
          <w:p>
            <w:pPr>
              <w:ind w:left="340"/>
              <w:spacing w:after="0"/>
              <w:rPr>
                <w:sz w:val="20"/>
                <w:szCs w:val="20"/>
                <w:color w:val="auto"/>
              </w:rPr>
            </w:pPr>
            <w:r>
              <w:rPr>
                <w:rFonts w:ascii="Arial" w:cs="Arial" w:eastAsia="Arial" w:hAnsi="Arial"/>
                <w:sz w:val="14"/>
                <w:szCs w:val="14"/>
                <w:color w:val="auto"/>
              </w:rPr>
              <w:t>Services and supplies</w:t>
            </w: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06"/>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Rent lease and maintenance expense</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99"/>
        </w:trPr>
        <w:tc>
          <w:tcPr>
            <w:tcW w:w="20" w:type="dxa"/>
            <w:vAlign w:val="bottom"/>
          </w:tcPr>
          <w:p>
            <w:pPr>
              <w:spacing w:after="0"/>
              <w:rPr>
                <w:sz w:val="17"/>
                <w:szCs w:val="17"/>
                <w:color w:val="auto"/>
              </w:rPr>
            </w:pPr>
          </w:p>
        </w:tc>
        <w:tc>
          <w:tcPr>
            <w:tcW w:w="6060" w:type="dxa"/>
            <w:vAlign w:val="bottom"/>
            <w:gridSpan w:val="3"/>
          </w:tcPr>
          <w:p>
            <w:pPr>
              <w:ind w:left="340"/>
              <w:spacing w:after="0"/>
              <w:rPr>
                <w:sz w:val="20"/>
                <w:szCs w:val="20"/>
                <w:color w:val="auto"/>
              </w:rPr>
            </w:pPr>
            <w:r>
              <w:rPr>
                <w:rFonts w:ascii="Arial" w:cs="Arial" w:eastAsia="Arial" w:hAnsi="Arial"/>
                <w:sz w:val="14"/>
                <w:szCs w:val="14"/>
                <w:color w:val="auto"/>
              </w:rPr>
              <w:t>Other operating expense</w:t>
            </w: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6"/>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92"/>
        </w:trPr>
        <w:tc>
          <w:tcPr>
            <w:tcW w:w="20" w:type="dxa"/>
            <w:vAlign w:val="bottom"/>
            <w:tcBorders>
              <w:bottom w:val="single" w:sz="8" w:color="CCEEFF"/>
            </w:tcBorders>
          </w:tcPr>
          <w:p>
            <w:pPr>
              <w:spacing w:after="0"/>
              <w:rPr>
                <w:sz w:val="16"/>
                <w:szCs w:val="16"/>
                <w:color w:val="auto"/>
              </w:rPr>
            </w:pPr>
          </w:p>
        </w:tc>
        <w:tc>
          <w:tcPr>
            <w:tcW w:w="60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Segment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w:t>
            </w:r>
          </w:p>
        </w:tc>
      </w:tr>
      <w:tr>
        <w:trPr>
          <w:trHeight w:val="79"/>
        </w:trPr>
        <w:tc>
          <w:tcPr>
            <w:tcW w:w="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198"/>
        </w:trPr>
        <w:tc>
          <w:tcPr>
            <w:tcW w:w="20" w:type="dxa"/>
            <w:vAlign w:val="bottom"/>
          </w:tcPr>
          <w:p>
            <w:pPr>
              <w:spacing w:after="0"/>
              <w:rPr>
                <w:sz w:val="17"/>
                <w:szCs w:val="17"/>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98"/>
        </w:trPr>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99"/>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2024</w:t>
            </w:r>
          </w:p>
        </w:tc>
        <w:tc>
          <w:tcPr>
            <w:tcW w:w="5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w:t>
            </w:r>
          </w:p>
        </w:tc>
      </w:tr>
      <w:tr>
        <w:trPr>
          <w:trHeight w:val="94"/>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03"/>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060" w:type="dxa"/>
            <w:vAlign w:val="bottom"/>
            <w:gridSpan w:val="3"/>
          </w:tcPr>
          <w:p>
            <w:pPr>
              <w:ind w:left="340"/>
              <w:spacing w:after="0"/>
              <w:rPr>
                <w:sz w:val="20"/>
                <w:szCs w:val="20"/>
                <w:color w:val="auto"/>
              </w:rPr>
            </w:pPr>
            <w:r>
              <w:rPr>
                <w:rFonts w:ascii="Arial" w:cs="Arial" w:eastAsia="Arial" w:hAnsi="Arial"/>
                <w:sz w:val="14"/>
                <w:szCs w:val="14"/>
                <w:color w:val="auto"/>
              </w:rPr>
              <w:t>Wages and benefits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434</w:t>
            </w: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Services and supplies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98"/>
        </w:trPr>
        <w:tc>
          <w:tcPr>
            <w:tcW w:w="20" w:type="dxa"/>
            <w:vAlign w:val="bottom"/>
          </w:tcPr>
          <w:p>
            <w:pPr>
              <w:spacing w:after="0"/>
              <w:rPr>
                <w:sz w:val="17"/>
                <w:szCs w:val="17"/>
                <w:color w:val="auto"/>
              </w:rPr>
            </w:pPr>
          </w:p>
        </w:tc>
        <w:tc>
          <w:tcPr>
            <w:tcW w:w="6060" w:type="dxa"/>
            <w:vAlign w:val="bottom"/>
            <w:gridSpan w:val="3"/>
          </w:tcPr>
          <w:p>
            <w:pPr>
              <w:ind w:left="340"/>
              <w:spacing w:after="0"/>
              <w:rPr>
                <w:sz w:val="20"/>
                <w:szCs w:val="20"/>
                <w:color w:val="auto"/>
              </w:rPr>
            </w:pPr>
            <w:r>
              <w:rPr>
                <w:rFonts w:ascii="Arial" w:cs="Arial" w:eastAsia="Arial" w:hAnsi="Arial"/>
                <w:sz w:val="14"/>
                <w:szCs w:val="14"/>
                <w:color w:val="auto"/>
              </w:rPr>
              <w:t>Rent lease and maintenance expense</w:t>
            </w: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operating expense</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20" w:type="dxa"/>
            <w:vAlign w:val="bottom"/>
            <w:tcBorders>
              <w:bottom w:val="single" w:sz="8" w:color="CCEEFF"/>
            </w:tcBorders>
          </w:tcPr>
          <w:p>
            <w:pPr>
              <w:spacing w:after="0"/>
              <w:rPr>
                <w:sz w:val="17"/>
                <w:szCs w:val="17"/>
                <w:color w:val="auto"/>
              </w:rPr>
            </w:pPr>
          </w:p>
        </w:tc>
        <w:tc>
          <w:tcPr>
            <w:tcW w:w="606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196"/>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w:t>
            </w:r>
          </w:p>
        </w:tc>
      </w:tr>
      <w:tr>
        <w:trPr>
          <w:trHeight w:val="78"/>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03"/>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262"/>
        </w:trPr>
        <w:tc>
          <w:tcPr>
            <w:tcW w:w="5980" w:type="dxa"/>
            <w:vAlign w:val="bottom"/>
            <w:gridSpan w:val="3"/>
          </w:tcPr>
          <w:p>
            <w:pPr>
              <w:spacing w:after="0"/>
              <w:rPr>
                <w:sz w:val="20"/>
                <w:szCs w:val="20"/>
                <w:color w:val="auto"/>
              </w:rPr>
            </w:pPr>
            <w:r>
              <w:rPr>
                <w:rFonts w:ascii="Arial" w:cs="Arial" w:eastAsia="Arial" w:hAnsi="Arial"/>
                <w:sz w:val="14"/>
                <w:szCs w:val="14"/>
                <w:color w:val="auto"/>
              </w:rPr>
              <w:t>__________</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11"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Total excludes Divestitures and Unallocated Costs.</w:t>
      </w:r>
    </w:p>
    <w:p>
      <w:pPr>
        <w:spacing w:after="0" w:line="200" w:lineRule="exact"/>
        <w:rPr>
          <w:sz w:val="20"/>
          <w:szCs w:val="20"/>
          <w:color w:val="auto"/>
        </w:rPr>
      </w:pPr>
    </w:p>
    <w:p>
      <w:pPr>
        <w:spacing w:after="0" w:line="23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jc w:val="center"/>
              <w:ind w:right="380"/>
              <w:spacing w:after="0"/>
              <w:rPr>
                <w:sz w:val="20"/>
                <w:szCs w:val="20"/>
                <w:color w:val="auto"/>
              </w:rPr>
            </w:pPr>
            <w:r>
              <w:rPr>
                <w:rFonts w:ascii="Arial" w:cs="Arial" w:eastAsia="Arial" w:hAnsi="Arial"/>
                <w:sz w:val="14"/>
                <w:szCs w:val="14"/>
                <w:color w:val="auto"/>
              </w:rPr>
              <w:t>Six Months 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rPr>
              <w:t>June 30,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96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140" w:type="dxa"/>
            <w:vAlign w:val="bottom"/>
          </w:tcPr>
          <w:p>
            <w:pPr>
              <w:spacing w:after="0"/>
              <w:rPr>
                <w:sz w:val="13"/>
                <w:szCs w:val="13"/>
                <w:color w:val="auto"/>
              </w:rPr>
            </w:pPr>
          </w:p>
        </w:tc>
        <w:tc>
          <w:tcPr>
            <w:tcW w:w="11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3"/>
                <w:szCs w:val="13"/>
                <w:color w:val="auto"/>
              </w:rPr>
            </w:pPr>
          </w:p>
        </w:tc>
        <w:tc>
          <w:tcPr>
            <w:tcW w:w="12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Transportation</w:t>
            </w:r>
          </w:p>
        </w:tc>
        <w:tc>
          <w:tcPr>
            <w:tcW w:w="220" w:type="dxa"/>
            <w:vAlign w:val="bottom"/>
          </w:tcPr>
          <w:p>
            <w:pPr>
              <w:spacing w:after="0"/>
              <w:rPr>
                <w:sz w:val="13"/>
                <w:szCs w:val="13"/>
                <w:color w:val="auto"/>
              </w:rPr>
            </w:pPr>
          </w:p>
        </w:tc>
        <w:tc>
          <w:tcPr>
            <w:tcW w:w="880" w:type="dxa"/>
            <w:vAlign w:val="bottom"/>
          </w:tcPr>
          <w:p>
            <w:pPr>
              <w:jc w:val="right"/>
              <w:ind w:right="268"/>
              <w:spacing w:after="0" w:line="156" w:lineRule="exact"/>
              <w:rPr>
                <w:sz w:val="20"/>
                <w:szCs w:val="20"/>
                <w:color w:val="auto"/>
              </w:rPr>
            </w:pPr>
            <w:r>
              <w:rPr>
                <w:rFonts w:ascii="Arial" w:cs="Arial" w:eastAsia="Arial" w:hAnsi="Arial"/>
                <w:sz w:val="14"/>
                <w:szCs w:val="14"/>
                <w:color w:val="auto"/>
              </w:rPr>
              <w:t>Total</w:t>
            </w:r>
            <w:r>
              <w:rPr>
                <w:rFonts w:ascii="Arial" w:cs="Arial" w:eastAsia="Arial" w:hAnsi="Arial"/>
                <w:sz w:val="18"/>
                <w:szCs w:val="18"/>
                <w:color w:val="auto"/>
                <w:vertAlign w:val="superscript"/>
              </w:rPr>
              <w:t>(1)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52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5960" w:type="dxa"/>
            <w:vAlign w:val="bottom"/>
            <w:gridSpan w:val="3"/>
          </w:tcPr>
          <w:p>
            <w:pPr>
              <w:spacing w:after="0"/>
              <w:rPr>
                <w:sz w:val="20"/>
                <w:szCs w:val="20"/>
                <w:color w:val="auto"/>
              </w:rPr>
            </w:pPr>
            <w:r>
              <w:rPr>
                <w:rFonts w:ascii="Arial" w:cs="Arial" w:eastAsia="Arial" w:hAnsi="Arial"/>
                <w:sz w:val="14"/>
                <w:szCs w:val="14"/>
                <w:color w:val="auto"/>
              </w:rPr>
              <w:t>Segment revenue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1,505</w:t>
            </w:r>
          </w:p>
        </w:tc>
      </w:tr>
      <w:tr>
        <w:trPr>
          <w:trHeight w:val="98"/>
        </w:trPr>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98"/>
        </w:trPr>
        <w:tc>
          <w:tcPr>
            <w:tcW w:w="20" w:type="dxa"/>
            <w:vAlign w:val="bottom"/>
          </w:tcPr>
          <w:p>
            <w:pPr>
              <w:spacing w:after="0"/>
              <w:rPr>
                <w:sz w:val="17"/>
                <w:szCs w:val="17"/>
                <w:color w:val="auto"/>
              </w:rPr>
            </w:pPr>
          </w:p>
        </w:tc>
        <w:tc>
          <w:tcPr>
            <w:tcW w:w="5960" w:type="dxa"/>
            <w:vAlign w:val="bottom"/>
            <w:gridSpan w:val="3"/>
          </w:tcPr>
          <w:p>
            <w:pPr>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Wages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r>
      <w:tr>
        <w:trPr>
          <w:trHeight w:val="198"/>
        </w:trPr>
        <w:tc>
          <w:tcPr>
            <w:tcW w:w="20" w:type="dxa"/>
            <w:vAlign w:val="bottom"/>
          </w:tcPr>
          <w:p>
            <w:pPr>
              <w:spacing w:after="0"/>
              <w:rPr>
                <w:sz w:val="17"/>
                <w:szCs w:val="17"/>
                <w:color w:val="auto"/>
              </w:rPr>
            </w:pPr>
          </w:p>
        </w:tc>
        <w:tc>
          <w:tcPr>
            <w:tcW w:w="5960" w:type="dxa"/>
            <w:vAlign w:val="bottom"/>
            <w:gridSpan w:val="3"/>
          </w:tcPr>
          <w:p>
            <w:pPr>
              <w:ind w:left="340"/>
              <w:spacing w:after="0"/>
              <w:rPr>
                <w:sz w:val="20"/>
                <w:szCs w:val="20"/>
                <w:color w:val="auto"/>
              </w:rPr>
            </w:pPr>
            <w:r>
              <w:rPr>
                <w:rFonts w:ascii="Arial" w:cs="Arial" w:eastAsia="Arial" w:hAnsi="Arial"/>
                <w:sz w:val="14"/>
                <w:szCs w:val="14"/>
                <w:color w:val="auto"/>
              </w:rPr>
              <w:t>Services and supplies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352</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Rent lease and maintenance expense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198"/>
        </w:trPr>
        <w:tc>
          <w:tcPr>
            <w:tcW w:w="20" w:type="dxa"/>
            <w:vAlign w:val="bottom"/>
          </w:tcPr>
          <w:p>
            <w:pPr>
              <w:spacing w:after="0"/>
              <w:rPr>
                <w:sz w:val="17"/>
                <w:szCs w:val="17"/>
                <w:color w:val="auto"/>
              </w:rPr>
            </w:pPr>
          </w:p>
        </w:tc>
        <w:tc>
          <w:tcPr>
            <w:tcW w:w="5960" w:type="dxa"/>
            <w:vAlign w:val="bottom"/>
            <w:gridSpan w:val="3"/>
          </w:tcPr>
          <w:p>
            <w:pPr>
              <w:ind w:left="340"/>
              <w:spacing w:after="0"/>
              <w:rPr>
                <w:sz w:val="20"/>
                <w:szCs w:val="20"/>
                <w:color w:val="auto"/>
              </w:rPr>
            </w:pPr>
            <w:r>
              <w:rPr>
                <w:rFonts w:ascii="Arial" w:cs="Arial" w:eastAsia="Arial" w:hAnsi="Arial"/>
                <w:sz w:val="14"/>
                <w:szCs w:val="14"/>
                <w:color w:val="auto"/>
              </w:rPr>
              <w:t>Other operating expense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92"/>
        </w:trPr>
        <w:tc>
          <w:tcPr>
            <w:tcW w:w="2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Segment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r>
      <w:tr>
        <w:trPr>
          <w:trHeight w:val="79"/>
        </w:trPr>
        <w:tc>
          <w:tcPr>
            <w:tcW w:w="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198"/>
        </w:trPr>
        <w:tc>
          <w:tcPr>
            <w:tcW w:w="20" w:type="dxa"/>
            <w:vAlign w:val="bottom"/>
          </w:tcPr>
          <w:p>
            <w:pPr>
              <w:spacing w:after="0"/>
              <w:rPr>
                <w:sz w:val="17"/>
                <w:szCs w:val="17"/>
                <w:color w:val="auto"/>
              </w:rPr>
            </w:pPr>
          </w:p>
        </w:tc>
        <w:tc>
          <w:tcPr>
            <w:tcW w:w="5960" w:type="dxa"/>
            <w:vAlign w:val="bottom"/>
            <w:gridSpan w:val="3"/>
          </w:tcPr>
          <w:p>
            <w:pPr>
              <w:spacing w:after="0"/>
              <w:rPr>
                <w:sz w:val="20"/>
                <w:szCs w:val="20"/>
                <w:color w:val="auto"/>
              </w:rPr>
            </w:pPr>
            <w:r>
              <w:rPr>
                <w:rFonts w:ascii="Arial" w:cs="Arial" w:eastAsia="Arial" w:hAnsi="Arial"/>
                <w:sz w:val="14"/>
                <w:szCs w:val="14"/>
                <w:color w:val="auto"/>
              </w:rPr>
              <w:t>Segment profit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98"/>
        </w:trPr>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98"/>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2024</w:t>
            </w:r>
          </w:p>
        </w:tc>
        <w:tc>
          <w:tcPr>
            <w:tcW w:w="5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r>
      <w:tr>
        <w:trPr>
          <w:trHeight w:val="94"/>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Expenses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960" w:type="dxa"/>
            <w:vAlign w:val="bottom"/>
            <w:gridSpan w:val="3"/>
          </w:tcPr>
          <w:p>
            <w:pPr>
              <w:ind w:left="340"/>
              <w:spacing w:after="0"/>
              <w:rPr>
                <w:sz w:val="20"/>
                <w:szCs w:val="20"/>
                <w:color w:val="auto"/>
              </w:rPr>
            </w:pPr>
            <w:r>
              <w:rPr>
                <w:rFonts w:ascii="Arial" w:cs="Arial" w:eastAsia="Arial" w:hAnsi="Arial"/>
                <w:sz w:val="14"/>
                <w:szCs w:val="14"/>
                <w:color w:val="auto"/>
              </w:rPr>
              <w:t>Wages and benefits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893</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Services and supplies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r>
      <w:tr>
        <w:trPr>
          <w:trHeight w:val="198"/>
        </w:trPr>
        <w:tc>
          <w:tcPr>
            <w:tcW w:w="20" w:type="dxa"/>
            <w:vAlign w:val="bottom"/>
          </w:tcPr>
          <w:p>
            <w:pPr>
              <w:spacing w:after="0"/>
              <w:rPr>
                <w:sz w:val="17"/>
                <w:szCs w:val="17"/>
                <w:color w:val="auto"/>
              </w:rPr>
            </w:pPr>
          </w:p>
        </w:tc>
        <w:tc>
          <w:tcPr>
            <w:tcW w:w="5960" w:type="dxa"/>
            <w:vAlign w:val="bottom"/>
            <w:gridSpan w:val="3"/>
          </w:tcPr>
          <w:p>
            <w:pPr>
              <w:ind w:left="340"/>
              <w:spacing w:after="0"/>
              <w:rPr>
                <w:sz w:val="20"/>
                <w:szCs w:val="20"/>
                <w:color w:val="auto"/>
              </w:rPr>
            </w:pPr>
            <w:r>
              <w:rPr>
                <w:rFonts w:ascii="Arial" w:cs="Arial" w:eastAsia="Arial" w:hAnsi="Arial"/>
                <w:sz w:val="14"/>
                <w:szCs w:val="14"/>
                <w:color w:val="auto"/>
              </w:rPr>
              <w:t>Rent lease and maintenance expense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operating expense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20" w:type="dxa"/>
            <w:vAlign w:val="bottom"/>
            <w:tcBorders>
              <w:bottom w:val="single" w:sz="8" w:color="CCEEFF"/>
            </w:tcBorders>
          </w:tcPr>
          <w:p>
            <w:pPr>
              <w:spacing w:after="0"/>
              <w:rPr>
                <w:sz w:val="17"/>
                <w:szCs w:val="17"/>
                <w:color w:val="auto"/>
              </w:rPr>
            </w:pPr>
          </w:p>
        </w:tc>
        <w:tc>
          <w:tcPr>
            <w:tcW w:w="596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196"/>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1,491</w:t>
            </w:r>
          </w:p>
        </w:tc>
      </w:tr>
      <w:tr>
        <w:trPr>
          <w:trHeight w:val="78"/>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316"/>
        </w:trPr>
        <w:tc>
          <w:tcPr>
            <w:tcW w:w="5860" w:type="dxa"/>
            <w:vAlign w:val="bottom"/>
            <w:gridSpan w:val="3"/>
          </w:tcPr>
          <w:p>
            <w:pPr>
              <w:spacing w:after="0"/>
              <w:rPr>
                <w:sz w:val="20"/>
                <w:szCs w:val="20"/>
                <w:color w:val="auto"/>
              </w:rPr>
            </w:pPr>
            <w:r>
              <w:rPr>
                <w:rFonts w:ascii="Arial" w:cs="Arial" w:eastAsia="Arial" w:hAnsi="Arial"/>
                <w:sz w:val="14"/>
                <w:szCs w:val="14"/>
                <w:color w:val="auto"/>
              </w:rPr>
              <w:t>__________</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1"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Total excludes Divestitures and Unallocated Costs.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 shown above is primarily comprised of third-party legal fees and other miscellaneous expenses.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Segment profit (loss) to Income (loss) before income taxes: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00" w:type="dxa"/>
            <w:vAlign w:val="bottom"/>
            <w:gridSpan w:val="4"/>
          </w:tcPr>
          <w:p>
            <w:pPr>
              <w:jc w:val="right"/>
              <w:ind w:right="608"/>
              <w:spacing w:after="0"/>
              <w:rPr>
                <w:sz w:val="20"/>
                <w:szCs w:val="20"/>
                <w:color w:val="auto"/>
              </w:rPr>
            </w:pPr>
            <w:r>
              <w:rPr>
                <w:rFonts w:ascii="Arial" w:cs="Arial" w:eastAsia="Arial" w:hAnsi="Arial"/>
                <w:sz w:val="14"/>
                <w:szCs w:val="14"/>
                <w:color w:val="auto"/>
              </w:rPr>
              <w:t>Six Months Ended</w:t>
            </w: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18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9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62"/>
        </w:trPr>
        <w:tc>
          <w:tcPr>
            <w:tcW w:w="20" w:type="dxa"/>
            <w:vAlign w:val="bottom"/>
          </w:tcPr>
          <w:p>
            <w:pPr>
              <w:spacing w:after="0"/>
              <w:rPr>
                <w:sz w:val="14"/>
                <w:szCs w:val="14"/>
                <w:color w:val="auto"/>
              </w:rPr>
            </w:pPr>
          </w:p>
        </w:tc>
        <w:tc>
          <w:tcPr>
            <w:tcW w:w="6180" w:type="dxa"/>
            <w:vAlign w:val="bottom"/>
            <w:gridSpan w:val="3"/>
          </w:tcPr>
          <w:p>
            <w:pPr>
              <w:spacing w:after="0"/>
              <w:rPr>
                <w:sz w:val="20"/>
                <w:szCs w:val="20"/>
                <w:color w:val="auto"/>
              </w:rPr>
            </w:pPr>
            <w:r>
              <w:rPr>
                <w:rFonts w:ascii="Arial" w:cs="Arial" w:eastAsia="Arial" w:hAnsi="Arial"/>
                <w:sz w:val="14"/>
                <w:szCs w:val="14"/>
                <w:color w:val="auto"/>
              </w:rPr>
              <w:t>Reconciling items: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4"/>
                <w:szCs w:val="14"/>
                <w:color w:val="auto"/>
              </w:rPr>
              <w:t>Divestitures profit</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03"/>
        </w:trPr>
        <w:tc>
          <w:tcPr>
            <w:tcW w:w="20" w:type="dxa"/>
            <w:vAlign w:val="bottom"/>
          </w:tcPr>
          <w:p>
            <w:pPr>
              <w:spacing w:after="0"/>
              <w:rPr>
                <w:sz w:val="17"/>
                <w:szCs w:val="17"/>
                <w:color w:val="auto"/>
              </w:rPr>
            </w:pPr>
          </w:p>
        </w:tc>
        <w:tc>
          <w:tcPr>
            <w:tcW w:w="6180" w:type="dxa"/>
            <w:vAlign w:val="bottom"/>
            <w:gridSpan w:val="3"/>
          </w:tcPr>
          <w:p>
            <w:pPr>
              <w:ind w:left="120"/>
              <w:spacing w:after="0" w:line="202" w:lineRule="exact"/>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(2)</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8"/>
        </w:trPr>
        <w:tc>
          <w:tcPr>
            <w:tcW w:w="20" w:type="dxa"/>
            <w:vAlign w:val="bottom"/>
          </w:tcPr>
          <w:p>
            <w:pPr>
              <w:spacing w:after="0"/>
              <w:rPr>
                <w:sz w:val="17"/>
                <w:szCs w:val="17"/>
                <w:color w:val="auto"/>
              </w:rPr>
            </w:pPr>
          </w:p>
        </w:tc>
        <w:tc>
          <w:tcPr>
            <w:tcW w:w="6180" w:type="dxa"/>
            <w:vAlign w:val="bottom"/>
            <w:gridSpan w:val="3"/>
          </w:tcPr>
          <w:p>
            <w:pPr>
              <w:ind w:left="12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98"/>
        </w:trPr>
        <w:tc>
          <w:tcPr>
            <w:tcW w:w="20" w:type="dxa"/>
            <w:vAlign w:val="bottom"/>
          </w:tcPr>
          <w:p>
            <w:pPr>
              <w:spacing w:after="0"/>
              <w:rPr>
                <w:sz w:val="17"/>
                <w:szCs w:val="17"/>
                <w:color w:val="auto"/>
              </w:rPr>
            </w:pPr>
          </w:p>
        </w:tc>
        <w:tc>
          <w:tcPr>
            <w:tcW w:w="6180" w:type="dxa"/>
            <w:vAlign w:val="bottom"/>
            <w:gridSpan w:val="3"/>
          </w:tcPr>
          <w:p>
            <w:pPr>
              <w:ind w:left="1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Gain (loss) on divestitures and transaction costs,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r>
      <w:tr>
        <w:trPr>
          <w:trHeight w:val="198"/>
        </w:trPr>
        <w:tc>
          <w:tcPr>
            <w:tcW w:w="20" w:type="dxa"/>
            <w:vAlign w:val="bottom"/>
          </w:tcPr>
          <w:p>
            <w:pPr>
              <w:spacing w:after="0"/>
              <w:rPr>
                <w:sz w:val="17"/>
                <w:szCs w:val="17"/>
                <w:color w:val="auto"/>
              </w:rPr>
            </w:pPr>
          </w:p>
        </w:tc>
        <w:tc>
          <w:tcPr>
            <w:tcW w:w="6180" w:type="dxa"/>
            <w:vAlign w:val="bottom"/>
            <w:gridSpan w:val="3"/>
          </w:tcPr>
          <w:p>
            <w:pPr>
              <w:ind w:left="120"/>
              <w:spacing w:after="0"/>
              <w:rPr>
                <w:sz w:val="20"/>
                <w:szCs w:val="20"/>
                <w:color w:val="auto"/>
              </w:rPr>
            </w:pPr>
            <w:r>
              <w:rPr>
                <w:rFonts w:ascii="Arial" w:cs="Arial" w:eastAsia="Arial" w:hAnsi="Arial"/>
                <w:sz w:val="14"/>
                <w:szCs w:val="14"/>
                <w:color w:val="auto"/>
              </w:rPr>
              <w:t>Litigation (settlements) recoveries, net</w:t>
            </w:r>
          </w:p>
        </w:tc>
        <w:tc>
          <w:tcPr>
            <w:tcW w:w="2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0"/>
        </w:trPr>
        <w:tc>
          <w:tcPr>
            <w:tcW w:w="20" w:type="dxa"/>
            <w:vAlign w:val="bottom"/>
          </w:tcPr>
          <w:p>
            <w:pPr>
              <w:spacing w:after="0"/>
              <w:rPr>
                <w:sz w:val="17"/>
                <w:szCs w:val="17"/>
                <w:color w:val="auto"/>
              </w:rPr>
            </w:pPr>
          </w:p>
        </w:tc>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Divestitures profit is Income (loss) before income taxes excluding certain non-operating income and expenses.</w:t>
      </w:r>
    </w:p>
    <w:p>
      <w:pPr>
        <w:spacing w:after="0" w:line="39" w:lineRule="exact"/>
        <w:rPr>
          <w:rFonts w:ascii="Arial" w:cs="Arial" w:eastAsia="Arial" w:hAnsi="Arial"/>
          <w:sz w:val="19"/>
          <w:szCs w:val="19"/>
          <w:i w:val="1"/>
          <w:iCs w:val="1"/>
          <w:color w:val="auto"/>
          <w:vertAlign w:val="superscript"/>
        </w:rPr>
      </w:pPr>
    </w:p>
    <w:p>
      <w:pPr>
        <w:ind w:left="340" w:right="20" w:hanging="332"/>
        <w:spacing w:after="0" w:line="272" w:lineRule="auto"/>
        <w:tabs>
          <w:tab w:leader="none" w:pos="234" w:val="left"/>
        </w:tabs>
        <w:numPr>
          <w:ilvl w:val="0"/>
          <w:numId w:val="10"/>
        </w:numPr>
        <w:rPr>
          <w:rFonts w:ascii="Arial" w:cs="Arial" w:eastAsia="Arial" w:hAnsi="Arial"/>
          <w:sz w:val="9"/>
          <w:szCs w:val="9"/>
          <w:i w:val="1"/>
          <w:iCs w:val="1"/>
          <w:color w:val="auto"/>
        </w:rPr>
      </w:pPr>
      <w:r>
        <w:rPr>
          <w:rFonts w:ascii="Arial" w:cs="Arial" w:eastAsia="Arial" w:hAnsi="Arial"/>
          <w:sz w:val="14"/>
          <w:szCs w:val="14"/>
          <w:i w:val="1"/>
          <w:iCs w:val="1"/>
          <w:color w:val="auto"/>
        </w:rPr>
        <w:t>Unallocated Costs includes IT infrastructure costs that are shared by multiple reportable segments, enterprise application costs and certain corporate overhead expenses not directly attributable or allocated to the reportable segments. Included in the three and six months ended June 30, 2025 periods are $0 million and $25 million, respectively, of Direct response costs related to the January 2025 Cyber Incident as well as a $0 million and $9 million, respectively, insurance recovery related to the 2019 Texas Matter.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Note 5 – Divestitures</w:t>
      </w:r>
    </w:p>
    <w:p>
      <w:pPr>
        <w:spacing w:after="0" w:line="16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Company entered into various agreements to transfer or sell certain portfolios and businesses in 2024. Each of these transactions is described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 of Casualty Claims Solutions Business</w:t>
      </w:r>
    </w:p>
    <w:p>
      <w:pPr>
        <w:spacing w:after="0" w:line="171"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On May 3, 2024, the Company entered into a definitive agreement to sell the Company’s Casualty Claims Solutions business (collectively referred to as the "Casualty Disposal Group") to MedRisk, Inc. ("MedRisk"). On September 1, 2024, the sale was completed and MedRisk paid Conduent $224 million of cash consideration, subject to certain post-closing adjustments. These adjustments were finalized in the first quarter of 2025 and were not material.</w:t>
      </w:r>
    </w:p>
    <w:p>
      <w:pPr>
        <w:spacing w:after="0" w:line="12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Company recorded a gain on the sale of $194 million, less costs to sell of $8 million, which was recorded in Gain (loss) on divestitures and transaction costs. Additionally, the Company recorded $33 million of income tax expense related to the divestiture.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Casualty Disposal Group generated revenue and income (loss) before income taxes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60" w:type="dxa"/>
            <w:vAlign w:val="bottom"/>
            <w:gridSpan w:val="4"/>
          </w:tcPr>
          <w:p>
            <w:pPr>
              <w:jc w:val="right"/>
              <w:ind w:right="268"/>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4"/>
          </w:tcPr>
          <w:p>
            <w:pPr>
              <w:jc w:val="center"/>
              <w:ind w:right="248"/>
              <w:spacing w:after="0"/>
              <w:rPr>
                <w:sz w:val="20"/>
                <w:szCs w:val="20"/>
                <w:color w:val="auto"/>
              </w:rPr>
            </w:pPr>
            <w:r>
              <w:rPr>
                <w:rFonts w:ascii="Arial" w:cs="Arial" w:eastAsia="Arial" w:hAnsi="Arial"/>
                <w:sz w:val="14"/>
                <w:szCs w:val="14"/>
                <w:color w:val="auto"/>
              </w:rPr>
              <w:t>Six Months Ended</w:t>
            </w: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9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2025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2024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194"/>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Income (loss) before income taxes</w:t>
            </w:r>
          </w:p>
        </w:tc>
        <w:tc>
          <w:tcPr>
            <w:tcW w:w="94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 of Curbside Management and Public Safety Solutions Businesses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December 2023, the Company signed a definitive agreement to sell its Curbside Management and Public Safety Solutions businesses (collectively referred to as the "Curbside Disposal Group") to Modaxo, a division of Constellation Software Inc. ("Modaxo"), for $230 million (plus the assumption of certain indebtedness), subject to customary purchase price adjustments.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April 30, 2024, Conduent completed the sale of this business. The Company received $181 million of cash consideration and a $50 million non-interest bearing note payable to the Company that was due and paid on April 30, 2025. Additionally, the Company received reimbursement for payments made by the Company related to finance lease liabilities and related costs and reimbursement for the purchase of certain equipment made by the Company on the buyer's behalf. In 2024, the Company recorded a gain on the sale of $103 million less costs to sell of $5 million, which was recorded in Gain (loss) on divestitures and transaction costs. The Company recorded $28 million of income tax expense in connection with the divestiture.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Curbside Disposal Group generated revenue and income (loss) before income taxes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60" w:type="dxa"/>
            <w:vAlign w:val="bottom"/>
            <w:gridSpan w:val="4"/>
          </w:tcPr>
          <w:p>
            <w:pPr>
              <w:jc w:val="right"/>
              <w:ind w:right="268"/>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4"/>
          </w:tcPr>
          <w:p>
            <w:pPr>
              <w:jc w:val="center"/>
              <w:ind w:right="248"/>
              <w:spacing w:after="0"/>
              <w:rPr>
                <w:sz w:val="20"/>
                <w:szCs w:val="20"/>
                <w:color w:val="auto"/>
              </w:rPr>
            </w:pPr>
            <w:r>
              <w:rPr>
                <w:rFonts w:ascii="Arial" w:cs="Arial" w:eastAsia="Arial" w:hAnsi="Arial"/>
                <w:sz w:val="14"/>
                <w:szCs w:val="14"/>
                <w:color w:val="auto"/>
              </w:rPr>
              <w:t>Six Months Ended</w:t>
            </w: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9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2025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2024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94"/>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Income (loss) before income taxes</w:t>
            </w:r>
          </w:p>
        </w:tc>
        <w:tc>
          <w:tcPr>
            <w:tcW w:w="94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Transfer of BenefitWallet Portfolio</w:t>
      </w:r>
    </w:p>
    <w:p>
      <w:pPr>
        <w:spacing w:after="0" w:line="171" w:lineRule="exact"/>
        <w:rPr>
          <w:sz w:val="20"/>
          <w:szCs w:val="20"/>
          <w:color w:val="auto"/>
        </w:rPr>
      </w:pPr>
    </w:p>
    <w:p>
      <w:pPr>
        <w:jc w:val="both"/>
        <w:ind w:right="540"/>
        <w:spacing w:after="0" w:line="268" w:lineRule="auto"/>
        <w:rPr>
          <w:sz w:val="20"/>
          <w:szCs w:val="20"/>
          <w:color w:val="auto"/>
        </w:rPr>
      </w:pPr>
      <w:r>
        <w:rPr>
          <w:rFonts w:ascii="Arial" w:cs="Arial" w:eastAsia="Arial" w:hAnsi="Arial"/>
          <w:sz w:val="18"/>
          <w:szCs w:val="18"/>
          <w:color w:val="auto"/>
        </w:rPr>
        <w:t>In September 2023, the Company entered into a Custodial Transfer and Asset Purchase Agreement to transfer its BenefitWallet health savings account and medical savings account portfolio (collectively, the "BenefitWallet Portfolio") to HealthEquity, Inc. for an aggregate purchase price of $425 million, subject to customary purchase price adjustments.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BenefitWallet transfer closed in multiple tranches from March to May 2024 and the Company received total aggregate cash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consideration of $425 million as the tranches closed. The Company recorded a gain on the transfer of $425 million, less costs to sell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 million. Additionally, the Company recorded $102 million of income tax expense in connection with the transfer of the BenefitWallet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Portfolio. The cash consideration and gain on the transfer of the BenefitWallet Portfolio recorded in the second quarter of 2024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$261 million and $261 million, respectively. The Company recorded $63 million of income tax expense in connection with the transfer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BenefitWallet Portfolio in the second quarter of 2024.</w:t>
      </w:r>
    </w:p>
    <w:p>
      <w:pPr>
        <w:spacing w:after="0" w:line="200" w:lineRule="exact"/>
        <w:rPr>
          <w:sz w:val="20"/>
          <w:szCs w:val="20"/>
          <w:color w:val="auto"/>
        </w:rPr>
      </w:pPr>
    </w:p>
    <w:p>
      <w:pPr>
        <w:spacing w:after="0" w:line="36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BenefitWallet Portfolio generated revenue and income (loss) before income taxes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400" w:type="dxa"/>
            <w:vAlign w:val="bottom"/>
            <w:gridSpan w:val="4"/>
          </w:tcPr>
          <w:p>
            <w:pPr>
              <w:jc w:val="right"/>
              <w:ind w:right="308"/>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4"/>
          </w:tcPr>
          <w:p>
            <w:pPr>
              <w:jc w:val="right"/>
              <w:ind w:right="368"/>
              <w:spacing w:after="0"/>
              <w:rPr>
                <w:sz w:val="20"/>
                <w:szCs w:val="20"/>
                <w:color w:val="auto"/>
              </w:rPr>
            </w:pPr>
            <w:r>
              <w:rPr>
                <w:rFonts w:ascii="Arial" w:cs="Arial" w:eastAsia="Arial" w:hAnsi="Arial"/>
                <w:sz w:val="14"/>
                <w:szCs w:val="14"/>
                <w:color w:val="auto"/>
              </w:rPr>
              <w:t>Six Months Ended</w:t>
            </w:r>
          </w:p>
        </w:tc>
        <w:tc>
          <w:tcPr>
            <w:tcW w:w="36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June 30,</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June 30,</w:t>
            </w:r>
          </w:p>
        </w:tc>
        <w:tc>
          <w:tcPr>
            <w:tcW w:w="36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9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2025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2024</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2025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2024</w:t>
            </w:r>
          </w:p>
        </w:tc>
        <w:tc>
          <w:tcPr>
            <w:tcW w:w="360" w:type="dxa"/>
            <w:vAlign w:val="bottom"/>
          </w:tcPr>
          <w:p>
            <w:pPr>
              <w:spacing w:after="0"/>
              <w:rPr>
                <w:sz w:val="13"/>
                <w:szCs w:val="13"/>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94"/>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Income (loss) before income taxes</w:t>
            </w:r>
          </w:p>
        </w:tc>
        <w:tc>
          <w:tcPr>
            <w:tcW w:w="94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Restructuring Programs and Related Costs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engages in a series of restructuring programs related to exiting certain activities, downsizing its employee base,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("ROU") asset impairments and other related costs. Also included in Restructuring and related costs are incremental, non-recurring costs related to the consolidation of the Company's data centers, which totaled $0 million and $2 million for the three months ended June 30, 2025 and 2024, respectively, and $0 million and $4 million for the six months ended June 30, 2025 and 2024,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the Company's real estate footprint include impairment of operating lease ROU assets and associated leasehold improvements.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six months ended June 30, 2025 and 2024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Costs</w:t>
            </w:r>
            <w:r>
              <w:rPr>
                <w:rFonts w:ascii="Arial" w:cs="Arial" w:eastAsia="Arial" w:hAnsi="Arial"/>
                <w:sz w:val="17"/>
                <w:szCs w:val="17"/>
                <w:color w:val="auto"/>
                <w:w w:val="96"/>
                <w:vertAlign w:val="superscript"/>
              </w:rPr>
              <w:t>(2)</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2024</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3"/>
          </w:tcPr>
          <w:p>
            <w:pPr>
              <w:spacing w:after="0" w:line="196"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June 30, 2025</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22"/>
                <w:szCs w:val="22"/>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22"/>
                <w:szCs w:val="2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22"/>
                <w:szCs w:val="22"/>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29" w:lineRule="exact"/>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500"/>
              <w:spacing w:after="0" w:line="129"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2"/>
          </w:tcPr>
          <w:p>
            <w:pPr>
              <w:jc w:val="center"/>
              <w:ind w:right="240"/>
              <w:spacing w:after="0" w:line="129" w:lineRule="exact"/>
              <w:rPr>
                <w:sz w:val="20"/>
                <w:szCs w:val="20"/>
                <w:color w:val="auto"/>
              </w:rPr>
            </w:pPr>
            <w:r>
              <w:rPr>
                <w:rFonts w:ascii="Arial" w:cs="Arial" w:eastAsia="Arial" w:hAnsi="Arial"/>
                <w:sz w:val="11"/>
                <w:szCs w:val="11"/>
                <w:color w:val="auto"/>
              </w:rPr>
              <w:t>Costs</w:t>
            </w:r>
            <w:r>
              <w:rPr>
                <w:rFonts w:ascii="Arial" w:cs="Arial" w:eastAsia="Arial" w:hAnsi="Arial"/>
                <w:sz w:val="14"/>
                <w:szCs w:val="14"/>
                <w:color w:val="auto"/>
                <w:vertAlign w:val="superscript"/>
              </w:rPr>
              <w:t>(2)</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2023</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line="200"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June 30, 2024</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amounts recognized within the Condensed Consolidated Statements of Income (Loss) for the years shown.</w:t>
      </w:r>
    </w:p>
    <w:p>
      <w:pPr>
        <w:spacing w:after="0" w:line="55" w:lineRule="exact"/>
        <w:rPr>
          <w:rFonts w:ascii="Arial" w:cs="Arial" w:eastAsia="Arial" w:hAnsi="Arial"/>
          <w:sz w:val="14"/>
          <w:szCs w:val="14"/>
          <w:i w:val="1"/>
          <w:iCs w:val="1"/>
          <w:color w:val="auto"/>
        </w:rPr>
      </w:pPr>
    </w:p>
    <w:p>
      <w:pPr>
        <w:ind w:left="340" w:right="560" w:hanging="332"/>
        <w:spacing w:after="0" w:line="302" w:lineRule="auto"/>
        <w:tabs>
          <w:tab w:leader="none" w:pos="327"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During the six months ended June 30, 2024, the Company incurred $2 million of costs for bringing certain technology functions in-house. There were no such costs incurred in the six months ended June 30, 2025. These costs are included in the above table in Termination and other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 restructuring and related costs are allocated to the segments.</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June 30, 2025</w:t>
            </w:r>
          </w:p>
        </w:tc>
        <w:tc>
          <w:tcPr>
            <w:tcW w:w="180" w:type="dxa"/>
            <w:vAlign w:val="bottom"/>
          </w:tcPr>
          <w:p>
            <w:pPr>
              <w:spacing w:after="0"/>
              <w:rPr>
                <w:sz w:val="14"/>
                <w:szCs w:val="14"/>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2026</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Senior notes due 2029</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520</w:t>
            </w:r>
          </w:p>
        </w:tc>
      </w:tr>
      <w:tr>
        <w:trPr>
          <w:trHeight w:val="207"/>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 obligations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r>
      <w:tr>
        <w:trPr>
          <w:trHeight w:val="198"/>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r>
      <w:tr>
        <w:trPr>
          <w:trHeight w:val="200"/>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Principal debt balance</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646</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Debt issuance costs and unamortized discounts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current maturities</w:t>
            </w: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Long-term Debt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615</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June 30, 2025, the Company had no outstanding borrowings under its $550 million revolving credit facility (the "Revolver"). Additionally, the Company utilized $10 million of the Revolver to issue letters of credit as of June 30, 2025. The net Revolver available to be drawn upon as of June 30, 2025 was $540 million.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voluntary prepayments of the Term Loan B made in 2024, the Company wrote-off related debt issuance costs of $ 3 million and $5 million, which is included in Loss on extinguishment of debt in the Condensed Consolidated Statements of Income (Loss) for the three and six months ended June 30, 2024,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2025, the Company was in compliance with all debt covenants related to the borrowings in the table above.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Financial Instruments</w:t>
      </w:r>
    </w:p>
    <w:p>
      <w:pPr>
        <w:spacing w:after="0" w:line="16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1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June 30, 2025 and December 31, 2024, the Company had outstanding forward exchange contracts with gross notional values of $208 million and $203 million, respectively. At June 30, 2025, approximately 78% of these contracts mature within three months, 8% in three to six months, 10% in six to twelve months and 4% in greater than twelve months. Most of these foreign currency derivative contracts are designated as cash flow hedges and did not have a material impact on the Company's condensed consolidated balance sheet, income statement or cash flows for the periods presented.</w:t>
      </w:r>
    </w:p>
    <w:p>
      <w:pPr>
        <w:spacing w:after="0" w:line="12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Refer to Note 9 – Fair Value of Financial Assets and Liabilities for additional information regarding the fair value of the Company's foreign exchange forward contracts.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Fair Value of Financial Assets and Liabilities</w:t>
      </w:r>
    </w:p>
    <w:p>
      <w:pPr>
        <w:spacing w:after="0" w:line="16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500" w:type="dxa"/>
            <w:vAlign w:val="bottom"/>
          </w:tcPr>
          <w:p>
            <w:pPr>
              <w:jc w:val="right"/>
              <w:ind w:right="48"/>
              <w:spacing w:after="0" w:line="159" w:lineRule="exact"/>
              <w:rPr>
                <w:sz w:val="20"/>
                <w:szCs w:val="20"/>
                <w:color w:val="auto"/>
              </w:rPr>
            </w:pPr>
            <w:r>
              <w:rPr>
                <w:rFonts w:ascii="Arial" w:cs="Arial" w:eastAsia="Arial" w:hAnsi="Arial"/>
                <w:sz w:val="14"/>
                <w:szCs w:val="14"/>
                <w:color w:val="auto"/>
              </w:rPr>
              <w:t>June 30, 2025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100"/>
              <w:spacing w:after="0" w:line="159" w:lineRule="exact"/>
              <w:rPr>
                <w:sz w:val="20"/>
                <w:szCs w:val="20"/>
                <w:color w:val="auto"/>
              </w:rPr>
            </w:pPr>
            <w:r>
              <w:rPr>
                <w:rFonts w:ascii="Arial" w:cs="Arial" w:eastAsia="Arial" w:hAnsi="Arial"/>
                <w:sz w:val="14"/>
                <w:szCs w:val="14"/>
                <w:color w:val="auto"/>
              </w:rPr>
              <w:t>December 31, 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contracts - forward</w:t>
            </w:r>
          </w:p>
        </w:tc>
        <w:tc>
          <w:tcPr>
            <w:tcW w:w="1500" w:type="dxa"/>
            <w:vAlign w:val="bottom"/>
            <w:tcBorders>
              <w:bottom w:val="single" w:sz="8" w:color="auto"/>
            </w:tcBorders>
          </w:tcPr>
          <w:p>
            <w:pPr>
              <w:jc w:val="right"/>
              <w:ind w:right="13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ind w:left="1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500" w:type="dxa"/>
            <w:vAlign w:val="bottom"/>
            <w:tcBorders>
              <w:bottom w:val="single" w:sz="8" w:color="auto"/>
            </w:tcBorders>
            <w:shd w:val="clear" w:color="auto" w:fill="CCEEFF"/>
          </w:tcPr>
          <w:p>
            <w:pPr>
              <w:jc w:val="right"/>
              <w:ind w:right="13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2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1500" w:type="dxa"/>
            <w:vAlign w:val="bottom"/>
            <w:tcBorders>
              <w:bottom w:val="single" w:sz="8" w:color="auto"/>
            </w:tcBorders>
            <w:shd w:val="clear" w:color="auto" w:fill="CCEEFF"/>
          </w:tcPr>
          <w:p>
            <w:pPr>
              <w:jc w:val="right"/>
              <w:ind w:right="13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500" w:type="dxa"/>
            <w:vAlign w:val="bottom"/>
          </w:tcPr>
          <w:p>
            <w:pPr>
              <w:jc w:val="right"/>
              <w:ind w:right="132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Pr>
          <w:p>
            <w:pPr>
              <w:ind w:left="14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 2025</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rPr>
              <w:t>December 31, 2024</w:t>
            </w:r>
          </w:p>
        </w:tc>
      </w:tr>
      <w:tr>
        <w:trPr>
          <w:trHeight w:val="15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208"/>
              <w:spacing w:after="0" w:line="151" w:lineRule="exact"/>
              <w:rPr>
                <w:sz w:val="20"/>
                <w:szCs w:val="20"/>
                <w:color w:val="auto"/>
              </w:rPr>
            </w:pPr>
            <w:r>
              <w:rPr>
                <w:rFonts w:ascii="Arial" w:cs="Arial" w:eastAsia="Arial" w:hAnsi="Arial"/>
                <w:sz w:val="14"/>
                <w:szCs w:val="14"/>
                <w:color w:val="auto"/>
              </w:rPr>
              <w:t>Carrying</w:t>
            </w:r>
          </w:p>
        </w:tc>
        <w:tc>
          <w:tcPr>
            <w:tcW w:w="520" w:type="dxa"/>
            <w:vAlign w:val="bottom"/>
          </w:tcPr>
          <w:p>
            <w:pPr>
              <w:spacing w:after="0"/>
              <w:rPr>
                <w:sz w:val="13"/>
                <w:szCs w:val="13"/>
                <w:color w:val="auto"/>
              </w:rPr>
            </w:pPr>
          </w:p>
        </w:tc>
        <w:tc>
          <w:tcPr>
            <w:tcW w:w="980" w:type="dxa"/>
            <w:vAlign w:val="bottom"/>
            <w:gridSpan w:val="2"/>
          </w:tcPr>
          <w:p>
            <w:pPr>
              <w:jc w:val="center"/>
              <w:ind w:right="540"/>
              <w:spacing w:after="0" w:line="151"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3"/>
                <w:szCs w:val="13"/>
                <w:color w:val="auto"/>
              </w:rPr>
            </w:pPr>
          </w:p>
        </w:tc>
        <w:tc>
          <w:tcPr>
            <w:tcW w:w="1120" w:type="dxa"/>
            <w:vAlign w:val="bottom"/>
          </w:tcPr>
          <w:p>
            <w:pPr>
              <w:jc w:val="center"/>
              <w:ind w:right="208"/>
              <w:spacing w:after="0" w:line="151"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3"/>
                <w:szCs w:val="13"/>
                <w:color w:val="auto"/>
              </w:rPr>
            </w:pPr>
          </w:p>
        </w:tc>
        <w:tc>
          <w:tcPr>
            <w:tcW w:w="1040" w:type="dxa"/>
            <w:vAlign w:val="bottom"/>
          </w:tcPr>
          <w:p>
            <w:pPr>
              <w:jc w:val="center"/>
              <w:ind w:right="228"/>
              <w:spacing w:after="0" w:line="151" w:lineRule="exact"/>
              <w:rPr>
                <w:sz w:val="20"/>
                <w:szCs w:val="20"/>
                <w:color w:val="auto"/>
              </w:rPr>
            </w:pPr>
            <w:r>
              <w:rPr>
                <w:rFonts w:ascii="Arial" w:cs="Arial" w:eastAsia="Arial" w:hAnsi="Arial"/>
                <w:sz w:val="14"/>
                <w:szCs w:val="14"/>
                <w:color w:val="auto"/>
              </w:rPr>
              <w:t>Fair</w:t>
            </w:r>
          </w:p>
        </w:tc>
      </w:tr>
      <w:tr>
        <w:trPr>
          <w:trHeight w:val="144"/>
        </w:trPr>
        <w:tc>
          <w:tcPr>
            <w:tcW w:w="20" w:type="dxa"/>
            <w:vAlign w:val="bottom"/>
          </w:tcPr>
          <w:p>
            <w:pPr>
              <w:spacing w:after="0"/>
              <w:rPr>
                <w:sz w:val="12"/>
                <w:szCs w:val="12"/>
                <w:color w:val="auto"/>
              </w:rPr>
            </w:pPr>
          </w:p>
        </w:tc>
        <w:tc>
          <w:tcPr>
            <w:tcW w:w="5600" w:type="dxa"/>
            <w:vAlign w:val="bottom"/>
            <w:gridSpan w:val="2"/>
          </w:tcPr>
          <w:p>
            <w:pPr>
              <w:spacing w:after="0" w:line="124" w:lineRule="exact"/>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2"/>
                <w:szCs w:val="12"/>
                <w:color w:val="auto"/>
              </w:rPr>
            </w:pPr>
          </w:p>
        </w:tc>
        <w:tc>
          <w:tcPr>
            <w:tcW w:w="1100" w:type="dxa"/>
            <w:vAlign w:val="bottom"/>
          </w:tcPr>
          <w:p>
            <w:pPr>
              <w:jc w:val="center"/>
              <w:ind w:right="208"/>
              <w:spacing w:after="0" w:line="125" w:lineRule="exact"/>
              <w:rPr>
                <w:sz w:val="20"/>
                <w:szCs w:val="20"/>
                <w:color w:val="auto"/>
              </w:rPr>
            </w:pPr>
            <w:r>
              <w:rPr>
                <w:rFonts w:ascii="Arial" w:cs="Arial" w:eastAsia="Arial" w:hAnsi="Arial"/>
                <w:sz w:val="14"/>
                <w:szCs w:val="14"/>
                <w:color w:val="auto"/>
              </w:rPr>
              <w:t>Amount</w:t>
            </w:r>
          </w:p>
        </w:tc>
        <w:tc>
          <w:tcPr>
            <w:tcW w:w="520" w:type="dxa"/>
            <w:vAlign w:val="bottom"/>
          </w:tcPr>
          <w:p>
            <w:pPr>
              <w:spacing w:after="0"/>
              <w:rPr>
                <w:sz w:val="12"/>
                <w:szCs w:val="12"/>
                <w:color w:val="auto"/>
              </w:rPr>
            </w:pPr>
          </w:p>
        </w:tc>
        <w:tc>
          <w:tcPr>
            <w:tcW w:w="980" w:type="dxa"/>
            <w:vAlign w:val="bottom"/>
            <w:gridSpan w:val="2"/>
          </w:tcPr>
          <w:p>
            <w:pPr>
              <w:jc w:val="center"/>
              <w:ind w:right="540"/>
              <w:spacing w:after="0" w:line="125" w:lineRule="exact"/>
              <w:rPr>
                <w:sz w:val="20"/>
                <w:szCs w:val="20"/>
                <w:color w:val="auto"/>
              </w:rPr>
            </w:pPr>
            <w:r>
              <w:rPr>
                <w:rFonts w:ascii="Arial" w:cs="Arial" w:eastAsia="Arial" w:hAnsi="Arial"/>
                <w:sz w:val="14"/>
                <w:szCs w:val="14"/>
                <w:color w:val="auto"/>
              </w:rPr>
              <w:t>Value</w:t>
            </w:r>
          </w:p>
        </w:tc>
        <w:tc>
          <w:tcPr>
            <w:tcW w:w="240" w:type="dxa"/>
            <w:vAlign w:val="bottom"/>
          </w:tcPr>
          <w:p>
            <w:pPr>
              <w:spacing w:after="0"/>
              <w:rPr>
                <w:sz w:val="12"/>
                <w:szCs w:val="12"/>
                <w:color w:val="auto"/>
              </w:rPr>
            </w:pPr>
          </w:p>
        </w:tc>
        <w:tc>
          <w:tcPr>
            <w:tcW w:w="1120" w:type="dxa"/>
            <w:vAlign w:val="bottom"/>
          </w:tcPr>
          <w:p>
            <w:pPr>
              <w:jc w:val="center"/>
              <w:ind w:right="208"/>
              <w:spacing w:after="0" w:line="125" w:lineRule="exact"/>
              <w:rPr>
                <w:sz w:val="20"/>
                <w:szCs w:val="20"/>
                <w:color w:val="auto"/>
              </w:rPr>
            </w:pPr>
            <w:r>
              <w:rPr>
                <w:rFonts w:ascii="Arial" w:cs="Arial" w:eastAsia="Arial" w:hAnsi="Arial"/>
                <w:sz w:val="14"/>
                <w:szCs w:val="14"/>
                <w:color w:val="auto"/>
                <w:w w:val="99"/>
              </w:rPr>
              <w:t>Amount</w:t>
            </w:r>
          </w:p>
        </w:tc>
        <w:tc>
          <w:tcPr>
            <w:tcW w:w="360" w:type="dxa"/>
            <w:vAlign w:val="bottom"/>
          </w:tcPr>
          <w:p>
            <w:pPr>
              <w:spacing w:after="0"/>
              <w:rPr>
                <w:sz w:val="12"/>
                <w:szCs w:val="12"/>
                <w:color w:val="auto"/>
              </w:rPr>
            </w:pPr>
          </w:p>
        </w:tc>
        <w:tc>
          <w:tcPr>
            <w:tcW w:w="1040" w:type="dxa"/>
            <w:vAlign w:val="bottom"/>
          </w:tcPr>
          <w:p>
            <w:pPr>
              <w:jc w:val="center"/>
              <w:ind w:right="208"/>
              <w:spacing w:after="0" w:line="125" w:lineRule="exact"/>
              <w:rPr>
                <w:sz w:val="20"/>
                <w:szCs w:val="20"/>
                <w:color w:val="auto"/>
              </w:rPr>
            </w:pPr>
            <w:r>
              <w:rPr>
                <w:rFonts w:ascii="Arial" w:cs="Arial" w:eastAsia="Arial" w:hAnsi="Arial"/>
                <w:sz w:val="14"/>
                <w:szCs w:val="14"/>
                <w:color w:val="auto"/>
              </w:rPr>
              <w:t>Value</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628</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615</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588</w:t>
            </w:r>
          </w:p>
        </w:tc>
      </w:tr>
    </w:tbl>
    <w:p>
      <w:pPr>
        <w:spacing w:after="0" w:line="24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Employee Benefit Plans</w:t>
      </w:r>
    </w:p>
    <w:p>
      <w:pPr>
        <w:spacing w:after="0" w:line="16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 has post-retirement pension, savings and investment plans in several countries, including the U.S., India and the Philippines.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spacing w:after="0" w:line="12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Company recognized an expense related to its defined contribution plans of $2 million and $ 2 million for the three months ended June 30, 2025 and 2024, respectively, and $4 million and $6 million for the six months ended June 30, 2025 and 2024, respectively. The balance sheet and income statement impacts of any remaining defined benefit plans are immaterial for all periods presented in these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Accumulated Other Comprehensive Loss ("AOCL")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0" w:lineRule="exact"/>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00" w:type="dxa"/>
            <w:vAlign w:val="bottom"/>
            <w:gridSpan w:val="2"/>
          </w:tcPr>
          <w:p>
            <w:pPr>
              <w:spacing w:after="0" w:line="124" w:lineRule="exact"/>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25"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right"/>
              <w:ind w:right="160"/>
              <w:spacing w:after="0" w:line="125"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25"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2024</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2025</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21"/>
                <w:szCs w:val="2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right"/>
              <w:ind w:right="160"/>
              <w:spacing w:after="0" w:line="12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2023</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2024</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5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00" w:lineRule="exact"/>
        <w:rPr>
          <w:sz w:val="20"/>
          <w:szCs w:val="20"/>
          <w:color w:val="auto"/>
        </w:rPr>
      </w:pPr>
    </w:p>
    <w:p>
      <w:pPr>
        <w:spacing w:after="0" w:line="21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2025 Form 10-Q</w:t>
      </w:r>
    </w:p>
    <w:p>
      <w:pPr>
        <w:sectPr>
          <w:pgSz w:w="11900" w:h="16838" w:orient="portrait"/>
          <w:cols w:equalWidth="0" w:num="1">
            <w:col w:w="11240"/>
          </w:cols>
          <w:pgMar w:left="320" w:top="156" w:right="3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12 – Contingencies and Litigation</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June 30, 2025. Litigation is inherently unpredictable, and it is not possible to predict the ultimate outcome of these matters.</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Condensed Consolidated Financial position or liquidity. As of June 30, 2025, the Company had accrued its estimate of liability incurred under its indemnification arrangements and guarantees.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1269BC"/>
        </w:rPr>
        <w:t xml:space="preserve">Skyview Capital LLC and Continuum Global Solutions, LLC v. Conduent Business Services, LLC: </w:t>
      </w:r>
      <w:r>
        <w:rPr>
          <w:rFonts w:ascii="Arial" w:cs="Arial" w:eastAsia="Arial" w:hAnsi="Arial"/>
          <w:sz w:val="18"/>
          <w:szCs w:val="18"/>
          <w:color w:val="000000"/>
        </w:rPr>
        <w:t>On February 3, 2020, plaintiffs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Skyview Capital LLC and Continuum Global Solutions LLC (collectively "Skyview") filed a lawsuit in the Supreme Court of the State of New York, County of New York against Conduent Business Services, LLC, a wholly-owned subsidiary of the Company ("CBS"). The lawsuit relates to the sale of a portion of CBS's select standalone customer care call center business to plaintiffs, which sale closed in February 2019. Under the terms of the sale agreement, CBS received approximately $23 million in principal amount of promissory notes from plaintiffs (the "Notes"). The lawsuit alleges various causes of action in connection with the acquisition, including: indemnification for breaches of representations and warranties; indemnification for breaches of covenants; and fraud. Plaintiffs alleged that their obligation to mitigate damages and their contractual right of set-off permitted them to withhold and deduct from any amounts that are owed to CBS under the Notes, and plaintiffs sought a judgment that they had no obligation to pay the Notes. On August 20, 2020, CBS filed counterclaims against Skyview seeking the outstanding balance on the Notes, the amounts owed for operating certain Jamaica-based call centers on plaintiffs' behalf pending closing (the "Jamaica Deferred Closing"), other obligations under a transition services agreement and its amendments (the "TSAs"), and late rent payment obligations. CBS also moved to dismiss Skyview’s claims in 2020. In May 2021, the court denied the motion and allowed the claims to proceed. Fact and expert discovery concluded and the parties filed summary judgment motions in July 2023. On December 8, 2023, the court rendered its decision on the parties’ cross-motions for summary judgment, finding there were certain material issues of fact that required trial on Skyview's fraud claim, and also entering partial summary judgment for each side. On January 5, 2024, CBS filed a notice of appeal with the New York Supreme Court, Appellate Division, First Department ("Appellate Division") with respect to the portion of the ruling that did not grant the summary judgment motion of CBS in its entirety and that granted certain limited relief in favor of Skyview. On January 23, 2024, Skyview filed its own notice of appeal, challenging the decision granting a portion of CBS’s counterclaims.</w:t>
      </w:r>
    </w:p>
    <w:p>
      <w:pPr>
        <w:spacing w:after="0" w:line="13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July 2024, Skyview informed CBS of its intention to sell a portion of its call center business. The parties reached an agreement on August 8, 2024, under which, contemporaneously with the closing of such a transaction, Skyview would pay the outstanding principal plus interest due on the outstanding Notes, fully discharging Skyview's obligations under the Notes, and would pay certain of CBS's litigation costs.</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9" w:name="page20"/>
    <w:bookmarkEnd w:id="1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September 24, 2024, Skyview and the buyer announced a signed and binding asset purchase agreement. Following regulatory review, the transaction closed in December 2024, at which point Skyview paid CBS approximately $33 million, representing all outstanding principal and interest due on the Notes and reimbursement of certain litigation costs. As a result, CBS dismissed its two counterclaims related to the Notes.</w:t>
      </w:r>
    </w:p>
    <w:p>
      <w:pPr>
        <w:spacing w:after="0" w:line="12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May 2025, the Appellate Division heard arguments on the parties’ 2024 cross-appeals and issued a ruling in June 2025, finding predominantly in CBS’s favor. Specifically, the Appellate Division reversed the trial court’s denial of summary judgment as to Skyview’s fraud claim and dismissed such claim in its entirety (along with Skyview’s request for punitive damages). In addition, the Appellate Division reversed the grant of summary judgment to Skyview on its breach of contract claim, finding there to be issues of fact for trial. No trial date has yet been set. With respect to CBS’s counterclaims, the Appellate Division (i) affirmed the grant of summary judgment on the counterclaims concerning the TSAs and late rent payment amounts and (ii) instructed the trial court to hold a hearing to resolve the final amount owed by Skyview to CBS on the Jamaica Deferred Closing counterclaim. The Appellate Division further found that the maximum amount that Skyview would have been entitled to set off against its liability on the Notes was $5 million (the limit set forth in the sale agreement).</w:t>
      </w:r>
    </w:p>
    <w:p>
      <w:pPr>
        <w:spacing w:after="0" w:line="12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trial court accordingly entered judgment on the TSA and late rent payment counterclaims on June 23, 2025, which is pending final entry by the County Clerk.</w:t>
      </w:r>
    </w:p>
    <w:p>
      <w:pPr>
        <w:spacing w:after="0" w:line="9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On July 3, 2025, Skyview filed a motion to reargue the Appellate Division’s decision and, alternatively, for leave to appeal to the New York Court of Appeals.</w:t>
      </w:r>
    </w:p>
    <w:p>
      <w:pPr>
        <w:spacing w:after="0" w:line="99"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CBS continues to deny all of plaintiffs' allegations, believes that it has strong defenses to all of plaintiffs’ claims, and will continue to defend the litigation vigorously. The Company is not able to determine or predict the ultimate outcome of this proceeding or reasonably provide an estimate or range of estimates of the possible outcome or loss, if any, in excess of currently recorded reserves.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contracts, primarily in the Company's Government and Transportation segments, require the Company to provide a surety bond or a letter of credit as a guarantee of performance. As of June 30, 2025, the Company had $566 million of outstanding surety bonds issued to secure its performance of contractual obligations with its clients, and $120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13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Earnings (Loss)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ind w:left="32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300" w:type="dxa"/>
            <w:vAlign w:val="bottom"/>
            <w:gridSpan w:val="4"/>
          </w:tcPr>
          <w:p>
            <w:pPr>
              <w:jc w:val="right"/>
              <w:ind w:right="648"/>
              <w:spacing w:after="0"/>
              <w:rPr>
                <w:sz w:val="20"/>
                <w:szCs w:val="20"/>
                <w:color w:val="auto"/>
              </w:rPr>
            </w:pPr>
            <w:r>
              <w:rPr>
                <w:rFonts w:ascii="Arial" w:cs="Arial" w:eastAsia="Arial" w:hAnsi="Arial"/>
                <w:sz w:val="14"/>
                <w:szCs w:val="14"/>
                <w:color w:val="auto"/>
              </w:rPr>
              <w:t>Six Months Ended</w:t>
            </w:r>
          </w:p>
        </w:tc>
      </w:tr>
      <w:tr>
        <w:trPr>
          <w:trHeight w:val="18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(in millions, except per share data in whole dollars and shares in thousands)</w:t>
            </w:r>
          </w:p>
        </w:tc>
        <w:tc>
          <w:tcPr>
            <w:tcW w:w="260" w:type="dxa"/>
            <w:vAlign w:val="bottom"/>
          </w:tcPr>
          <w:p>
            <w:pPr>
              <w:spacing w:after="0"/>
              <w:rPr>
                <w:sz w:val="13"/>
                <w:szCs w:val="13"/>
                <w:color w:val="auto"/>
              </w:rPr>
            </w:pPr>
          </w:p>
        </w:tc>
        <w:tc>
          <w:tcPr>
            <w:tcW w:w="96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Earnings (Loss) per Share:</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315</w:t>
            </w: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 Preferred Stock</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00"/>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4"/>
                <w:szCs w:val="14"/>
                <w:color w:val="auto"/>
              </w:rPr>
              <w:t>Adjusted Net Income (Loss) Available to Common Shareholders - Basic</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Diluted Net Earnings (Loss) per Share: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r>
      <w:tr>
        <w:trPr>
          <w:trHeight w:val="198"/>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4"/>
                <w:szCs w:val="14"/>
                <w:color w:val="auto"/>
              </w:rPr>
              <w:t>Dividend - Preferred Stock</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 - Diluted</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161,162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161,448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201,159</w:t>
            </w:r>
          </w:p>
        </w:tc>
      </w:tr>
      <w:tr>
        <w:trPr>
          <w:trHeight w:val="198"/>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w:t>
            </w:r>
          </w:p>
        </w:tc>
      </w:tr>
      <w:tr>
        <w:trPr>
          <w:trHeight w:val="198"/>
        </w:trPr>
        <w:tc>
          <w:tcPr>
            <w:tcW w:w="20" w:type="dxa"/>
            <w:vAlign w:val="bottom"/>
          </w:tcPr>
          <w:p>
            <w:pPr>
              <w:spacing w:after="0"/>
              <w:rPr>
                <w:sz w:val="17"/>
                <w:szCs w:val="17"/>
                <w:color w:val="auto"/>
              </w:rPr>
            </w:pPr>
          </w:p>
        </w:tc>
        <w:tc>
          <w:tcPr>
            <w:tcW w:w="5720" w:type="dxa"/>
            <w:vAlign w:val="bottom"/>
            <w:gridSpan w:val="2"/>
          </w:tcPr>
          <w:p>
            <w:pPr>
              <w:ind w:left="120"/>
              <w:spacing w:after="0"/>
              <w:rPr>
                <w:sz w:val="20"/>
                <w:szCs w:val="20"/>
                <w:color w:val="auto"/>
              </w:rPr>
            </w:pPr>
            <w:r>
              <w:rPr>
                <w:rFonts w:ascii="Arial" w:cs="Arial" w:eastAsia="Arial" w:hAnsi="Arial"/>
                <w:sz w:val="14"/>
                <w:szCs w:val="14"/>
                <w:color w:val="auto"/>
              </w:rPr>
              <w:t>8% Convertible Preferred Stock</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5,393</w:t>
            </w: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161,448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208,224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72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07"/>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96912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9125" cy="214630"/>
                    </a:xfrm>
                    <a:prstGeom prst="rect">
                      <a:avLst/>
                    </a:prstGeom>
                    <a:noFill/>
                  </pic:spPr>
                </pic:pic>
              </a:graphicData>
            </a:graphic>
          </wp:anchor>
        </w:drawing>
      </w:r>
    </w:p>
    <w:p>
      <w:pPr>
        <w:spacing w:after="0" w:line="92" w:lineRule="exact"/>
        <w:rPr>
          <w:sz w:val="20"/>
          <w:szCs w:val="20"/>
          <w:color w:val="auto"/>
        </w:rPr>
      </w:pPr>
    </w:p>
    <w:p>
      <w:pPr>
        <w:ind w:left="20" w:right="320"/>
        <w:spacing w:after="0" w:line="252"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40" w:type="dxa"/>
            <w:vAlign w:val="bottom"/>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20" w:type="dxa"/>
            <w:vAlign w:val="bottom"/>
          </w:tcPr>
          <w:p>
            <w:pPr>
              <w:jc w:val="right"/>
              <w:spacing w:after="0"/>
              <w:rPr>
                <w:sz w:val="20"/>
                <w:szCs w:val="20"/>
                <w:color w:val="auto"/>
              </w:rPr>
            </w:pPr>
            <w:r>
              <w:rPr>
                <w:rFonts w:ascii="Arial" w:cs="Arial" w:eastAsia="Arial" w:hAnsi="Arial"/>
                <w:sz w:val="14"/>
                <w:szCs w:val="14"/>
                <w:color w:val="auto"/>
              </w:rPr>
              <w:t>19,849</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11,916</w:t>
            </w:r>
          </w:p>
        </w:tc>
        <w:tc>
          <w:tcPr>
            <w:tcW w:w="10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17,615</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11,277</w:t>
            </w:r>
          </w:p>
        </w:tc>
      </w:tr>
      <w:tr>
        <w:trPr>
          <w:trHeight w:val="202"/>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5,393</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25,242</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11,916</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23,008</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11,277</w:t>
            </w:r>
          </w:p>
        </w:tc>
      </w:tr>
      <w:tr>
        <w:trPr>
          <w:trHeight w:val="21"/>
        </w:trPr>
        <w:tc>
          <w:tcPr>
            <w:tcW w:w="5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1" w:name="page22"/>
    <w:bookmarkEnd w:id="2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Supplementary Financial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color w:val="auto"/>
              </w:rPr>
              <w:t>June 30, 2025</w:t>
            </w:r>
          </w:p>
        </w:tc>
        <w:tc>
          <w:tcPr>
            <w:tcW w:w="1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receivable</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Net receivables from buyers of divested businesses</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Liabilities</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liabilities to vendors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Litigation related accruals</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operating lease liabilities</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liabilities</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payable</w:t>
            </w:r>
          </w:p>
        </w:tc>
        <w:tc>
          <w:tcPr>
            <w:tcW w:w="280" w:type="dxa"/>
            <w:vAlign w:val="bottom"/>
          </w:tcPr>
          <w:p>
            <w:pPr>
              <w:spacing w:after="0"/>
              <w:rPr>
                <w:sz w:val="17"/>
                <w:szCs w:val="17"/>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taxes payable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interest</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Direct response costs - cyber event liabilities</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Assets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5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Internal use software, net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contract costs, net</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6"/>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Product software, net</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tax assets</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Long-term Liabilities</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liabilities</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Unearned income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16 – Subsequent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Tax Reform</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On July 4, 2025, the President of the United States signed into law the One Big Beautiful Bill Act, which contains certain provisions enacting tax reform. The Company is evaluating the full effects of the legislation on its estimated annual effective tax rate and cash tax position.</w:t>
      </w:r>
    </w:p>
    <w:p>
      <w:pPr>
        <w:spacing w:after="0" w:line="200" w:lineRule="exact"/>
        <w:rPr>
          <w:sz w:val="20"/>
          <w:szCs w:val="20"/>
          <w:color w:val="auto"/>
        </w:rPr>
      </w:pPr>
    </w:p>
    <w:p>
      <w:pPr>
        <w:spacing w:after="0" w:line="30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2" w:name="page23"/>
    <w:bookmarkEnd w:id="2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20"/>
        <w:spacing w:after="0" w:line="285" w:lineRule="auto"/>
        <w:rPr>
          <w:sz w:val="20"/>
          <w:szCs w:val="20"/>
          <w:color w:val="auto"/>
        </w:rPr>
      </w:pPr>
      <w:r>
        <w:rPr>
          <w:rFonts w:ascii="Arial" w:cs="Arial" w:eastAsia="Arial" w:hAnsi="Arial"/>
          <w:sz w:val="22"/>
          <w:szCs w:val="22"/>
          <w:b w:val="1"/>
          <w:bCs w:val="1"/>
          <w:color w:val="1269BC"/>
        </w:rPr>
        <w:t>TEM 2 — MANAGEMENT’S DISCUSSION AND ANALYSIS OF FINANCIAL CONDITION AND RESULTS OF OPERATIONS</w:t>
      </w:r>
    </w:p>
    <w:p>
      <w:pPr>
        <w:spacing w:after="0" w:line="7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seven sections:</w:t>
      </w:r>
    </w:p>
    <w:p>
      <w:pPr>
        <w:spacing w:after="0" w:line="136"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Overview;</w:t>
      </w:r>
    </w:p>
    <w:p>
      <w:pPr>
        <w:spacing w:after="0" w:line="14" w:lineRule="exact"/>
        <w:rPr>
          <w:rFonts w:ascii="Arial" w:cs="Arial" w:eastAsia="Arial" w:hAnsi="Arial"/>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Information and Analysis of Results of Operations;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Resources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Critical Accounting Estimates and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Recent Accounting Changes;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15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MD&amp;A is provided as a supplement to, and should be read in conjunction with, our Condensed Consolidated Financial Statements and the accompanying Notes.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Overview</w:t>
      </w:r>
    </w:p>
    <w:p>
      <w:pPr>
        <w:spacing w:after="0" w:line="16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deliver digital business solutions and services spanning the commercial, government and transportation spectrum – creating valuable outcomes for our clients and the millions of people who count on them. We leverage cloud computing, artificial intelligence ("AI"), machine learning, automation and advanced analytics to deliver mission-critical solutions. Through a dedicated global team of approximately 53,000 associates, as well as process expertise and advanced technologies, our solutions and services digitally transform our clients’ operations to enhance customer experiences, improve performance, increase efficiencies and reduce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Florham Park, New Jersey, we have operations in 24 countries as of June 30, 2025.</w:t>
      </w:r>
    </w:p>
    <w:p>
      <w:pPr>
        <w:spacing w:after="0" w:line="1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Our reportable segments correspond to how we organize and manage the business and are aligned to the industries in which our clients operate. These three segments are:</w:t>
      </w:r>
    </w:p>
    <w:p>
      <w:pPr>
        <w:spacing w:after="0" w:line="99" w:lineRule="exact"/>
        <w:rPr>
          <w:sz w:val="20"/>
          <w:szCs w:val="20"/>
          <w:color w:val="auto"/>
        </w:rPr>
      </w:pPr>
    </w:p>
    <w:p>
      <w:pPr>
        <w:ind w:left="340" w:hanging="332"/>
        <w:spacing w:after="0" w:line="262"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3051F2"/>
        </w:rPr>
        <w:t xml:space="preserve">Commercial </w:t>
      </w:r>
      <w:r>
        <w:rPr>
          <w:rFonts w:ascii="Arial" w:cs="Arial" w:eastAsia="Arial" w:hAnsi="Arial"/>
          <w:sz w:val="18"/>
          <w:szCs w:val="18"/>
          <w:color w:val="000000"/>
        </w:rPr>
        <w:t>– Our Commercial segment provides business process services that span our clients' businesses end-to-end from the front-office to the back-office for a variety of commercial industries. These solutions are both cross-industry and industry-specific in nature. Across the Commercial segment, we operate on our clients’ behalf to deliver mission-critical solutions and services to reduce costs, improve efficiencies and enhance performance for our clients and deliver better experiences for their consumers and employees.</w:t>
      </w:r>
    </w:p>
    <w:p>
      <w:pPr>
        <w:spacing w:after="0" w:line="122" w:lineRule="exact"/>
        <w:rPr>
          <w:rFonts w:ascii="Arial" w:cs="Arial" w:eastAsia="Arial" w:hAnsi="Arial"/>
          <w:sz w:val="18"/>
          <w:szCs w:val="18"/>
          <w:color w:val="auto"/>
        </w:rPr>
      </w:pPr>
    </w:p>
    <w:p>
      <w:pPr>
        <w:ind w:left="340" w:right="140" w:hanging="332"/>
        <w:spacing w:after="0" w:line="259"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w:t>
      </w:r>
      <w:r>
        <w:rPr>
          <w:rFonts w:ascii="Arial" w:cs="Arial" w:eastAsia="Arial" w:hAnsi="Arial"/>
          <w:sz w:val="18"/>
          <w:szCs w:val="18"/>
          <w:color w:val="000000"/>
        </w:rPr>
        <w:t>– Our Government segment provides government-centric business process services and solutions to U.S. federal, state,</w:t>
      </w:r>
      <w:r>
        <w:rPr>
          <w:rFonts w:ascii="Arial" w:cs="Arial" w:eastAsia="Arial" w:hAnsi="Arial"/>
          <w:sz w:val="18"/>
          <w:szCs w:val="18"/>
          <w:b w:val="1"/>
          <w:bCs w:val="1"/>
          <w:color w:val="3051F2"/>
        </w:rPr>
        <w:t xml:space="preserve"> </w:t>
      </w:r>
      <w:r>
        <w:rPr>
          <w:rFonts w:ascii="Arial" w:cs="Arial" w:eastAsia="Arial" w:hAnsi="Arial"/>
          <w:sz w:val="18"/>
          <w:szCs w:val="18"/>
          <w:color w:val="000000"/>
        </w:rPr>
        <w:t>local and foreign governments for public assistance, healthcare programs and administration, transaction processing, payment services and case management. In this segment, we help governments respond to changing rules for eligibility and keep pace with increasing citizen expectations, modernize legacy technology systems, combat benefits fraud and shift in response to an evolving regulatory environment.</w:t>
      </w:r>
    </w:p>
    <w:p>
      <w:pPr>
        <w:spacing w:after="0" w:line="125" w:lineRule="exact"/>
        <w:rPr>
          <w:rFonts w:ascii="Arial" w:cs="Arial" w:eastAsia="Arial" w:hAnsi="Arial"/>
          <w:sz w:val="18"/>
          <w:szCs w:val="18"/>
          <w:color w:val="auto"/>
        </w:rPr>
      </w:pPr>
    </w:p>
    <w:p>
      <w:pPr>
        <w:ind w:left="340" w:right="380" w:hanging="332"/>
        <w:spacing w:after="0" w:line="259"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government agencies and transportation authorities around the world with</w:t>
      </w:r>
      <w:r>
        <w:rPr>
          <w:rFonts w:ascii="Arial" w:cs="Arial" w:eastAsia="Arial" w:hAnsi="Arial"/>
          <w:sz w:val="18"/>
          <w:szCs w:val="18"/>
          <w:b w:val="1"/>
          <w:bCs w:val="1"/>
          <w:color w:val="3051F2"/>
        </w:rPr>
        <w:t xml:space="preserve"> </w:t>
      </w:r>
      <w:r>
        <w:rPr>
          <w:rFonts w:ascii="Arial" w:cs="Arial" w:eastAsia="Arial" w:hAnsi="Arial"/>
          <w:sz w:val="18"/>
          <w:szCs w:val="18"/>
          <w:color w:val="000000"/>
        </w:rPr>
        <w:t>systems, support and revenue-generating solutions serving toll and fare collections as well as mobility and digital payments that help streamline operations and increase revenue to government transportation agencies. With an expanded focus on sustainability and enhancing the quality of life for citizens and communities around the world, our solutions help reduce congestion and greenhouse emissions, while creating seamless travel experiences for consumers throughout transportation ecosystems.</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intense emphasis on growth, quality, and efficiency, beginning in the first quarter of 2020, resulted in a strengthened foundation. Building on this solid foundation, during 2023, we held an investor briefing outlining our three-year strategy. We continue to execute on this strategy and remain focused on accelerating growth and enhancing value for our stakeholders. We intend to achieve this by doubling down on key themes outlined in the 2023 investor briefing including focusing on key growth areas within each of our businesses, continuing our portfolio rationalization strategy, divesting certain solutions which have either scarcity value outside of Conduent or are capital intensive relative to their growth opportunity, and taking a balanced approach to allocating capital including internal investments in our solutions, pre-paying debt and repurchasing common shares.</w:t>
      </w:r>
    </w:p>
    <w:p>
      <w:pPr>
        <w:spacing w:after="0" w:line="12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believe this strategy has resulted and will continue to result in a more nimble and faster-growing Conduent with modest levels of net leverage, enhanced valuation, and a stronger balance sheet.</w:t>
      </w:r>
    </w:p>
    <w:p>
      <w:pPr>
        <w:spacing w:after="0" w:line="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2025 is the year in which we intend to complete the remaining commitment of $1 billion of deployable capital through further portfolio rationalization, achieving the financial 2025 exit rate targets we have been anchoring to throughout this 3-year journey, as well as demonstrating revenue growth in the remaining Conduent portfolio of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2025 we achieved the following:</w:t>
      </w:r>
    </w:p>
    <w:p>
      <w:pPr>
        <w:spacing w:after="0" w:line="171" w:lineRule="exact"/>
        <w:rPr>
          <w:sz w:val="20"/>
          <w:szCs w:val="20"/>
          <w:color w:val="auto"/>
        </w:rPr>
      </w:pPr>
    </w:p>
    <w:p>
      <w:pPr>
        <w:ind w:left="660" w:right="5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Made progress on the execution of the second phase of our portfolio rationalization strategy, focusing on assets that are either capital-intensive or have a negative impact on our earnings profile.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Expanded our presence in the Philippines with a new facility in Lipa-Malver.</w:t>
      </w:r>
    </w:p>
    <w:p>
      <w:pPr>
        <w:spacing w:after="0" w:line="117"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Relaunched our market-leading Vector platform in the cloud, which enables opportunities to scale across additional clients in our Transportation segment.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Named to Newsweek's 2025 Global Most Loved Workplaces list, earning recognition for the third consecutive year.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Received the remaining cash proceeds related to the sale of our Curbside Management and Public Safety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Executed a contract amendment, at improved margins, to extend our work in distributing Social Security payments on prepaid cards.</w:t>
      </w:r>
    </w:p>
    <w:p>
      <w:pPr>
        <w:spacing w:after="0" w:line="117"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to strengthen our partnership with one of our largest Transportation segment customers. This included executing a contract amendment with additional consideration, as well as streamlining the decision making and delivery process by repurchasing the interest of our minority partner.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Event</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January 13, 2025, the Company experienced an operational disruption and learned that a threat actor gained unauthorized access to a limited portion of the Company’s environment (the "January 2025 Cyber Event"). Upon detection, the Company activated its cybersecurity response plan with the help of external cybersecurity experts to contain, assess, and remediate the incident. The Company restored the affected systems and returned to normal operations within days, and in some cases, hours. The disruption did not have a material impact to the Company’s operations.</w:t>
      </w:r>
    </w:p>
    <w:p>
      <w:pPr>
        <w:spacing w:after="0" w:line="1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part of its ongoing investigation, the Company determined that the threat actor exfiltrated a set of files associated with a limited number of the Company’s clients. Due to the complexity of the files, the Company engaged cybersecurity data mining experts to evaluate the exfiltrated data and was recently informed of its nature, scope and validity, confirming that the data sets contained a significant number of individuals’ personal information associated with our clients’ end-users. The Company is continuing to further analyze and document the precise and detailed impact of the data exfiltrated, and clients are being informed as appropriate in order to determine next steps as required by federal and state law. To the Company’s knowledge, the exfiltrated data has not been released on the dark web or otherwise publicly.</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4" w:name="page25"/>
    <w:bookmarkEnd w:id="2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While the Company did not experience material impacts to its operating environment or costs from the event itself, the Company has incurred and accrued material non-recurring expenses in the first quarter related to the event based on potential notification requirements. The Company maintains a cyber insurance policy and has also notified federal law enforcement authorities of the incident.</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It is possible that future risks and uncertainties resulting from the cyber event—including those related to impacted data, litigation, reputational harm, and regulatory actions—could adversely affect the Company’s financial condition or results of operations. See also Part II, Item 1A (Risk Factors).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Financial Information and Analysis of Results of Operations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2025 vs. 2024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528</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460"/>
              <w:spacing w:after="0"/>
              <w:rPr>
                <w:sz w:val="20"/>
                <w:szCs w:val="20"/>
                <w:color w:val="auto"/>
              </w:rPr>
            </w:pPr>
            <w:r>
              <w:rPr>
                <w:rFonts w:ascii="Arial" w:cs="Arial" w:eastAsia="Arial" w:hAnsi="Arial"/>
                <w:sz w:val="14"/>
                <w:szCs w:val="14"/>
                <w:color w:val="auto"/>
              </w:rPr>
              <w:t>Six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2025 vs. 2024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Revenue for the three months ended June 30, 2025 decreased, compared to the prior year period, approximately 73% of which was due to the impact of the BenefitWallet Transfer and the sales of the Curbside Management and Public Safety Solutions and Casualty Claims Solutions businesses. Excluding the divestitures impact, lost business and lower Commercial volumes contributed to the decrease and were partially offset by new business ramp and positive impacts from a contract amendment with a Transit Solutions customer.</w:t>
      </w:r>
    </w:p>
    <w:p>
      <w:pPr>
        <w:spacing w:after="0" w:line="122"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Revenue for the six months ended June 30, 2025 decreased, compared to the prior year period, approximately 63% of which was due to the impact of the BenefitWallet Transfer and the sales of the Curbside Management and Public Safety Solutions and Casualty Claims Solutions businesses. Excluding the divestitures impact, lost business and lower volumes contributed to the decrease and were partially offset by new business ramp and positive impacts from a contract amendment with a Transit Solutions customer.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Cost of services for the three and six months ended June 30, 2025 decreased, compared to the prior year periods, primarily due to the impact of the BenefitWallet Transfer and the sales of the Curbside Management and Public Safety Solutions and Casualty Claims Solutions businesses. Excluding the divestitures impact, lower expenses on lower revenues and cost optimizations contributed to the decline.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SG&amp;A for the three months ended June 30, 2025 decreased, compared to the prior year period, primarily driven by cost efficiencies in our corporate functions.</w:t>
      </w:r>
    </w:p>
    <w:p>
      <w:pPr>
        <w:spacing w:after="0" w:line="9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SG&amp;A for the six months ended June 30, 2025 decreased, compared to the prior year period, primarily driven by a $9 million benefit from the recovery of legal costs from one of our insurance carriers related to the previously disclosed State of Texas matter that settled in February 2019 as well as cost efficiencies in our corporate functions. These were partially offset by $25 million of direct response costs related to the January 2025 Cyber Event.</w:t>
      </w:r>
    </w:p>
    <w:p>
      <w:pPr>
        <w:spacing w:after="0" w:line="200" w:lineRule="exact"/>
        <w:rPr>
          <w:sz w:val="20"/>
          <w:szCs w:val="20"/>
          <w:color w:val="auto"/>
        </w:rPr>
      </w:pPr>
    </w:p>
    <w:p>
      <w:pPr>
        <w:spacing w:after="0" w:line="32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171"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Depreciation and amortization for the three and six months ended June 30, 2025 decreased, compared to the prior year periods, primarily due to the absence of a write-off of an abandoned internal use software asset in our Commercial segment in the prior year and the sales of the Curbside Management and Public Safety Solutions and Casualty Claims Solutions businesses. These decreases were partially offset by increased amortization of deferred contract costs related to new projects that went live in 2025.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171"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620" w:type="dxa"/>
            <w:vAlign w:val="bottom"/>
            <w:gridSpan w:val="4"/>
          </w:tcPr>
          <w:p>
            <w:pPr>
              <w:jc w:val="right"/>
              <w:ind w:right="408"/>
              <w:spacing w:after="0" w:line="149" w:lineRule="exact"/>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Six Months Ended</w:t>
            </w:r>
          </w:p>
        </w:tc>
        <w:tc>
          <w:tcPr>
            <w:tcW w:w="90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040" w:type="dxa"/>
            <w:vAlign w:val="bottom"/>
          </w:tcPr>
          <w:p>
            <w:pPr>
              <w:jc w:val="right"/>
              <w:ind w:right="88"/>
              <w:spacing w:after="0" w:line="155" w:lineRule="exact"/>
              <w:rPr>
                <w:sz w:val="20"/>
                <w:szCs w:val="20"/>
                <w:color w:val="auto"/>
              </w:rPr>
            </w:pPr>
            <w:r>
              <w:rPr>
                <w:rFonts w:ascii="Arial" w:cs="Arial" w:eastAsia="Arial" w:hAnsi="Arial"/>
                <w:sz w:val="14"/>
                <w:szCs w:val="14"/>
                <w:color w:val="auto"/>
              </w:rPr>
              <w:t>2025</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2024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2025</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right"/>
              <w:ind w:right="488"/>
              <w:spacing w:after="0" w:line="155" w:lineRule="exact"/>
              <w:rPr>
                <w:sz w:val="20"/>
                <w:szCs w:val="20"/>
                <w:color w:val="auto"/>
              </w:rPr>
            </w:pPr>
            <w:r>
              <w:rPr>
                <w:rFonts w:ascii="Arial" w:cs="Arial" w:eastAsia="Arial" w:hAnsi="Arial"/>
                <w:sz w:val="14"/>
                <w:szCs w:val="14"/>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Data center consolidation costs</w:t>
            </w:r>
          </w:p>
        </w:tc>
        <w:tc>
          <w:tcPr>
            <w:tcW w:w="104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Termination, insourcing and asset impairment costs</w:t>
            </w:r>
          </w:p>
        </w:tc>
        <w:tc>
          <w:tcPr>
            <w:tcW w:w="10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00"/>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Restructuring and related costs</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Refer to Note 6 – Restructuring Programs and Related Costs to the Condensed Consolidated Financial Statements for additional information regarding our restructuring programs.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Interest expense represents interest on long-term debt and the amortization of debt issuance costs. Interest expense for the three and six months ended June 30, 2025 decreased, compared to the prior year periods, primarily due to the 2024 voluntary prepayments of the entire Term Loan B balance outstanding and a portion of the Term Loan A balance with proceeds from divestitures.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completion of the BenefitWallet Transfer resulted in a gain of $261 million and $425 million for the three and six months ended June 30, 2024, respectively. The completion of the sale of the Curbside Management and Public Safety businesses in the second quarter of 2024 resulted in a gain of $108 million for the three and six months ended June 30, 2024. Additionally, professional fees and other costs related to these consummated and certain other non-consummated transactions considered by the Company are included in this financial statement line item for all periods.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Settlements (Recoveries),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Litigation settlements (recoveries), net for the six months ended June 30, 2025 and 2024 were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three months ended June 30, 2025 was (5.7)%, compared to 28.2% for the three months ended June 30,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June 30, 2025 rate was lower than the U.S. statutory rate of 21%, due primarily to valuation allowances and geographic mix of income.</w:t>
      </w:r>
    </w:p>
    <w:p>
      <w:pPr>
        <w:spacing w:after="0" w:line="15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effective tax rate for the three months ended June 30, 2024 was higher than the U.S. statutory rate of 21% primarily due to state and local taxes, geographic mix of income, and other nondeductible permanent differences, partially offset by the release of tax valuation allowances due to the gain from divestitures and tax credits.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Excluding the impact of amortization, restructuring, divestiture, valuation allowances and discrete tax items, the normalized effective tax rate for the three months ended June 30, 2025 was 20.5%. The normalized effective tax rate for the three months ended June 30, 2024 was</w:t>
      </w:r>
    </w:p>
    <w:p>
      <w:pPr>
        <w:ind w:right="100"/>
        <w:spacing w:after="0" w:line="266" w:lineRule="auto"/>
        <w:rPr>
          <w:sz w:val="20"/>
          <w:szCs w:val="20"/>
          <w:color w:val="auto"/>
        </w:rPr>
      </w:pPr>
      <w:r>
        <w:rPr>
          <w:rFonts w:ascii="Arial" w:cs="Arial" w:eastAsia="Arial" w:hAnsi="Arial"/>
          <w:sz w:val="18"/>
          <w:szCs w:val="18"/>
          <w:color w:val="auto"/>
        </w:rPr>
        <w:t>23.6%, due primarily to excluding the gain from divestitures, restructuring costs, amortization of intangibles, valuation allowance release and other discrete tax adjustments.</w:t>
      </w:r>
    </w:p>
    <w:p>
      <w:pPr>
        <w:spacing w:after="0" w:line="200" w:lineRule="exact"/>
        <w:rPr>
          <w:sz w:val="20"/>
          <w:szCs w:val="20"/>
          <w:color w:val="auto"/>
        </w:rPr>
      </w:pPr>
    </w:p>
    <w:p>
      <w:pPr>
        <w:spacing w:after="0" w:line="31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20"/>
        <w:spacing w:after="0" w:line="318" w:lineRule="auto"/>
        <w:rPr>
          <w:sz w:val="20"/>
          <w:szCs w:val="20"/>
          <w:color w:val="auto"/>
        </w:rPr>
      </w:pPr>
      <w:r>
        <w:rPr>
          <w:rFonts w:ascii="Arial" w:cs="Arial" w:eastAsia="Arial" w:hAnsi="Arial"/>
          <w:sz w:val="17"/>
          <w:szCs w:val="17"/>
          <w:color w:val="auto"/>
        </w:rPr>
        <w:t>The effective tax rate for the six months ended June 30, 2025 was 3.1%, compared to 26.3% for the six months ended June 30, 2024. The June 30, 2025 rate was lower than the U.S. statutory rate of 21%, primarily due to valuation allowances and geographic mix of income.</w:t>
      </w:r>
    </w:p>
    <w:p>
      <w:pPr>
        <w:spacing w:after="0" w:line="7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effective tax rate for the six months ended June 30, 2024 was higher than the U.S. statutory rate of 21%, primarily due to state and local taxes, geographic mix of income, and other nondeductible permanent differences, partially offset by tax benefit from valuation allowances and audit settlement reserve releases.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Excluding the impact of amortization, restructuring, divestiture, reserves for the Direct response costs - cyber event, valuation allowances and discrete tax items, the normalized effective tax rate for the six months ended June 30, 2025 was 22.3%. The normalized effective tax rate for the six months ended June 30, 2024 was 23.1%, primarily due to excluding the impact of the gain from divestitures, restructuring costs, amortization of intangible assets, litigation reserve releases, audit settlement reserve release, valuation allowance and other discrete tax items.</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July 4, 2025, the One Big Beautiful Bill Act was signed into law in the U.S. The legislation contains certain provisions related to the full expensing of U.S. research and development costs and other depreciable property. The legislation also includes changes to the determination of the amount of U.S. interest expense that is deductible for U.S. tax purposes. We are evaluating the full effects of the legislation on our estimated annual effective rate and cash tax position. As the legislation was signed into law subsequent to June 30, 2025, no impacts are included in our operating results for the three and six months ended June 30, 2025.</w:t>
      </w:r>
    </w:p>
    <w:p>
      <w:pPr>
        <w:spacing w:after="0" w:line="12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2021, the Organization for Economic Cooperation and Development released model rules for a 15% global minimum tax, known as Pillar Two. This alternative minimum tax is treated as a period cost beginning in 2024 and does not have a material impact on our financial results of operations for the current period. We continue to monitor legislative developments, as well as additional guidance from countries that have enacted legislation.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 (Loss) and Segment Adjusted Earnings before Interest, Taxes, Depreciation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Amortization ("Adjusted EBITDA") for the following three segments:</w:t>
      </w:r>
    </w:p>
    <w:p>
      <w:pPr>
        <w:spacing w:after="0" w:line="4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Divestitures include our BenefitWallet Portfolio and our Casualty Claims Solutions businesses (both of which were reclassified from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Commercial segment) and our Curbside Management and Public Safety Solutions businesses (which was reclassified from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segment).</w:t>
      </w:r>
    </w:p>
    <w:p>
      <w:pPr>
        <w:spacing w:after="0" w:line="15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Results of our financial performance were:</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8" w:name="page29"/>
    <w:bookmarkEnd w:id="2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6"/>
                <w:szCs w:val="16"/>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6"/>
                <w:szCs w:val="16"/>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Transportation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Divestitures</w:t>
            </w:r>
          </w:p>
        </w:tc>
        <w:tc>
          <w:tcPr>
            <w:tcW w:w="1360" w:type="dxa"/>
            <w:vAlign w:val="bottom"/>
            <w:gridSpan w:val="3"/>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6"/>
                <w:szCs w:val="16"/>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Total</w:t>
            </w: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(in millions)</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Reportable Segments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178"/>
        </w:trPr>
        <w:tc>
          <w:tcPr>
            <w:tcW w:w="20" w:type="dxa"/>
            <w:vAlign w:val="bottom"/>
            <w:tcBorders>
              <w:top w:val="single" w:sz="8" w:color="CCEEFF"/>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2025</w:t>
            </w:r>
          </w:p>
        </w:tc>
        <w:tc>
          <w:tcPr>
            <w:tcW w:w="234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120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CCEEFF"/>
              <w:bottom w:val="single" w:sz="8" w:color="CCEEFF"/>
            </w:tcBorders>
          </w:tcPr>
          <w:p>
            <w:pPr>
              <w:spacing w:after="0"/>
              <w:rPr>
                <w:sz w:val="15"/>
                <w:szCs w:val="15"/>
                <w:color w:val="auto"/>
              </w:rPr>
            </w:pPr>
          </w:p>
        </w:tc>
        <w:tc>
          <w:tcPr>
            <w:tcW w:w="10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42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CCEEFF"/>
              <w:bottom w:val="single" w:sz="8" w:color="CCEEFF"/>
            </w:tcBorders>
          </w:tcPr>
          <w:p>
            <w:pPr>
              <w:spacing w:after="0"/>
              <w:rPr>
                <w:sz w:val="15"/>
                <w:szCs w:val="15"/>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238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754</w:t>
            </w:r>
          </w:p>
        </w:tc>
      </w:tr>
      <w:tr>
        <w:trPr>
          <w:trHeight w:val="199"/>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49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w:t>
            </w:r>
          </w:p>
        </w:tc>
      </w:tr>
      <w:tr>
        <w:trPr>
          <w:trHeight w:val="206"/>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w:t>
            </w:r>
          </w:p>
        </w:tc>
      </w:tr>
      <w:tr>
        <w:trPr>
          <w:trHeight w:val="199"/>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60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37</w:t>
            </w:r>
          </w:p>
        </w:tc>
      </w:tr>
      <w:tr>
        <w:trPr>
          <w:trHeight w:val="166"/>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48.4 %</w:t>
            </w:r>
          </w:p>
        </w:tc>
        <w:tc>
          <w:tcPr>
            <w:tcW w:w="24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31.6 %</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74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25.2 %</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 %</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4.9 %</w:t>
            </w: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0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3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388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245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141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828</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11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w:t>
            </w: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46.9 %</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29.6 %</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9.3 %</w:t>
            </w:r>
          </w:p>
        </w:tc>
        <w:tc>
          <w:tcPr>
            <w:tcW w:w="240" w:type="dxa"/>
            <w:vAlign w:val="bottom"/>
          </w:tcPr>
          <w:p>
            <w:pPr>
              <w:spacing w:after="0"/>
              <w:rPr>
                <w:sz w:val="16"/>
                <w:szCs w:val="16"/>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20.0 %</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20.4 %</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4.2 %</w:t>
            </w:r>
          </w:p>
        </w:tc>
      </w:tr>
      <w:tr>
        <w:trPr>
          <w:trHeight w:val="269"/>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80" w:type="dxa"/>
            <w:vAlign w:val="bottom"/>
            <w:gridSpan w:val="5"/>
          </w:tcPr>
          <w:p>
            <w:pPr>
              <w:ind w:left="580"/>
              <w:spacing w:after="0"/>
              <w:rPr>
                <w:sz w:val="20"/>
                <w:szCs w:val="20"/>
                <w:color w:val="auto"/>
              </w:rPr>
            </w:pPr>
            <w:r>
              <w:rPr>
                <w:rFonts w:ascii="Arial" w:cs="Arial" w:eastAsia="Arial" w:hAnsi="Arial"/>
                <w:sz w:val="14"/>
                <w:szCs w:val="14"/>
                <w:color w:val="auto"/>
              </w:rPr>
              <w:t>Six Months Ended</w:t>
            </w: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6"/>
                <w:szCs w:val="16"/>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6"/>
                <w:szCs w:val="16"/>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Transportation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Divestitures</w:t>
            </w:r>
          </w:p>
        </w:tc>
        <w:tc>
          <w:tcPr>
            <w:tcW w:w="1360" w:type="dxa"/>
            <w:vAlign w:val="bottom"/>
            <w:gridSpan w:val="3"/>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6"/>
                <w:szCs w:val="16"/>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Total</w:t>
            </w: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(in millions)</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Reportable Segments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178"/>
        </w:trPr>
        <w:tc>
          <w:tcPr>
            <w:tcW w:w="20" w:type="dxa"/>
            <w:vAlign w:val="bottom"/>
            <w:tcBorders>
              <w:top w:val="single" w:sz="8" w:color="CCEEFF"/>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2025</w:t>
            </w:r>
          </w:p>
        </w:tc>
        <w:tc>
          <w:tcPr>
            <w:tcW w:w="234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120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CCEEFF"/>
              <w:bottom w:val="single" w:sz="8" w:color="CCEEFF"/>
            </w:tcBorders>
          </w:tcPr>
          <w:p>
            <w:pPr>
              <w:spacing w:after="0"/>
              <w:rPr>
                <w:sz w:val="15"/>
                <w:szCs w:val="15"/>
                <w:color w:val="auto"/>
              </w:rPr>
            </w:pPr>
          </w:p>
        </w:tc>
        <w:tc>
          <w:tcPr>
            <w:tcW w:w="106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42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CCEEFF"/>
              <w:bottom w:val="single" w:sz="8" w:color="CCEEFF"/>
            </w:tcBorders>
          </w:tcPr>
          <w:p>
            <w:pPr>
              <w:spacing w:after="0"/>
              <w:rPr>
                <w:sz w:val="15"/>
                <w:szCs w:val="15"/>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767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454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1,505</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77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ind w:left="880"/>
              <w:spacing w:after="0"/>
              <w:rPr>
                <w:sz w:val="20"/>
                <w:szCs w:val="20"/>
                <w:color w:val="auto"/>
              </w:rPr>
            </w:pPr>
            <w:r>
              <w:rPr>
                <w:rFonts w:ascii="Arial" w:cs="Arial" w:eastAsia="Arial" w:hAnsi="Arial"/>
                <w:sz w:val="14"/>
                <w:szCs w:val="14"/>
                <w:color w:val="auto"/>
              </w:rPr>
              <w:t>(2)</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(47)</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96</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Direct response costs - cyber event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25</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w:t>
            </w:r>
          </w:p>
        </w:tc>
      </w:tr>
      <w:tr>
        <w:trPr>
          <w:trHeight w:val="162"/>
        </w:trPr>
        <w:tc>
          <w:tcPr>
            <w:tcW w:w="20" w:type="dxa"/>
            <w:vAlign w:val="bottom"/>
          </w:tcPr>
          <w:p>
            <w:pPr>
              <w:spacing w:after="0"/>
              <w:rPr>
                <w:sz w:val="14"/>
                <w:szCs w:val="14"/>
                <w:color w:val="auto"/>
              </w:rPr>
            </w:pPr>
          </w:p>
        </w:tc>
        <w:tc>
          <w:tcPr>
            <w:tcW w:w="29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51.0 %</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30.1 %</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 %</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8.7 %</w:t>
            </w:r>
          </w:p>
        </w:tc>
        <w:tc>
          <w:tcPr>
            <w:tcW w:w="24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21.6 %</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74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4.9 %</w:t>
            </w:r>
          </w:p>
        </w:tc>
      </w:tr>
      <w:tr>
        <w:trPr>
          <w:trHeight w:val="274"/>
        </w:trPr>
        <w:tc>
          <w:tcPr>
            <w:tcW w:w="660" w:type="dxa"/>
            <w:vAlign w:val="bottom"/>
            <w:gridSpan w:val="2"/>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198"/>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2024</w:t>
            </w:r>
          </w:p>
        </w:tc>
        <w:tc>
          <w:tcPr>
            <w:tcW w:w="2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807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503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1,749</w:t>
            </w:r>
          </w:p>
        </w:tc>
      </w:tr>
      <w:tr>
        <w:trPr>
          <w:trHeight w:val="199"/>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33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80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ind w:left="880"/>
              <w:spacing w:after="0"/>
              <w:rPr>
                <w:sz w:val="20"/>
                <w:szCs w:val="20"/>
                <w:color w:val="auto"/>
              </w:rPr>
            </w:pPr>
            <w:r>
              <w:rPr>
                <w:rFonts w:ascii="Arial" w:cs="Arial" w:eastAsia="Arial" w:hAnsi="Arial"/>
                <w:sz w:val="14"/>
                <w:szCs w:val="14"/>
                <w:color w:val="auto"/>
              </w:rPr>
              <w:t>(9)</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06"/>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111</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81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104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104</w:t>
            </w:r>
          </w:p>
        </w:tc>
      </w:tr>
      <w:tr>
        <w:trPr>
          <w:trHeight w:val="166"/>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46.1 %</w:t>
            </w:r>
          </w:p>
        </w:tc>
        <w:tc>
          <w:tcPr>
            <w:tcW w:w="24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28.8 %</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20.7 %</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r>
    </w:tbl>
    <w:p>
      <w:pPr>
        <w:spacing w:after="0" w:line="200" w:lineRule="exact"/>
        <w:rPr>
          <w:sz w:val="20"/>
          <w:szCs w:val="20"/>
          <w:color w:val="auto"/>
        </w:rPr>
      </w:pPr>
    </w:p>
    <w:p>
      <w:pPr>
        <w:spacing w:after="0" w:line="27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020" w:type="dxa"/>
            <w:vAlign w:val="bottom"/>
            <w:gridSpan w:val="2"/>
            <w:vMerge w:val="restart"/>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400" w:type="dxa"/>
            <w:vAlign w:val="bottom"/>
            <w:gridSpan w:val="4"/>
          </w:tcPr>
          <w:p>
            <w:pPr>
              <w:jc w:val="right"/>
              <w:ind w:right="70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50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June 30,</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June 30,</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Adjusted EBITDA and Segment Profit (Loss) Reconciliation to Income (Loss)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vMerge w:val="restart"/>
          </w:tcPr>
          <w:p>
            <w:pPr>
              <w:jc w:val="right"/>
              <w:ind w:right="40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57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color w:val="auto"/>
              </w:rPr>
              <w:t>Before Income Taxes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gridSpan w:val="3"/>
          </w:tcPr>
          <w:p>
            <w:pPr>
              <w:spacing w:after="0"/>
              <w:rPr>
                <w:sz w:val="20"/>
                <w:szCs w:val="20"/>
                <w:color w:val="auto"/>
              </w:rPr>
            </w:pPr>
            <w:r>
              <w:rPr>
                <w:rFonts w:ascii="Arial" w:cs="Arial" w:eastAsia="Arial" w:hAnsi="Arial"/>
                <w:sz w:val="14"/>
                <w:szCs w:val="14"/>
                <w:color w:val="auto"/>
              </w:rPr>
              <w:t>Reconciling items: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gridSpan w:val="3"/>
          </w:tcPr>
          <w:p>
            <w:pPr>
              <w:ind w:left="220"/>
              <w:spacing w:after="0"/>
              <w:rPr>
                <w:sz w:val="20"/>
                <w:szCs w:val="20"/>
                <w:color w:val="auto"/>
              </w:rPr>
            </w:pPr>
            <w:r>
              <w:rPr>
                <w:rFonts w:ascii="Arial" w:cs="Arial" w:eastAsia="Arial" w:hAnsi="Arial"/>
                <w:sz w:val="14"/>
                <w:szCs w:val="14"/>
                <w:color w:val="auto"/>
              </w:rPr>
              <w:t>Direct response costs - cyber event</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7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gridSpan w:val="3"/>
          </w:tcPr>
          <w:p>
            <w:pPr>
              <w:spacing w:after="0"/>
              <w:rPr>
                <w:sz w:val="20"/>
                <w:szCs w:val="20"/>
                <w:color w:val="auto"/>
              </w:rPr>
            </w:pPr>
            <w:r>
              <w:rPr>
                <w:rFonts w:ascii="Arial" w:cs="Arial" w:eastAsia="Arial" w:hAnsi="Arial"/>
                <w:sz w:val="14"/>
                <w:szCs w:val="14"/>
                <w:color w:val="auto"/>
              </w:rPr>
              <w:t>Reconciling items: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gridSpan w:val="3"/>
          </w:tcPr>
          <w:p>
            <w:pPr>
              <w:ind w:left="20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gridSpan w:val="3"/>
          </w:tcPr>
          <w:p>
            <w:pPr>
              <w:ind w:left="20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gridSpan w:val="3"/>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Commercial revenue for the three and six months ended June 30, 2025 declined, compared to the prior year periods, driven by lower volumes, partially offset by new business ramp outpacing lost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Commercial segment profit and adjusted EBITDA for the three and six months ended June 30, 2025 decreased, compared to the prior year periods, primarily due to the revenue drivers noted above and higher fixed technology overhead, partially offset by cost efficiencies and the impact of lower depreciation due to the prior year write-off of internal use software and fully amortized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Government revenue for the three months ended June 30, 2025 decreased, compared to the prior year period, primarily driven by the impacts associated with completing or extending several implementations. However, new business has now started to outpace lost business in this segment.</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Government revenue for the six months ended June 30, 2025 decreased, compared to the prior year period, primarily driven by the impact of lost business in our Government Healthcare business and some discrete negative impacts from the establishment of reserves for service level disputes in the first quarter of 2025, partially offset by new business ramp.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Government segment profit and adjusted EBITDA for the three months ended June 30, 2025 increased, compared to the prior year period, primarily due to cost efficiencies and lower expenses driven in part by our fraud prevention activities in our Government Services business resulting from the investments we have been making in AI. These were partially offset by impact of the revenue drivers mentioned above.</w:t>
      </w:r>
    </w:p>
    <w:p>
      <w:pPr>
        <w:spacing w:after="0" w:line="117" w:lineRule="exact"/>
        <w:rPr>
          <w:sz w:val="20"/>
          <w:szCs w:val="20"/>
          <w:color w:val="auto"/>
        </w:rPr>
      </w:pPr>
    </w:p>
    <w:p>
      <w:pPr>
        <w:jc w:val="both"/>
        <w:ind w:right="360"/>
        <w:spacing w:after="0" w:line="291" w:lineRule="auto"/>
        <w:rPr>
          <w:sz w:val="20"/>
          <w:szCs w:val="20"/>
          <w:color w:val="auto"/>
        </w:rPr>
      </w:pPr>
      <w:r>
        <w:rPr>
          <w:rFonts w:ascii="Arial" w:cs="Arial" w:eastAsia="Arial" w:hAnsi="Arial"/>
          <w:sz w:val="17"/>
          <w:szCs w:val="17"/>
          <w:color w:val="auto"/>
        </w:rPr>
        <w:t>Government segment profit and adjusted EBITDA for the six months ended June 30, 2025 decreased, compared to the prior year period, primarily due to lost business particularly in our Government Healthcare business partially offset by cost efficiencies and lower expenses driven by our fraud prevention activities in our Government Services business resulting from the investments we have been making in AI.</w:t>
      </w:r>
    </w:p>
    <w:p>
      <w:pPr>
        <w:spacing w:after="0" w:line="200" w:lineRule="exact"/>
        <w:rPr>
          <w:sz w:val="20"/>
          <w:szCs w:val="20"/>
          <w:color w:val="auto"/>
        </w:rPr>
      </w:pPr>
    </w:p>
    <w:p>
      <w:pPr>
        <w:spacing w:after="0" w:line="31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Transportation revenue for the three months ended June 30, 2025 increased, compared to the prior year period, primarily due to a contract amendment with a Transit Solutions customer. The amended agreement included additional consideration and a cumulative catch-up adjustment was recorded in connection with the amendment. Revenue from our congestion charging back-office solution in a Road Usage Charging contract also contributed to the increase. These factors were partially offset by the non-retained portion of a Road Usage Charging contract and lower activity across certain smaller projects.</w:t>
      </w:r>
    </w:p>
    <w:p>
      <w:pPr>
        <w:spacing w:after="0" w:line="12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Transportation revenue for the six months ended June 30, 2025 was flat, compared to the prior year period, primarily due to the items mentioned above being offset by a higher proportion of the non-retained portion of a Road Usage Charging contract.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Transportation segment profit and adjusted EBITDA for the three and six months ended June 30, 2025 increased due to the revenue drivers mentioned above and the absence of costs to transition the non-retained portion of a Road Usage Charging contract.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Segment Profit and Adjusted EBITDA</w:t>
      </w:r>
    </w:p>
    <w:p>
      <w:pPr>
        <w:spacing w:after="0" w:line="16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decrease in revenue, segment profit and Adjusted EBITDA for the three and six months ended June 30, 2025, as compared to the prior year periods, was due to the transfer of the BenefitWallet portfolio, and the sales of the Curbside Management and Public Safety Solutions businesses and Casualty Claims Solutions businesses in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Unallocated Costs for the three months ended June 30, 2025 decreased, compared to the prior year period, primarily due cost efficiencies in our corporate functions.</w:t>
      </w:r>
    </w:p>
    <w:p>
      <w:pPr>
        <w:spacing w:after="0" w:line="9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Unallocated Costs for the six months ended June 30, 2025 also decreased, compared to the prior year period, primarily due to a $9 million recovery of legal costs from one of our insurance carriers related to the previously disclosed State of Texas matter that settled in February 2019, as well as cost efficiencies in our corporate functions. However, these factors were partially offset by $25 million of direct response costs related to the previously disclosed January 2025 Cyber Event.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Metrics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Metrics</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use metrics to evaluate our business, determine the allocation of our resources, make decisions regarding corporate strategies and evaluate forward-looking projections and trends affecting our business. We disclose these metrics to provide transparency in our performance trends. We present certain key metrics, including Signings and Net ARR Activity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Total Contract Value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Annual Contract Value ("ACV") is calculated as TCV divided by the contract term, in months, multiplied by 12 for an annual measure.</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1" w:name="page32"/>
    <w:bookmarkEnd w:id="3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Signing information for the three and six months ended June 30, 2025 and 2024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5"/>
          </w:tcPr>
          <w:p>
            <w:pPr>
              <w:jc w:val="center"/>
              <w:ind w:right="4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2025 vs. 2024</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3"/>
                <w:szCs w:val="13"/>
                <w:color w:val="auto"/>
              </w:rPr>
            </w:pPr>
          </w:p>
        </w:tc>
        <w:tc>
          <w:tcPr>
            <w:tcW w:w="122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ind w:right="488"/>
              <w:spacing w:after="0" w:line="156" w:lineRule="exact"/>
              <w:rPr>
                <w:sz w:val="20"/>
                <w:szCs w:val="20"/>
                <w:color w:val="auto"/>
              </w:rPr>
            </w:pPr>
            <w:r>
              <w:rPr>
                <w:rFonts w:ascii="Arial" w:cs="Arial" w:eastAsia="Arial" w:hAnsi="Arial"/>
                <w:sz w:val="14"/>
                <w:szCs w:val="14"/>
                <w:color w:val="auto"/>
                <w:w w:val="95"/>
              </w:rPr>
              <w:t>2024</w:t>
            </w:r>
            <w:r>
              <w:rPr>
                <w:rFonts w:ascii="Arial" w:cs="Arial" w:eastAsia="Arial" w:hAnsi="Arial"/>
                <w:sz w:val="18"/>
                <w:szCs w:val="18"/>
                <w:color w:val="auto"/>
                <w:w w:val="95"/>
                <w:vertAlign w:val="superscript"/>
              </w:rPr>
              <w:t>(3)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5"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94 %</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1"/>
                <w:szCs w:val="21"/>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center"/>
              <w:ind w:left="568"/>
              <w:spacing w:after="0"/>
              <w:rPr>
                <w:sz w:val="20"/>
                <w:szCs w:val="20"/>
                <w:color w:val="auto"/>
              </w:rPr>
            </w:pPr>
            <w:r>
              <w:rPr>
                <w:rFonts w:ascii="Arial" w:cs="Arial" w:eastAsia="Arial" w:hAnsi="Arial"/>
                <w:sz w:val="14"/>
                <w:szCs w:val="14"/>
                <w:color w:val="auto"/>
              </w:rPr>
              <w:t>Six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2025 vs. 2024</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3"/>
                <w:szCs w:val="13"/>
                <w:color w:val="auto"/>
              </w:rPr>
            </w:pPr>
          </w:p>
        </w:tc>
        <w:tc>
          <w:tcPr>
            <w:tcW w:w="1220" w:type="dxa"/>
            <w:vAlign w:val="bottom"/>
          </w:tcPr>
          <w:p>
            <w:pPr>
              <w:jc w:val="center"/>
              <w:ind w:right="448"/>
              <w:spacing w:after="0" w:line="156" w:lineRule="exact"/>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(3)</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ind w:right="488"/>
              <w:spacing w:after="0" w:line="156" w:lineRule="exact"/>
              <w:rPr>
                <w:sz w:val="20"/>
                <w:szCs w:val="20"/>
                <w:color w:val="auto"/>
              </w:rPr>
            </w:pPr>
            <w:r>
              <w:rPr>
                <w:rFonts w:ascii="Arial" w:cs="Arial" w:eastAsia="Arial" w:hAnsi="Arial"/>
                <w:sz w:val="14"/>
                <w:szCs w:val="14"/>
                <w:color w:val="auto"/>
                <w:w w:val="95"/>
              </w:rPr>
              <w:t>2024</w:t>
            </w:r>
            <w:r>
              <w:rPr>
                <w:rFonts w:ascii="Arial" w:cs="Arial" w:eastAsia="Arial" w:hAnsi="Arial"/>
                <w:sz w:val="18"/>
                <w:szCs w:val="18"/>
                <w:color w:val="auto"/>
                <w:w w:val="95"/>
                <w:vertAlign w:val="superscript"/>
              </w:rPr>
              <w:t>(3)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5"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1"/>
                <w:szCs w:val="21"/>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68" w:lineRule="exact"/>
        <w:rPr>
          <w:rFonts w:ascii="Arial" w:cs="Arial" w:eastAsia="Arial" w:hAnsi="Arial"/>
          <w:sz w:val="14"/>
          <w:szCs w:val="14"/>
          <w:i w:val="1"/>
          <w:iCs w:val="1"/>
          <w:color w:val="auto"/>
        </w:rPr>
      </w:pPr>
    </w:p>
    <w:p>
      <w:pPr>
        <w:ind w:left="340" w:right="280" w:hanging="332"/>
        <w:spacing w:after="0" w:line="302" w:lineRule="auto"/>
        <w:tabs>
          <w:tab w:leader="none" w:pos="327"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Adjusted to remove new business signings of the BenefitWallet Portfolio, Curbside Management and Public Safety Solutions businesses and Casualty Claims Solutions business.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total new business pipeline at the end of June 30, 2025 and 2024 was $ 3.3 billion and $3.1 billion, respectively. Total new business pipeline is defined as total new business ACV pipeline of deals at or beyond the qualified prospect stage. Beginning in the first quarter of 2025, we transitioned our measure of sales pipeline from TCV to ACV to align with our primary sales metric and have recast all prior period comparatives to reflect this change. This extends past the next twelve-month period to include total pipeline, excluding the impact of divested business as required.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Net ARR Activity</w:t>
      </w:r>
    </w:p>
    <w:p>
      <w:pPr>
        <w:spacing w:after="0" w:line="15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Net ARR Activity is a metric that is defined as Projected Annual Recurring Revenue ("ARR") for contracts signed in the prior 12 months, less the annualized impact of any client losses, contractual volume and price changes, and other known impacts for which the Company was 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non-recurring revenue signings. This metric is not indicative of any specific 12-month timeframe.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Net ARR activity metric for the trailing twelve months for each of the prior five quarters was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2100" w:type="dxa"/>
            <w:vAlign w:val="bottom"/>
          </w:tcPr>
          <w:p>
            <w:pPr>
              <w:jc w:val="right"/>
              <w:ind w:right="368"/>
              <w:spacing w:after="0"/>
              <w:rPr>
                <w:sz w:val="20"/>
                <w:szCs w:val="20"/>
                <w:color w:val="auto"/>
              </w:rPr>
            </w:pPr>
            <w:r>
              <w:rPr>
                <w:rFonts w:ascii="Arial" w:cs="Arial" w:eastAsia="Arial" w:hAnsi="Arial"/>
                <w:sz w:val="14"/>
                <w:szCs w:val="14"/>
                <w:color w:val="auto"/>
              </w:rPr>
              <w:t>Net ARR Activity metric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2025</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March 31, 2025</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20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2024</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September 30, 2024</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2024</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bl>
    <w:p>
      <w:pPr>
        <w:spacing w:after="0" w:line="200" w:lineRule="exact"/>
        <w:rPr>
          <w:sz w:val="20"/>
          <w:szCs w:val="20"/>
          <w:color w:val="auto"/>
        </w:rPr>
      </w:pPr>
    </w:p>
    <w:p>
      <w:pPr>
        <w:spacing w:after="0" w:line="27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Capital Resources and Liquidity</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2025 and December 31, 2024, total cash and cash equivalents were $ 275 million and $366 million, respectively. We also have a $550 million revolving line of credit for our various cash needs, of which $10 million was used for letters of credit. The net amount available to be drawn upon under our revolving line of credit as of June 30, 2025, was $540 million.</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As of June 30, 2025, our total principal debt outstanding was $ 661 million, of which $28 million was due within one year. Refer to Note 7 – Debt in the Condensed Consolidated Financial Statements for additional debt information.</w:t>
      </w:r>
    </w:p>
    <w:p>
      <w:pPr>
        <w:spacing w:after="0" w:line="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 provide financial flexibility and finance certain investments and projects, we may continue to utilize external financing arrangements. However, we believe that our cash on hand, projected cash flow from operations, sound balance sheet and our revolving line of credit will continue to provide sufficient financial resources to meet our expected business obligations for at least the next twelve months.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color w:val="auto"/>
              </w:rPr>
              <w:t>Six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2025</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2024</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Better (Worse)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6"/>
              </w:rPr>
              <w:t>(73)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r>
      <w:tr>
        <w:trPr>
          <w:trHeight w:val="198"/>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tcPr>
          <w:p>
            <w:pPr>
              <w:jc w:val="center"/>
              <w:ind w:lef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(538)</w:t>
            </w:r>
          </w:p>
        </w:tc>
      </w:tr>
      <w:tr>
        <w:trPr>
          <w:trHeight w:val="207"/>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6"/>
              </w:rPr>
              <w:t>(30)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651</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net decrease in cash used in operating activities of $5 million, compared to the prior year period, was primarily due to lower cash interest expense, improved accounts receivable Days Sales Outstanding and improved accounts payable Days Payable Outstanding. These were partially offset by lower Adjusted EBITDA due to the divestitures and the absence of a $22 million United States federal tax refund related to the 2018 tax year received in the first quarter of 2024.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Investing cash flow decreased by $538 million mainly due to the proceeds received from the BenefitWallet Portfolio transfer and the Curbside Management and Public Safety Solutions ("Curbside") divestiture in the first half of 2024. The 2025 period includes $50 million of cash received related to the non-interest bearing note from the Curbside divestiture.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decrease in cash used in financing activities was due to the voluntary prepayment of $464 million of debt using the proceeds received from the BenefitWallet Portfolio transfer and the Curbside divestiture in the first half of 2024. Additionally, the prior year included $168 million of treasury stock purchases under the program that was completed in September 2024, including $132 million purchased from Carl Icahn and certain of his affiliates.</w:t>
      </w:r>
    </w:p>
    <w:p>
      <w:pPr>
        <w:spacing w:after="0" w:line="200" w:lineRule="exact"/>
        <w:rPr>
          <w:sz w:val="20"/>
          <w:szCs w:val="20"/>
          <w:color w:val="auto"/>
        </w:rPr>
      </w:pPr>
    </w:p>
    <w:p>
      <w:pPr>
        <w:spacing w:after="0" w:line="32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Sales of Accounts Receivable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entered into a factoring agreement in the normal course of business as part of our cash and liquidity management, to sell certain accounts receivable without recourse to a third-party financial institution. The transactions under this agreement are treated as sales and are accounted for as reductions in accounts receivable because the agreement transfers effective control over, and risk related to, the receivables to the buyer. Cash proceeds from this arrangement are included in cash flow from operating activities in the Condensed Consolidated Statements of Cash Flows.</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net impact from the sales of accounts receivable on net cash provided by (used in) operating activities for the six months ended June 30, 2025 and 2024 was $(11) million and $(16)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Material Cash Requirements from Contractual Obligations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believe our balances of cash and cash equivalents, which totaled $275 million as of June 30, 2025, along with cash generated by operations and amounts available for borrowing under our revolving credit facility, will be sufficient to satisfy our cash requirements over the next 12 months and beyond.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2025, the Company’s material cash requirements include debt, leases and estimated purchase commitments. See Part II, Item 7</w:t>
      </w:r>
    </w:p>
    <w:p>
      <w:pPr>
        <w:spacing w:after="0" w:line="2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 Management's Discussion and Analysis of Financial Condition and Results of Operation of our Annual Report on Form 10-K for the year ended December 31, 2024 for additional information on our material cash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Critical Accounting Estimates and Policies</w:t>
      </w:r>
    </w:p>
    <w:p>
      <w:pPr>
        <w:spacing w:after="0" w:line="16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of America ("U.S. GAAP"). The preparation of financial statements in conformity with U.S. GAAP requires us to make estimates and assumptions in certain circumstances that affect amounts reported in the accompanying Condensed Consolidated Financial Statements and notes thereto.</w:t>
      </w:r>
    </w:p>
    <w:p>
      <w:pPr>
        <w:spacing w:after="0" w:line="12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There have been no significant changes during the six months ended June 30, 2025 to our critical accounting estimates and policies from those disclosed in our Annual Report on Form 10-K for the year ended December 31, 2024.</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Recent Accounting Changes</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See Note 2 – Recent Accounting Pronouncements for information on accounting standards adopted during the current year, as well as recently issued accounting standards not yet required to be adopted and the expected impact of the adoption of these accounting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Non-GAAP Financial Measures</w:t>
      </w:r>
    </w:p>
    <w:p>
      <w:pPr>
        <w:spacing w:after="0" w:line="16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report our financial results in accordance with accounting principles generally accepted in the U.S. (U.S. GAAP). In addition, within this Form 10-Q Part I Item 2 we have discussed our financial results using non-GAAP measures.</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compared to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and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spacing w:after="0" w:line="200" w:lineRule="exact"/>
        <w:rPr>
          <w:sz w:val="20"/>
          <w:szCs w:val="20"/>
          <w:color w:val="auto"/>
        </w:rPr>
      </w:pPr>
    </w:p>
    <w:p>
      <w:pPr>
        <w:spacing w:after="0" w:line="35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4" w:name="page35"/>
    <w:bookmarkEnd w:id="3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reconciliation of the non-GAAP financial measures Adjusted EBITDA and EBITDA Margin to the most directly comparable financial measures calculated and presented in accordance with U.S. GAAP is provided in the "Operations Review of Segment Revenue and Profit" section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Adjusted EBITDA and Adjusted EBITDA Margin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use adjusted EBITDA and adjusted EBITDA Margin as an additional way of assessing certain aspects of our operations that, when viewed with the U.S. GAAP results and the accompanying reconciliations to corresponding U.S. GAAP financial measures, provide a more complete understanding of our on-going business. Adjusted EBITDA Margin is adjusted EBITDA divided by revenue. Adjusted EBITDA represents income (loss) before interest, income taxes, depreciation and amortization and contract inducement amortization adjusted for the following items:</w:t>
      </w:r>
    </w:p>
    <w:p>
      <w:pPr>
        <w:spacing w:after="0" w:line="71" w:lineRule="exact"/>
        <w:rPr>
          <w:sz w:val="20"/>
          <w:szCs w:val="20"/>
          <w:color w:val="auto"/>
        </w:rPr>
      </w:pPr>
    </w:p>
    <w:p>
      <w:pPr>
        <w:ind w:left="660" w:right="80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of acquired intangible assets. This is driven by acquisition activity, which can vary in size, nature and timing as compared to other companies within our industry and from period to period.</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and related costs. This includes restructuring and asset impairment charges as well as costs associated with our strategic transformation program.</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 impairment. This represents goodwill impairment charges arising from annual or interim goodwill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 loss on divestitures and transaction costs. This represents (gain) loss on divested businesses and transaction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settlements (recoveries), net. This represents settlements or recoveries for various matters subject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on extinguishment of debt. This represents write-off of debt issuance costs related to prepayments of debt.</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response costs - cyber event. This represents costs related to investigating, remediating and responding to the cyber event that occurred in January 2025.</w:t>
      </w:r>
    </w:p>
    <w:p>
      <w:pPr>
        <w:ind w:left="660" w:right="200" w:hanging="328"/>
        <w:spacing w:after="0" w:line="26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charges (credits). This includes Other (income) expenses, net on the Condensed Consolidated Statements of Income (Loss) and other adjustments.</w:t>
      </w:r>
    </w:p>
    <w:p>
      <w:pPr>
        <w:spacing w:after="0" w:line="117"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Adjusted EBITDA is not intended to represent cash flows from operations, operating income (loss) or net income (loss) as defined by U.S. GAAP as indicators of operating performance. Management cautions that amounts presented in accordance with Conduent's definition of adjusted EBITDA and adjusted EBITDA Margin may not be comparable to similar measures disclosed by other companies because not all companies calculate adjusted EBITDA and adjusted EBITDA Margin in the same manner.</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exposed to market risk from foreign currency exchange rates which could affect operating results, financial position and cash flows. We manage our exposure to this market risk through our regular operating and financing activities and, when appropriate, using derivative financial instruments. We utilized derivative financial instruments to hedge economic exposures, as well as reduce earnings and cash flow volatility resulting from shifts in market rates. We also hedge the cost to fund material non-dollar entities by buying currencies periodically in advance of the funding date. This is accounted for using derivative accounting.</w:t>
      </w:r>
    </w:p>
    <w:p>
      <w:pPr>
        <w:spacing w:after="0" w:line="1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Recent market events have not caused us to materially modify or change our financial risk management strategies with respect to our exposures to foreign currency risk. Refer to Note 8 – Financial Instruments in the Condensed Consolidated Financial Statements for additional discussion on our financial risk management.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reporting period, there have been no material changes to the quantitative and qualitative disclosures regarding our market risk set forth in our Annual Report on Form 10-K for the year ended December 31, 2024.</w:t>
      </w:r>
    </w:p>
    <w:p>
      <w:pPr>
        <w:spacing w:after="0" w:line="200" w:lineRule="exact"/>
        <w:rPr>
          <w:sz w:val="20"/>
          <w:szCs w:val="20"/>
          <w:color w:val="auto"/>
        </w:rPr>
      </w:pPr>
    </w:p>
    <w:p>
      <w:pPr>
        <w:spacing w:after="0" w:line="34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162"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171"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 -15(e) under the Securities Exchange Act of 1934, as amended (the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27"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171" w:lineRule="exact"/>
        <w:rPr>
          <w:sz w:val="20"/>
          <w:szCs w:val="20"/>
          <w:color w:val="auto"/>
        </w:rPr>
      </w:pPr>
    </w:p>
    <w:p>
      <w:pPr>
        <w:ind w:left="340" w:right="260"/>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2025, that have materially affected, or are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16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set forth under Note 12 – Contingencies and Litigation in the Condensed Consolidated Financial Statements of this Form 10-Q is incorporated herein by reference in answer to this Item.</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risk factors as previously reported in our Annual Report on Form 10-K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except as set forth below.</w:t>
      </w:r>
    </w:p>
    <w:p>
      <w:pPr>
        <w:spacing w:after="0" w:line="155"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Our data systems, information systems and network infrastructure have been, and may in the future be, subject to hacking or other cybersecurity threats and other service interruptions, which could expose us to liability, impair our reputation or temporarily render us unable to fulfill our service obligations under our contracts.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leader in business process solutions, we leverage cloud computing, AI, machine learning and advanced analytics. We act as a trusted business partner in both front-office and back-office platforms, providing interactions on a substantial scale with our customers and other third-parties. Our customers include global commercial clients and government clients who depend upon our operational efficiency, non-interruption of service, and accuracy and security of information. We also use third-party providers such as subcontractors, software vendors, utility providers and network providers, upon whom we rely to support our business process solutions, to deliver uninterrupted, secure service. As part of our business process solutions, we also develop system software platforms necessary to support our customers’ needs, with significant ongoing investment in developing and operating customer-appropriate operating systems, databases and system software solutions. We also receive, process, transmit and store substantial volumes of information relating to identifiable individuals, both in our role as a solution provider and as an employer, and we are subject to numerous laws, rules and regulations in the United States (both federal and state) and foreign jurisdictions designed to protect both individually identifiable information as well as personal health information. We also receive, process and implement financial transactions, and disburse funds, on behalf of both commercial and government customers, which activity includes receiving debit and credit card information to process payments due to our customers as well as disbursing funds to payees of our customers. As a result of these and other business process solutions, the integrity, security, accuracy and non-interruption of our systems and information technology and that of our third-party providers and our interfaces with our customers are extremely important to our business, operating results, growth, prospects and reputation.</w:t>
      </w:r>
    </w:p>
    <w:p>
      <w:pPr>
        <w:spacing w:after="0" w:line="200" w:lineRule="exact"/>
        <w:rPr>
          <w:sz w:val="20"/>
          <w:szCs w:val="20"/>
          <w:color w:val="auto"/>
        </w:rPr>
      </w:pPr>
    </w:p>
    <w:p>
      <w:pPr>
        <w:spacing w:after="0" w:line="33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in the past been, and remain, susceptible to breach of security systems which may result and has resulted in unauthorized access to our facilities and those of our customers and/or access to and exfiltration of the information we and our customers are trying to protect. Cybersecurity failure might be caused by computer hacking, compromised credentials, malware, computer viruses, worms, trojans, ransomware and other destructive software, “cyber-attacks” and other malicious activity, as well as natural disasters, power outages, terrorist attacks and similar events. Operational or business delays may also result from the disruption of network or information systems and subsequent remediation activities.</w:t>
      </w:r>
    </w:p>
    <w:p>
      <w:pPr>
        <w:spacing w:after="0" w:line="12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Because the techniques used to obtain unauthorized access are constantly changing and becoming increasingly more sophisticated and often are not recognized until launched against a target, we or our third-party service providers may be unable to anticipate these techniques or implement sufficient preventative measures. Unauthorized access, hacking, malware, phishing, viruses, worms, trojans, ransomware and other “cyber-attacks” have become more prevalent, have occurred in our systems in the past, and may occur in our systems in the future. Our cyber practices and cybersecurity systems may prove to be inadequate and result in the disruption, failure, misappropriation or corruption of our network and information systems and it may not be possible for us to fully or timely know if or when such incidents arise, or the full business impact of any cybersecurity breach.</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Additionally, with advances in computer capabilities and data protection requirements to address ongoing threats, we may be required to expend significant capital and other resources to protect against potential security breaches or to alleviate problems caused by security breaches. Moreover, employee error or malfeasance, faulty password management or other irregularities may result in a defeat of our or our third-party service providers’ security measures and a breach of our or our third-party service providers’ information systems (whether digital, cloud-based or otherwise). In addition, the increased use of employee-owned devices for communications as well as work-from-home arrangements, present additional operational risks to our information technology systems, including, but not limited to, increased risks of cyber-attacks.</w:t>
      </w:r>
    </w:p>
    <w:p>
      <w:pPr>
        <w:spacing w:after="0" w:line="1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in the past experienced, and in the future could experience, an unauthorized party gaining physical access to one of our or one of our third-party service providers’ facilities or gain electronic access to our or one of our third-party service providers’ information systems. For example, on January 13, 2025, the Company experienced an operational disruption and learned that a threat actor gained unauthorized access to a limited portion of the Company’s environment and exfiltrated a set of files associated with a limited number of the Company’s clients. See Part II, Item 7 – Management's Discussion and Analysis of Financial Condition and Results of Operation – “Cyber Event” for additional information. This and any other such access could result in, among other things, unfavorable publicity and significant damage to our brand, governmental inquiry, oversight and possible regulatory action, difficulty in marketing our services, loss of existing and potential customers, allegations by our customers that we have not performed our contractual obligations, litigation by affected parties and possible financial obligations for substantial damages related to the theft or misuse of such information, any of which could materially adversely affect our results of operations and financial condition. Similar consequences may arise if sensitive or confidential information is misdirected, lost or stolen during transmission or transport, or is stolen or misused. Moreover, security breaches have and could require us to devote significant management resources to address the problems created by the security breach and to expend significant additional resources to upgrade further the security measures that we employ to guard such personal information against "cyber-attacks" and to maintain various systems and data centers for our customers. Often these systems and data centers must be maintained worldwide and on a 24/7 basis. We have in the past experienced and in the future could experience service interruptions that could result in curtailed operations and loss of existing and potential customers, which could significantly reduce our revenues and profits in addition to significantly impairing our reputation. If our information systems and our back-up systems are damaged, breached or cease to function properly, we may have to make a significant investment to repair or replace them, and we may suffer interruptions in our operations in the interim, each of which could materially adversely affect our results of operations and financial condition.</w:t>
      </w:r>
    </w:p>
    <w:p>
      <w:pPr>
        <w:spacing w:after="0" w:line="13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our and our customers’ systems and networks are subject to continued threats of terrorism, which could disrupt our operations as well as disrupt the utilities and telecommunications infrastructure on which our business depends. To the extent any such disruptions were to occur, our business, operating results and financial condition could be materially adversely affected. In addition, our liability insurance, which includes cyber insurance, might not be sufficient in type or amount to cover us, or the carrier may decline to cover us, against claims related to security incidents, cyberattacks and other related incidents.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7" w:name="page38"/>
    <w:bookmarkEnd w:id="3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162"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June 30, 2025</w:t>
      </w:r>
    </w:p>
    <w:p>
      <w:pPr>
        <w:spacing w:after="0" w:line="171" w:lineRule="exact"/>
        <w:rPr>
          <w:sz w:val="20"/>
          <w:szCs w:val="20"/>
          <w:color w:val="auto"/>
        </w:rPr>
      </w:pPr>
    </w:p>
    <w:p>
      <w:pPr>
        <w:ind w:left="420" w:right="20"/>
        <w:spacing w:after="0" w:line="287" w:lineRule="auto"/>
        <w:rPr>
          <w:sz w:val="20"/>
          <w:szCs w:val="20"/>
          <w:color w:val="auto"/>
        </w:rPr>
      </w:pPr>
      <w:r>
        <w:rPr>
          <w:rFonts w:ascii="Arial" w:cs="Arial" w:eastAsia="Arial" w:hAnsi="Arial"/>
          <w:sz w:val="18"/>
          <w:szCs w:val="18"/>
          <w:color w:val="auto"/>
        </w:rPr>
        <w:t>During the quarter ended June 30, 2025, the Company did not issue any securities in transactions that were not registered under the Securities Act of 1933, as amended.</w:t>
      </w:r>
    </w:p>
    <w:p>
      <w:pPr>
        <w:spacing w:after="0" w:line="99"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b w:val="1"/>
          <w:bCs w:val="1"/>
          <w:color w:val="1269BC"/>
        </w:rPr>
      </w:pPr>
      <w:r>
        <w:rPr>
          <w:rFonts w:ascii="Arial" w:cs="Arial" w:eastAsia="Arial" w:hAnsi="Arial"/>
          <w:sz w:val="18"/>
          <w:szCs w:val="18"/>
          <w:b w:val="1"/>
          <w:bCs w:val="1"/>
          <w:color w:val="1269BC"/>
        </w:rPr>
        <w:t>Purchases of Equity Securities by the Issuer and Affiliated Purchasers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Share repurchase activity during the three months ended June 30, 2025 was as follows:</w:t>
      </w:r>
    </w:p>
    <w:p>
      <w:pPr>
        <w:spacing w:after="0" w:line="204"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2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of Shares that</w:t>
            </w:r>
          </w:p>
        </w:tc>
        <w:tc>
          <w:tcPr>
            <w:tcW w:w="0" w:type="dxa"/>
            <w:vAlign w:val="bottom"/>
          </w:tcPr>
          <w:p>
            <w:pPr>
              <w:spacing w:after="0"/>
              <w:rPr>
                <w:sz w:val="1"/>
                <w:szCs w:val="1"/>
                <w:color w:val="auto"/>
              </w:rPr>
            </w:pPr>
          </w:p>
        </w:tc>
      </w:tr>
      <w:tr>
        <w:trPr>
          <w:trHeight w:val="135"/>
        </w:trPr>
        <w:tc>
          <w:tcPr>
            <w:tcW w:w="1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Purchased as a Part of</w:t>
            </w:r>
          </w:p>
        </w:tc>
        <w:tc>
          <w:tcPr>
            <w:tcW w:w="120" w:type="dxa"/>
            <w:vAlign w:val="bottom"/>
          </w:tcPr>
          <w:p>
            <w:pPr>
              <w:spacing w:after="0"/>
              <w:rPr>
                <w:sz w:val="11"/>
                <w:szCs w:val="11"/>
                <w:color w:val="auto"/>
              </w:rPr>
            </w:pPr>
          </w:p>
        </w:tc>
        <w:tc>
          <w:tcPr>
            <w:tcW w:w="27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May Yet Be Purchased Under Plan (in</w:t>
            </w:r>
          </w:p>
        </w:tc>
        <w:tc>
          <w:tcPr>
            <w:tcW w:w="0" w:type="dxa"/>
            <w:vAlign w:val="bottom"/>
          </w:tcPr>
          <w:p>
            <w:pPr>
              <w:spacing w:after="0"/>
              <w:rPr>
                <w:sz w:val="1"/>
                <w:szCs w:val="1"/>
                <w:color w:val="auto"/>
              </w:rPr>
            </w:pPr>
          </w:p>
        </w:tc>
      </w:tr>
      <w:tr>
        <w:trPr>
          <w:trHeight w:val="202"/>
        </w:trPr>
        <w:tc>
          <w:tcPr>
            <w:tcW w:w="1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Shares Purchased</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9"/>
                <w:szCs w:val="9"/>
                <w:b w:val="1"/>
                <w:bCs w:val="1"/>
                <w:color w:val="auto"/>
              </w:rPr>
              <w:t>(2)</w:t>
            </w:r>
          </w:p>
        </w:tc>
        <w:tc>
          <w:tcPr>
            <w:tcW w:w="10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97"/>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April 1-30, 2025</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May 1-31, 2025</w:t>
            </w: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78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2"/>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1-30,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2,681,373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2,681,373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0"/>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2,681,373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2,681,373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580" w:hanging="167"/>
        <w:spacing w:after="0" w:line="227" w:lineRule="auto"/>
        <w:tabs>
          <w:tab w:leader="none" w:pos="623"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On May 20, 2025, the Board of Directors authorized a three-year share repurchase program, granting approval for the Company to repurchase up to $50 million of its common stock from time to time as market and business conditions warrant, including through open market purchases or Rule 10b5-1 trading plans.</w:t>
      </w:r>
    </w:p>
    <w:p>
      <w:pPr>
        <w:spacing w:after="0" w:line="113" w:lineRule="exact"/>
        <w:rPr>
          <w:rFonts w:ascii="Arial" w:cs="Arial" w:eastAsia="Arial" w:hAnsi="Arial"/>
          <w:sz w:val="23"/>
          <w:szCs w:val="23"/>
          <w:color w:val="auto"/>
          <w:vertAlign w:val="superscript"/>
        </w:rPr>
      </w:pPr>
    </w:p>
    <w:p>
      <w:pPr>
        <w:ind w:left="600" w:hanging="187"/>
        <w:spacing w:after="0"/>
        <w:tabs>
          <w:tab w:leader="none" w:pos="60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Average share price includes transaction commissions.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5 —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10b5-1 Plans</w:t>
      </w:r>
    </w:p>
    <w:p>
      <w:pPr>
        <w:spacing w:after="0" w:line="171"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During the three months ended June 30, 2025,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vMerge w:val="restart"/>
          </w:tcPr>
          <w:p>
            <w:pPr>
              <w:ind w:left="18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40" w:type="dxa"/>
            <w:vAlign w:val="bottom"/>
            <w:gridSpan w:val="15"/>
            <w:vMerge w:val="restart"/>
          </w:tcPr>
          <w:p>
            <w:pPr>
              <w:ind w:left="20"/>
              <w:spacing w:after="0"/>
              <w:rPr>
                <w:sz w:val="20"/>
                <w:szCs w:val="20"/>
                <w:color w:val="auto"/>
              </w:rPr>
            </w:pPr>
            <w:r>
              <w:rPr>
                <w:rFonts w:ascii="Arial" w:cs="Arial" w:eastAsia="Arial" w:hAnsi="Arial"/>
                <w:sz w:val="18"/>
                <w:szCs w:val="18"/>
                <w:color w:val="auto"/>
              </w:rPr>
              <w:t>Description</w:t>
            </w:r>
          </w:p>
        </w:tc>
        <w:tc>
          <w:tcPr>
            <w:tcW w:w="1020" w:type="dxa"/>
            <w:vAlign w:val="bottom"/>
          </w:tcPr>
          <w:p>
            <w:pPr>
              <w:jc w:val="cente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43"/>
        </w:trPr>
        <w:tc>
          <w:tcPr>
            <w:tcW w:w="13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140" w:type="dxa"/>
            <w:vAlign w:val="bottom"/>
            <w:gridSpan w:val="15"/>
            <w:vMerge w:val="continue"/>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182"/>
        </w:trPr>
        <w:tc>
          <w:tcPr>
            <w:tcW w:w="1320" w:type="dxa"/>
            <w:vAlign w:val="bottom"/>
          </w:tcPr>
          <w:p>
            <w:pPr>
              <w:spacing w:after="0" w:line="182" w:lineRule="exact"/>
              <w:rPr>
                <w:sz w:val="20"/>
                <w:szCs w:val="20"/>
                <w:color w:val="auto"/>
              </w:rPr>
            </w:pPr>
            <w:r>
              <w:rPr>
                <w:rFonts w:ascii="Arial" w:cs="Arial" w:eastAsia="Arial" w:hAnsi="Arial"/>
                <w:sz w:val="18"/>
                <w:szCs w:val="18"/>
                <w:color w:val="auto"/>
              </w:rPr>
              <w:t>2.1</w:t>
            </w:r>
          </w:p>
        </w:tc>
        <w:tc>
          <w:tcPr>
            <w:tcW w:w="20" w:type="dxa"/>
            <w:vAlign w:val="bottom"/>
            <w:tcBorders>
              <w:top w:val="single" w:sz="8" w:color="auto"/>
            </w:tcBorders>
          </w:tcPr>
          <w:p>
            <w:pPr>
              <w:spacing w:after="0"/>
              <w:rPr>
                <w:sz w:val="15"/>
                <w:szCs w:val="15"/>
                <w:color w:val="auto"/>
              </w:rPr>
            </w:pPr>
          </w:p>
        </w:tc>
        <w:tc>
          <w:tcPr>
            <w:tcW w:w="4340" w:type="dxa"/>
            <w:vAlign w:val="bottom"/>
            <w:tcBorders>
              <w:top w:val="single" w:sz="8" w:color="auto"/>
              <w:bottom w:val="single" w:sz="8" w:color="0000FF"/>
            </w:tcBorders>
            <w:gridSpan w:val="7"/>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Custodial Transfer and Purchase Agreement, between</w:t>
              </w:r>
            </w:hyperlink>
          </w:p>
        </w:tc>
        <w:tc>
          <w:tcPr>
            <w:tcW w:w="820" w:type="dxa"/>
            <w:vAlign w:val="bottom"/>
            <w:tcBorders>
              <w:top w:val="single" w:sz="8" w:color="auto"/>
            </w:tcBorders>
            <w:gridSpan w:val="11"/>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19"/>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Conduent Business Services, LLC and HealthEquity, Inc., dated</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49">
              <w:r>
                <w:rPr>
                  <w:rFonts w:ascii="Arial" w:cs="Arial" w:eastAsia="Arial" w:hAnsi="Arial"/>
                  <w:sz w:val="18"/>
                  <w:szCs w:val="18"/>
                  <w:color w:val="0000FF"/>
                </w:rPr>
                <w:t>as of September 18, 2023.</w:t>
              </w:r>
            </w:hyperlink>
          </w:p>
        </w:tc>
        <w:tc>
          <w:tcPr>
            <w:tcW w:w="16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5240" w:type="dxa"/>
            <w:vAlign w:val="bottom"/>
            <w:gridSpan w:val="19"/>
          </w:tcPr>
          <w:p>
            <w:pPr>
              <w:spacing w:after="0"/>
              <w:rPr>
                <w:rFonts w:ascii="Arial" w:cs="Arial" w:eastAsia="Arial" w:hAnsi="Arial"/>
                <w:sz w:val="18"/>
                <w:szCs w:val="18"/>
                <w:color w:val="0000FF"/>
              </w:rPr>
            </w:pPr>
            <w:hyperlink r:id="rId50">
              <w:r>
                <w:rPr>
                  <w:rFonts w:ascii="Arial" w:cs="Arial" w:eastAsia="Arial" w:hAnsi="Arial"/>
                  <w:sz w:val="18"/>
                  <w:szCs w:val="18"/>
                  <w:color w:val="0000FF"/>
                </w:rPr>
                <w:t>First Amendment to Custodial Transfer and Purchase</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19"/>
          </w:tcPr>
          <w:p>
            <w:pPr>
              <w:spacing w:after="0" w:line="156" w:lineRule="exact"/>
              <w:rPr>
                <w:rFonts w:ascii="Arial" w:cs="Arial" w:eastAsia="Arial" w:hAnsi="Arial"/>
                <w:sz w:val="18"/>
                <w:szCs w:val="18"/>
                <w:color w:val="0000FF"/>
              </w:rPr>
            </w:pPr>
            <w:hyperlink r:id="rId50">
              <w:r>
                <w:rPr>
                  <w:rFonts w:ascii="Arial" w:cs="Arial" w:eastAsia="Arial" w:hAnsi="Arial"/>
                  <w:sz w:val="18"/>
                  <w:szCs w:val="18"/>
                  <w:color w:val="0000FF"/>
                </w:rPr>
                <w:t>Agreement, between Conduent Business Services, LLC and</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HealthEquity, Inc., dated as of March 7, 2024.</w:t>
              </w:r>
            </w:hyperlink>
          </w:p>
        </w:tc>
        <w:tc>
          <w:tcPr>
            <w:tcW w:w="116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5240" w:type="dxa"/>
            <w:vAlign w:val="bottom"/>
            <w:gridSpan w:val="19"/>
          </w:tcPr>
          <w:p>
            <w:pPr>
              <w:spacing w:after="0"/>
              <w:rPr>
                <w:rFonts w:ascii="Arial" w:cs="Arial" w:eastAsia="Arial" w:hAnsi="Arial"/>
                <w:sz w:val="18"/>
                <w:szCs w:val="18"/>
                <w:color w:val="0000FF"/>
              </w:rPr>
            </w:pPr>
            <w:hyperlink r:id="rId51">
              <w:r>
                <w:rPr>
                  <w:rFonts w:ascii="Arial" w:cs="Arial" w:eastAsia="Arial" w:hAnsi="Arial"/>
                  <w:sz w:val="18"/>
                  <w:szCs w:val="18"/>
                  <w:color w:val="0000FF"/>
                </w:rPr>
                <w:t>Restated Certificate of Incorporation of Registrant filed with the</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Department of the State of New York on December 31, 2016.</w:t>
              </w:r>
            </w:hyperlink>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240" w:type="dxa"/>
            <w:vAlign w:val="bottom"/>
            <w:gridSpan w:val="19"/>
          </w:tcPr>
          <w:p>
            <w:pPr>
              <w:spacing w:after="0"/>
              <w:rPr>
                <w:rFonts w:ascii="Arial" w:cs="Arial" w:eastAsia="Arial" w:hAnsi="Arial"/>
                <w:sz w:val="18"/>
                <w:szCs w:val="18"/>
                <w:color w:val="0000FF"/>
              </w:rPr>
            </w:pPr>
            <w:hyperlink r:id="rId52">
              <w:r>
                <w:rPr>
                  <w:rFonts w:ascii="Arial" w:cs="Arial" w:eastAsia="Arial" w:hAnsi="Arial"/>
                  <w:sz w:val="18"/>
                  <w:szCs w:val="18"/>
                  <w:color w:val="0000FF"/>
                </w:rPr>
                <w:t>Amended and Restated By-Laws of Registrant as amended</w:t>
              </w:r>
            </w:hyperlink>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through October 31, 2023.</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2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10.6(a)(i)**</w:t>
            </w:r>
          </w:p>
        </w:tc>
        <w:tc>
          <w:tcPr>
            <w:tcW w:w="20" w:type="dxa"/>
            <w:vAlign w:val="bottom"/>
          </w:tcPr>
          <w:p>
            <w:pPr>
              <w:spacing w:after="0"/>
              <w:rPr>
                <w:sz w:val="19"/>
                <w:szCs w:val="19"/>
                <w:color w:val="auto"/>
              </w:rPr>
            </w:pPr>
          </w:p>
        </w:tc>
        <w:tc>
          <w:tcPr>
            <w:tcW w:w="5240" w:type="dxa"/>
            <w:vAlign w:val="bottom"/>
            <w:gridSpan w:val="19"/>
          </w:tcPr>
          <w:p>
            <w:pPr>
              <w:spacing w:after="0"/>
              <w:rPr>
                <w:sz w:val="20"/>
                <w:szCs w:val="20"/>
                <w:color w:val="auto"/>
              </w:rPr>
            </w:pPr>
            <w:r>
              <w:rPr>
                <w:rFonts w:ascii="Arial" w:cs="Arial" w:eastAsia="Arial" w:hAnsi="Arial"/>
                <w:sz w:val="18"/>
                <w:szCs w:val="18"/>
                <w:color w:val="0000FF"/>
              </w:rPr>
              <w:t>Form of APIP Share Award Agreement 2025 under the 2021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8"/>
              </w:rPr>
              <w:t>PIP.</w:t>
            </w:r>
          </w:p>
        </w:tc>
        <w:tc>
          <w:tcPr>
            <w:tcW w:w="45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2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10.6(a)(ii)**</w:t>
            </w:r>
          </w:p>
        </w:tc>
        <w:tc>
          <w:tcPr>
            <w:tcW w:w="20" w:type="dxa"/>
            <w:vAlign w:val="bottom"/>
          </w:tcPr>
          <w:p>
            <w:pPr>
              <w:spacing w:after="0"/>
              <w:rPr>
                <w:sz w:val="19"/>
                <w:szCs w:val="19"/>
                <w:color w:val="auto"/>
              </w:rPr>
            </w:pPr>
          </w:p>
        </w:tc>
        <w:tc>
          <w:tcPr>
            <w:tcW w:w="5240" w:type="dxa"/>
            <w:vAlign w:val="bottom"/>
            <w:gridSpan w:val="19"/>
          </w:tcPr>
          <w:p>
            <w:pPr>
              <w:spacing w:after="0"/>
              <w:rPr>
                <w:sz w:val="20"/>
                <w:szCs w:val="20"/>
                <w:color w:val="auto"/>
              </w:rPr>
            </w:pPr>
            <w:r>
              <w:rPr>
                <w:rFonts w:ascii="Arial" w:cs="Arial" w:eastAsia="Arial" w:hAnsi="Arial"/>
                <w:sz w:val="18"/>
                <w:szCs w:val="18"/>
                <w:color w:val="0000FF"/>
              </w:rPr>
              <w:t>Form of APIP Share Award Agreement 2025 for CEO and CFO</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7"/>
              </w:rPr>
              <w:t>under the 2021 PIP.</w:t>
            </w:r>
          </w:p>
        </w:tc>
        <w:tc>
          <w:tcPr>
            <w:tcW w:w="3440" w:type="dxa"/>
            <w:vAlign w:val="bottom"/>
            <w:tcBorders>
              <w:top w:val="single" w:sz="8" w:color="0000FF"/>
            </w:tcBorders>
            <w:gridSpan w:val="13"/>
          </w:tcPr>
          <w:p>
            <w:pPr>
              <w:spacing w:after="0"/>
              <w:rPr>
                <w:sz w:val="13"/>
                <w:szCs w:val="13"/>
                <w:color w:val="auto"/>
              </w:rPr>
            </w:pPr>
          </w:p>
        </w:tc>
        <w:tc>
          <w:tcPr>
            <w:tcW w:w="22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31(a)</w:t>
            </w:r>
          </w:p>
        </w:tc>
        <w:tc>
          <w:tcPr>
            <w:tcW w:w="20" w:type="dxa"/>
            <w:vAlign w:val="bottom"/>
          </w:tcPr>
          <w:p>
            <w:pPr>
              <w:spacing w:after="0"/>
              <w:rPr>
                <w:sz w:val="19"/>
                <w:szCs w:val="19"/>
                <w:color w:val="auto"/>
              </w:rPr>
            </w:pPr>
          </w:p>
        </w:tc>
        <w:tc>
          <w:tcPr>
            <w:tcW w:w="5240" w:type="dxa"/>
            <w:vAlign w:val="bottom"/>
            <w:gridSpan w:val="19"/>
          </w:tcPr>
          <w:p>
            <w:pPr>
              <w:spacing w:after="0"/>
              <w:rPr>
                <w:sz w:val="20"/>
                <w:szCs w:val="20"/>
                <w:color w:val="auto"/>
              </w:rPr>
            </w:pPr>
            <w:r>
              <w:rPr>
                <w:rFonts w:ascii="Arial" w:cs="Arial" w:eastAsia="Arial" w:hAnsi="Arial"/>
                <w:sz w:val="18"/>
                <w:szCs w:val="18"/>
                <w:color w:val="0000FF"/>
              </w:rPr>
              <w:t>Certification of CEO pursuant to Rule 13a-14(a) or Rule 15d-</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7"/>
              </w:rPr>
              <w:t>14(a).</w:t>
            </w:r>
          </w:p>
        </w:tc>
        <w:tc>
          <w:tcPr>
            <w:tcW w:w="4400" w:type="dxa"/>
            <w:vAlign w:val="bottom"/>
            <w:tcBorders>
              <w:top w:val="single" w:sz="8" w:color="0000FF"/>
            </w:tcBorders>
            <w:gridSpan w:val="11"/>
          </w:tcPr>
          <w:p>
            <w:pPr>
              <w:spacing w:after="0"/>
              <w:rPr>
                <w:sz w:val="13"/>
                <w:szCs w:val="13"/>
                <w:color w:val="auto"/>
              </w:rPr>
            </w:pPr>
          </w:p>
        </w:tc>
        <w:tc>
          <w:tcPr>
            <w:tcW w:w="360" w:type="dxa"/>
            <w:vAlign w:val="bottom"/>
            <w:gridSpan w:val="6"/>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31(b)</w:t>
            </w:r>
          </w:p>
        </w:tc>
        <w:tc>
          <w:tcPr>
            <w:tcW w:w="20" w:type="dxa"/>
            <w:vAlign w:val="bottom"/>
          </w:tcPr>
          <w:p>
            <w:pPr>
              <w:spacing w:after="0"/>
              <w:rPr>
                <w:sz w:val="19"/>
                <w:szCs w:val="19"/>
                <w:color w:val="auto"/>
              </w:rPr>
            </w:pPr>
          </w:p>
        </w:tc>
        <w:tc>
          <w:tcPr>
            <w:tcW w:w="5240" w:type="dxa"/>
            <w:vAlign w:val="bottom"/>
            <w:gridSpan w:val="19"/>
          </w:tcPr>
          <w:p>
            <w:pPr>
              <w:spacing w:after="0"/>
              <w:rPr>
                <w:sz w:val="20"/>
                <w:szCs w:val="20"/>
                <w:color w:val="auto"/>
              </w:rPr>
            </w:pPr>
            <w:r>
              <w:rPr>
                <w:rFonts w:ascii="Arial" w:cs="Arial" w:eastAsia="Arial" w:hAnsi="Arial"/>
                <w:sz w:val="18"/>
                <w:szCs w:val="18"/>
                <w:color w:val="0000FF"/>
              </w:rPr>
              <w:t>Certification of CFO pursuant to Rule 13a-14(a) or Rule 15d-</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7"/>
              </w:rPr>
              <w:t>14(a).</w:t>
            </w:r>
          </w:p>
        </w:tc>
        <w:tc>
          <w:tcPr>
            <w:tcW w:w="4380" w:type="dxa"/>
            <w:vAlign w:val="bottom"/>
            <w:tcBorders>
              <w:top w:val="single" w:sz="8" w:color="0000FF"/>
            </w:tcBorders>
            <w:gridSpan w:val="10"/>
          </w:tcPr>
          <w:p>
            <w:pPr>
              <w:spacing w:after="0"/>
              <w:rPr>
                <w:sz w:val="13"/>
                <w:szCs w:val="13"/>
                <w:color w:val="auto"/>
              </w:rPr>
            </w:pPr>
          </w:p>
        </w:tc>
        <w:tc>
          <w:tcPr>
            <w:tcW w:w="380" w:type="dxa"/>
            <w:vAlign w:val="bottom"/>
            <w:gridSpan w:val="7"/>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240" w:type="dxa"/>
            <w:vAlign w:val="bottom"/>
            <w:gridSpan w:val="19"/>
          </w:tcPr>
          <w:p>
            <w:pPr>
              <w:spacing w:after="0"/>
              <w:rPr>
                <w:sz w:val="20"/>
                <w:szCs w:val="20"/>
                <w:color w:val="auto"/>
              </w:rPr>
            </w:pPr>
            <w:r>
              <w:rPr>
                <w:rFonts w:ascii="Arial" w:cs="Arial" w:eastAsia="Arial" w:hAnsi="Arial"/>
                <w:sz w:val="18"/>
                <w:szCs w:val="18"/>
                <w:color w:val="0000FF"/>
              </w:rPr>
              <w:t>Certification of CEO and CFO pursuant to 18 U.S.C. Section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tcBorders>
            <w:gridSpan w:val="10"/>
          </w:tcPr>
          <w:p>
            <w:pPr>
              <w:spacing w:after="0" w:line="168" w:lineRule="exact"/>
              <w:rPr>
                <w:sz w:val="20"/>
                <w:szCs w:val="20"/>
                <w:color w:val="auto"/>
              </w:rPr>
            </w:pPr>
            <w:r>
              <w:rPr>
                <w:rFonts w:ascii="Arial" w:cs="Arial" w:eastAsia="Arial" w:hAnsi="Arial"/>
                <w:sz w:val="18"/>
                <w:szCs w:val="18"/>
                <w:u w:val="single" w:color="auto"/>
                <w:color w:val="0000FF"/>
              </w:rPr>
              <w:t>1350, as adopted pursuant to Section 906 of the Sarbanes-</w:t>
            </w:r>
          </w:p>
        </w:tc>
        <w:tc>
          <w:tcPr>
            <w:tcW w:w="420" w:type="dxa"/>
            <w:vAlign w:val="bottom"/>
            <w:gridSpan w:val="9"/>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360"/>
        <w:spacing w:after="0"/>
        <w:rPr>
          <w:sz w:val="20"/>
          <w:szCs w:val="20"/>
          <w:color w:val="auto"/>
        </w:rPr>
      </w:pPr>
      <w:r>
        <w:rPr>
          <w:rFonts w:ascii="Arial" w:cs="Arial" w:eastAsia="Arial" w:hAnsi="Arial"/>
          <w:sz w:val="18"/>
          <w:szCs w:val="18"/>
          <w:u w:val="single" w:color="auto"/>
          <w:color w:val="0000FF"/>
        </w:rPr>
        <w:t>Oxley Act of 2002.</w:t>
      </w:r>
    </w:p>
    <w:p>
      <w:pPr>
        <w:spacing w:after="0" w:line="14" w:lineRule="exact"/>
        <w:rPr>
          <w:sz w:val="20"/>
          <w:szCs w:val="20"/>
          <w:color w:val="auto"/>
        </w:rPr>
      </w:pPr>
    </w:p>
    <w:p>
      <w:pPr>
        <w:ind w:left="1360" w:right="1120" w:hanging="1334"/>
        <w:spacing w:after="0" w:line="213" w:lineRule="auto"/>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June 30, 2025 formatted in Inline XBRL: (i) Condensed Consolidated Statements of Income, (ii) Condensed Consolidated Statements of Comprehensive Income, (iii) Condensed Consolidated Balance Sheets, (iv) Condensed Consolidated Statements of Cash Flows, (v) Condensed Consolidated Statements of Shareholders' Equity and (vi) Notes to Condensed Consolidated Financial Statements.</w:t>
      </w:r>
    </w:p>
    <w:p>
      <w:pPr>
        <w:spacing w:after="0" w:line="11" w:lineRule="exact"/>
        <w:rPr>
          <w:sz w:val="20"/>
          <w:szCs w:val="20"/>
          <w:color w:val="auto"/>
        </w:rPr>
      </w:pPr>
    </w:p>
    <w:p>
      <w:pPr>
        <w:ind w:left="1360" w:right="1200" w:hanging="1334"/>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2371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Form</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Exhibit No.</w:t>
            </w:r>
          </w:p>
        </w:tc>
        <w:tc>
          <w:tcPr>
            <w:tcW w:w="1240" w:type="dxa"/>
            <w:vAlign w:val="bottom"/>
          </w:tcPr>
          <w:p>
            <w:pPr>
              <w:ind w:left="180"/>
              <w:spacing w:after="0"/>
              <w:rPr>
                <w:sz w:val="20"/>
                <w:szCs w:val="20"/>
                <w:color w:val="auto"/>
              </w:rPr>
            </w:pPr>
            <w:r>
              <w:rPr>
                <w:rFonts w:ascii="Arial" w:cs="Arial" w:eastAsia="Arial" w:hAnsi="Arial"/>
                <w:sz w:val="18"/>
                <w:szCs w:val="18"/>
                <w:color w:val="auto"/>
              </w:rPr>
              <w:t>Filing Date</w:t>
            </w:r>
          </w:p>
        </w:tc>
      </w:tr>
      <w:tr>
        <w:trPr>
          <w:trHeight w:val="232"/>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8-K</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9/19/2023</w:t>
            </w:r>
          </w:p>
        </w:tc>
      </w:tr>
      <w:tr>
        <w:trPr>
          <w:trHeight w:val="58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950"/>
              <w:spacing w:after="0"/>
              <w:rPr>
                <w:sz w:val="20"/>
                <w:szCs w:val="20"/>
                <w:color w:val="auto"/>
              </w:rPr>
            </w:pPr>
            <w:r>
              <w:rPr>
                <w:rFonts w:ascii="Arial" w:cs="Arial" w:eastAsia="Arial" w:hAnsi="Arial"/>
                <w:sz w:val="18"/>
                <w:szCs w:val="18"/>
                <w:color w:val="auto"/>
                <w:w w:val="95"/>
              </w:rPr>
              <w:t>2.2</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8/7/2024</w:t>
            </w:r>
          </w:p>
        </w:tc>
      </w:tr>
      <w:tr>
        <w:trPr>
          <w:trHeight w:val="594"/>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950"/>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12/23/2016</w:t>
            </w:r>
          </w:p>
        </w:tc>
      </w:tr>
      <w:tr>
        <w:trPr>
          <w:trHeight w:val="418"/>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950"/>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11/1/2023</w:t>
            </w:r>
          </w:p>
        </w:tc>
      </w:tr>
    </w:tbl>
    <w:p>
      <w:pPr>
        <w:spacing w:after="0" w:line="4625" w:lineRule="exact"/>
        <w:rPr>
          <w:sz w:val="20"/>
          <w:szCs w:val="20"/>
          <w:color w:val="auto"/>
        </w:rPr>
      </w:pPr>
    </w:p>
    <w:p>
      <w:pPr>
        <w:sectPr>
          <w:pgSz w:w="11900" w:h="16838" w:orient="portrait"/>
          <w:cols w:equalWidth="0" w:num="2">
            <w:col w:w="7620" w:space="100"/>
            <w:col w:w="3520"/>
          </w:cols>
          <w:pgMar w:left="320" w:top="156" w:right="339" w:bottom="1440" w:gutter="0" w:footer="0" w:header="0"/>
        </w:sect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07" w:lineRule="exact"/>
        <w:rPr>
          <w:sz w:val="20"/>
          <w:szCs w:val="20"/>
          <w:color w:val="auto"/>
        </w:rPr>
      </w:pPr>
    </w:p>
    <w:p>
      <w:pPr>
        <w:ind w:left="660" w:right="140" w:hanging="652"/>
        <w:spacing w:after="0" w:line="257" w:lineRule="auto"/>
        <w:tabs>
          <w:tab w:leader="none" w:pos="2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Document has been furnished, is deemed not filed and is not to be incorporated by reference into any of Registrant’s filings under the Securities Act of 1933, as amended, or the Securities Exchange Act of 1934, as amended, irrespective of any general incorporation language contained in any such filing.</w:t>
      </w:r>
    </w:p>
    <w:p>
      <w:pPr>
        <w:spacing w:after="0" w:line="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39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type w:val="continuous"/>
        </w:sectPr>
      </w:pPr>
    </w:p>
    <w:bookmarkStart w:id="39" w:name="page40"/>
    <w:bookmarkEnd w:id="3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4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6"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8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GEORGE ABATE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17780</wp:posOffset>
            </wp:positionV>
            <wp:extent cx="28886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George Abate</w:t>
      </w:r>
    </w:p>
    <w:p>
      <w:pPr>
        <w:ind w:left="580"/>
        <w:spacing w:after="0" w:line="203" w:lineRule="auto"/>
        <w:rPr>
          <w:sz w:val="20"/>
          <w:szCs w:val="20"/>
          <w:color w:val="auto"/>
        </w:rPr>
      </w:pPr>
      <w:r>
        <w:rPr>
          <w:rFonts w:ascii="Arial" w:cs="Arial" w:eastAsia="Arial" w:hAnsi="Arial"/>
          <w:sz w:val="14"/>
          <w:szCs w:val="14"/>
          <w:b w:val="1"/>
          <w:bCs w:val="1"/>
          <w:color w:val="auto"/>
        </w:rPr>
        <w:t>Vice President and Chief Accounting Officer</w:t>
      </w:r>
    </w:p>
    <w:p>
      <w:pPr>
        <w:ind w:left="580"/>
        <w:spacing w:after="0"/>
        <w:rPr>
          <w:sz w:val="20"/>
          <w:szCs w:val="20"/>
          <w:color w:val="auto"/>
        </w:rPr>
      </w:pPr>
      <w:r>
        <w:rPr>
          <w:rFonts w:ascii="Arial" w:cs="Arial" w:eastAsia="Arial" w:hAnsi="Arial"/>
          <w:sz w:val="14"/>
          <w:szCs w:val="14"/>
          <w:b w:val="1"/>
          <w:bCs w:val="1"/>
          <w:color w:val="auto"/>
        </w:rPr>
        <w:t>(Principal Accounting Officer)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56"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APIP SHARE AWARD AGREEMENT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CONDUENT INCORPORATED 2021 PERFORMANCE INCENTIVE PLAN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APIP Share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2025 APIP Target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accordance with the provisions of the Conduent Incorporated 2021 Performance Incentive Plan and the Conduent Incorporated Annual Performance Incentive Plan (collectively,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of the Company has authorized the execution and delivery of this Agreement.</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2025 APIP Target Summary</w:t>
      </w:r>
      <w:r>
        <w:rPr>
          <w:rFonts w:ascii="Arial" w:cs="Arial" w:eastAsia="Arial" w:hAnsi="Arial"/>
          <w:sz w:val="18"/>
          <w:szCs w:val="18"/>
          <w:color w:val="auto"/>
        </w:rPr>
        <w:t>” is a separate document, provided via email or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target number of shares of Performance Restricted Stock Units (the “</w:t>
      </w:r>
      <w:r>
        <w:rPr>
          <w:rFonts w:ascii="Arial" w:cs="Arial" w:eastAsia="Arial" w:hAnsi="Arial"/>
          <w:sz w:val="18"/>
          <w:szCs w:val="18"/>
          <w:b w:val="1"/>
          <w:bCs w:val="1"/>
          <w:i w:val="1"/>
          <w:iCs w:val="1"/>
          <w:color w:val="auto"/>
        </w:rPr>
        <w:t>APIP Shares</w:t>
      </w:r>
      <w:r>
        <w:rPr>
          <w:rFonts w:ascii="Arial" w:cs="Arial" w:eastAsia="Arial" w:hAnsi="Arial"/>
          <w:sz w:val="18"/>
          <w:szCs w:val="18"/>
          <w:color w:val="auto"/>
        </w:rPr>
        <w:t>”) granted pursuant hereto. The 2025 APIP Target Summary is incorporated herein in its entirety</w:t>
      </w:r>
      <w:r>
        <w:rPr>
          <w:rFonts w:ascii="Arial" w:cs="Arial" w:eastAsia="Arial" w:hAnsi="Arial"/>
          <w:sz w:val="18"/>
          <w:szCs w:val="18"/>
          <w:b w:val="1"/>
          <w:bCs w:val="1"/>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Company agrees as follows: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9" w:lineRule="exact"/>
        <w:rPr>
          <w:sz w:val="20"/>
          <w:szCs w:val="20"/>
          <w:color w:val="auto"/>
        </w:rPr>
      </w:pPr>
    </w:p>
    <w:p>
      <w:pPr>
        <w:ind w:firstLine="8"/>
        <w:spacing w:after="0" w:line="266"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Award of APIP Shares</w:t>
      </w:r>
      <w:r>
        <w:rPr>
          <w:rFonts w:ascii="Arial" w:cs="Arial" w:eastAsia="Arial" w:hAnsi="Arial"/>
          <w:sz w:val="18"/>
          <w:szCs w:val="18"/>
          <w:color w:val="auto"/>
        </w:rPr>
        <w:t>. Subject to all terms and conditions of the Plan and this Agreement, the Company has awarded to the Employee on the Date of Grant the target number of APIP Shares as shown on the 2025 APIP Target Summary.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APIP SHARES</w:t>
      </w:r>
    </w:p>
    <w:p>
      <w:pPr>
        <w:spacing w:after="0" w:line="27" w:lineRule="exact"/>
        <w:rPr>
          <w:sz w:val="20"/>
          <w:szCs w:val="20"/>
          <w:color w:val="auto"/>
        </w:rPr>
      </w:pPr>
    </w:p>
    <w:p>
      <w:pPr>
        <w:jc w:val="both"/>
        <w:ind w:firstLine="8"/>
        <w:spacing w:after="0" w:line="253"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Entitlement to Shares and Cash</w:t>
      </w:r>
      <w:r>
        <w:rPr>
          <w:rFonts w:ascii="Arial" w:cs="Arial" w:eastAsia="Arial" w:hAnsi="Arial"/>
          <w:sz w:val="18"/>
          <w:szCs w:val="18"/>
          <w:color w:val="auto"/>
        </w:rPr>
        <w:t>. As soon as practicable and within 60 days following the applicable Vesting Date (as defined below) (or such earlier date provided in Section 8) in connection with the APIP Shares,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APIP Shares as determined pursuant to Section 3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211" w:lineRule="exact"/>
        <w:rPr>
          <w:rFonts w:ascii="Arial" w:cs="Arial" w:eastAsia="Arial" w:hAnsi="Arial"/>
          <w:sz w:val="18"/>
          <w:szCs w:val="18"/>
          <w:color w:val="auto"/>
        </w:rPr>
      </w:pPr>
    </w:p>
    <w:p>
      <w:pPr>
        <w:jc w:val="both"/>
        <w:ind w:firstLine="8"/>
        <w:spacing w:after="0" w:line="254"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APIP Shares will be subject to performance-based conditions (the “</w:t>
      </w:r>
      <w:r>
        <w:rPr>
          <w:rFonts w:ascii="Arial" w:cs="Arial" w:eastAsia="Arial" w:hAnsi="Arial"/>
          <w:sz w:val="18"/>
          <w:szCs w:val="18"/>
          <w:b w:val="1"/>
          <w:bCs w:val="1"/>
          <w:i w:val="1"/>
          <w:iCs w:val="1"/>
          <w:color w:val="auto"/>
        </w:rPr>
        <w:t>Performance Conditions</w:t>
      </w:r>
      <w:r>
        <w:rPr>
          <w:rFonts w:ascii="Arial" w:cs="Arial" w:eastAsia="Arial" w:hAnsi="Arial"/>
          <w:sz w:val="18"/>
          <w:szCs w:val="18"/>
          <w:color w:val="auto"/>
        </w:rPr>
        <w:t>”) set forth on Exhibit A and subject to the Employee’s continued employment with the Company or a subsidiary or affiliate through the applicable Vesting Date. The Employee shall be eligible to vest in ½ of the APIP Shares granted pursuant hereto on each of March 30, 2026 (APIP Shares eligible to vest on this date, “</w:t>
      </w:r>
      <w:r>
        <w:rPr>
          <w:rFonts w:ascii="Arial" w:cs="Arial" w:eastAsia="Arial" w:hAnsi="Arial"/>
          <w:sz w:val="18"/>
          <w:szCs w:val="18"/>
          <w:b w:val="1"/>
          <w:bCs w:val="1"/>
          <w:i w:val="1"/>
          <w:iCs w:val="1"/>
          <w:color w:val="auto"/>
        </w:rPr>
        <w:t>Tranche 1 APIP Shares</w:t>
      </w:r>
      <w:r>
        <w:rPr>
          <w:rFonts w:ascii="Arial" w:cs="Arial" w:eastAsia="Arial" w:hAnsi="Arial"/>
          <w:sz w:val="18"/>
          <w:szCs w:val="18"/>
          <w:color w:val="auto"/>
        </w:rPr>
        <w:t>”) and March 30, 2027 (APIP Shares eligible to vest on this date “</w:t>
      </w:r>
      <w:r>
        <w:rPr>
          <w:rFonts w:ascii="Arial" w:cs="Arial" w:eastAsia="Arial" w:hAnsi="Arial"/>
          <w:sz w:val="18"/>
          <w:szCs w:val="18"/>
          <w:b w:val="1"/>
          <w:bCs w:val="1"/>
          <w:i w:val="1"/>
          <w:iCs w:val="1"/>
          <w:color w:val="auto"/>
        </w:rPr>
        <w:t>Tranche 2 APIP Shares</w:t>
      </w:r>
      <w:r>
        <w:rPr>
          <w:rFonts w:ascii="Arial" w:cs="Arial" w:eastAsia="Arial" w:hAnsi="Arial"/>
          <w:sz w:val="18"/>
          <w:szCs w:val="18"/>
          <w:color w:val="auto"/>
        </w:rPr>
        <w:t>,” and each such date, a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such tranche may vest on such earlier date as may be provided in Section 8 and the number of APIP Shares eligible to vest shall be based on the satisfaction of the Performance Conditions as set forth on Exhibit A and subject to the Employee’s continued employment with or provision of services to the Company or a subsidiary or affiliate through the applicable Vesting Date or as otherwise provided in Section 8.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 Notwithstanding the above, to the extent all or a portion of the APIP Shares have not vested as of the applicable Vesting Date, the unvested APIP Shares will be forfeited.</w:t>
      </w:r>
    </w:p>
    <w:p>
      <w:pPr>
        <w:spacing w:after="0" w:line="128" w:lineRule="exact"/>
        <w:rPr>
          <w:sz w:val="20"/>
          <w:szCs w:val="20"/>
          <w:color w:val="auto"/>
        </w:rPr>
      </w:pPr>
    </w:p>
    <w:p>
      <w:pPr>
        <w:spacing w:after="0" w:line="296" w:lineRule="auto"/>
        <w:rPr>
          <w:sz w:val="20"/>
          <w:szCs w:val="20"/>
          <w:color w:val="auto"/>
        </w:rPr>
      </w:pPr>
      <w:r>
        <w:rPr>
          <w:rFonts w:ascii="Arial" w:cs="Arial" w:eastAsia="Arial" w:hAnsi="Arial"/>
          <w:sz w:val="18"/>
          <w:szCs w:val="18"/>
          <w:color w:val="auto"/>
        </w:rPr>
        <w:t>Upon the occurrence of an event constituting a Change in Control, notwithstanding anything to the contrary in the Plan, the APIP Shares outstanding on the date of such Change in Control</w:t>
      </w:r>
      <w:r>
        <w:rPr>
          <w:rFonts w:ascii="Arial" w:cs="Arial" w:eastAsia="Arial" w:hAnsi="Arial"/>
          <w:sz w:val="18"/>
          <w:szCs w:val="18"/>
          <w:b w:val="1"/>
          <w:bCs w:val="1"/>
          <w:color w:val="auto"/>
        </w:rPr>
        <w:t>,</w:t>
      </w:r>
      <w:r>
        <w:rPr>
          <w:rFonts w:ascii="Arial" w:cs="Arial" w:eastAsia="Arial" w:hAnsi="Arial"/>
          <w:sz w:val="18"/>
          <w:szCs w:val="18"/>
          <w:color w:val="auto"/>
        </w:rPr>
        <w:t xml:space="preserv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dividend equivalents with respect thereto, shall be assumed by the successor company (or its parent company) and remain outstanding, and thereafter the vesting of such APIP Shares, and any dividend equivalents with respect thereto, shall be eligible to vest on the applicable Vesting Date, subject to the Employee’s continued employment with or provision of services to the Company or a subsidiary or an affiliate through the applicable Vesting Date (and the Performance Conditions shall each be deemed to have been achieved at the “Target” level as set forth on Exhibit A as of the date of the Change in Control), and in such instance such APIP Shares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APIP Shares, and any dividend equivalents with respect thereto, shall vest and shall be paid to the extent provided in Section 8 in the event of the Employee’s termination of employment or services that is not for Cause following such Change in Control and prior to the applicable Vesting Date. Upon payment pursuant to the terms of the Plan and this Agreement, such awards shall be cancelled.</w:t>
      </w:r>
    </w:p>
    <w:p>
      <w:pPr>
        <w:spacing w:after="0" w:line="131" w:lineRule="exact"/>
        <w:rPr>
          <w:sz w:val="20"/>
          <w:szCs w:val="20"/>
          <w:color w:val="auto"/>
        </w:rPr>
      </w:pPr>
    </w:p>
    <w:p>
      <w:pPr>
        <w:jc w:val="both"/>
        <w:ind w:firstLine="8"/>
        <w:spacing w:after="0" w:line="259" w:lineRule="auto"/>
        <w:tabs>
          <w:tab w:leader="none" w:pos="63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Employee shall become entitled to receive from the Company on the applicable Vesting Date (or such earlier date provided in Section 8) a cash payment equaling the same amount(s) that the holder of record of a number of shares of Common Stock equal to the number of vested APIP Shares (if any) would have been entitled to receive as dividends on such Common Stock during the period commencing on the effective date hereof and ending on the applicable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TERMS</w:t>
      </w:r>
    </w:p>
    <w:p>
      <w:pPr>
        <w:spacing w:after="0" w:line="27" w:lineRule="exact"/>
        <w:rPr>
          <w:sz w:val="20"/>
          <w:szCs w:val="20"/>
          <w:color w:val="auto"/>
        </w:rPr>
      </w:pPr>
    </w:p>
    <w:p>
      <w:pPr>
        <w:jc w:val="both"/>
        <w:ind w:firstLine="8"/>
        <w:spacing w:after="0" w:line="258" w:lineRule="auto"/>
        <w:tabs>
          <w:tab w:leader="none" w:pos="63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205" w:lineRule="exact"/>
        <w:rPr>
          <w:rFonts w:ascii="Arial" w:cs="Arial" w:eastAsia="Arial" w:hAnsi="Arial"/>
          <w:sz w:val="18"/>
          <w:szCs w:val="18"/>
          <w:color w:val="auto"/>
        </w:rPr>
      </w:pPr>
    </w:p>
    <w:p>
      <w:pPr>
        <w:jc w:val="both"/>
        <w:ind w:firstLine="8"/>
        <w:spacing w:after="0" w:line="268" w:lineRule="auto"/>
        <w:tabs>
          <w:tab w:leader="none" w:pos="68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APIP Shares until the date of issuance of a stock certificate to him for such APIP Shares and no adjustment shall be made for dividends or other rights for which the record date is prior to the date the APIP Shares become vested.</w:t>
      </w:r>
    </w:p>
    <w:p>
      <w:pPr>
        <w:spacing w:after="0" w:line="197"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APIP Shares may not be sold, assigned, alienated, transferred, pledged, attached or otherwise encumbered except as provided in the Plan. Any purported sale, assignment, alienation, transfer, pledge, attachment or other encumbrance of an APIP Share in violation of the provisions of this Section 7 and the Plan shall be void.</w:t>
      </w:r>
    </w:p>
    <w:p>
      <w:pPr>
        <w:spacing w:after="0" w:line="197" w:lineRule="exact"/>
        <w:rPr>
          <w:rFonts w:ascii="Arial" w:cs="Arial" w:eastAsia="Arial" w:hAnsi="Arial"/>
          <w:sz w:val="18"/>
          <w:szCs w:val="18"/>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Death, Disability, or Other Special Circumstances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Effect on APIP Shares</w:t>
      </w:r>
      <w:r>
        <w:rPr>
          <w:rFonts w:ascii="Arial" w:cs="Arial" w:eastAsia="Arial" w:hAnsi="Arial"/>
          <w:sz w:val="18"/>
          <w:szCs w:val="18"/>
          <w:color w:val="auto"/>
        </w:rPr>
        <w:t>. In the event of the Employee’s termination of employment or services prior to the applicable Vesting Date as set forth in Section 3, the APIP Shares will be treated as set forth below.</w:t>
      </w:r>
    </w:p>
    <w:p>
      <w:pPr>
        <w:spacing w:after="0" w:line="179" w:lineRule="exact"/>
        <w:rPr>
          <w:rFonts w:ascii="Arial" w:cs="Arial" w:eastAsia="Arial" w:hAnsi="Arial"/>
          <w:sz w:val="18"/>
          <w:szCs w:val="18"/>
          <w:color w:val="auto"/>
        </w:rPr>
      </w:pPr>
    </w:p>
    <w:p>
      <w:pPr>
        <w:jc w:val="both"/>
        <w:ind w:left="1700" w:hanging="396"/>
        <w:spacing w:after="0" w:line="256" w:lineRule="auto"/>
        <w:tabs>
          <w:tab w:leader="none" w:pos="1698" w:val="left"/>
        </w:tabs>
        <w:numPr>
          <w:ilvl w:val="2"/>
          <w:numId w:val="31"/>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prior to March 30, 2026, the APIP Shares shall be canceled and forfeited on the date of such voluntary termination of employment or services. In the event the Employee voluntarily ceases to be an employee of or otherwise provide services to the Employer for any reason on or after March 30, 2026 but prior to March 30, 2027, the Employee will remain eligible to vest in a Pro-Rata Amount of each tranche of APIP Shares that would otherwise vest based on the achievement of the Performance Conditions, and any dividend equivalents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580" w:hanging="396"/>
        <w:spacing w:after="0" w:line="254" w:lineRule="auto"/>
        <w:tabs>
          <w:tab w:leader="none" w:pos="577"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Qualifying Retirement. </w:t>
      </w:r>
      <w:r>
        <w:rPr>
          <w:rFonts w:ascii="Arial" w:cs="Arial" w:eastAsia="Arial" w:hAnsi="Arial"/>
          <w:sz w:val="18"/>
          <w:szCs w:val="18"/>
          <w:color w:val="auto"/>
        </w:rPr>
        <w:t>In the event of a Qualifying Retirement, the Employee will remain eligible to vest in a Pro-Rata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 of each tranche of APIP Shares that otherwise vest on the applicable Vesting Date based on the achievement of the Performance Conditions, and any dividend equivalents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Employee (A) completes a successful transition of responsibilities (as determined by the Board of Directors of the Company) and cooperates during the remaining vesting period, (B)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 approved by the CEO.</w:t>
      </w:r>
    </w:p>
    <w:p>
      <w:pPr>
        <w:spacing w:after="0" w:line="209" w:lineRule="exact"/>
        <w:rPr>
          <w:rFonts w:ascii="Arial" w:cs="Arial" w:eastAsia="Arial" w:hAnsi="Arial"/>
          <w:sz w:val="18"/>
          <w:szCs w:val="18"/>
          <w:color w:val="auto"/>
        </w:rPr>
      </w:pPr>
    </w:p>
    <w:p>
      <w:pPr>
        <w:jc w:val="both"/>
        <w:ind w:left="580" w:hanging="396"/>
        <w:spacing w:after="0" w:line="255" w:lineRule="auto"/>
        <w:tabs>
          <w:tab w:leader="none" w:pos="577"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services to the Employer for any reason other than due to death, Disability, or a termination for Cause, the Employee will remain eligible to vest in a Pro-Rata Amount of each tranche of APIP Shares that otherwise vest on the applicable Vesting Date based on the achievement of the Performance Conditions, and any dividend equivalents with respect thereto; </w:t>
      </w:r>
      <w:r>
        <w:rPr>
          <w:rFonts w:ascii="Arial" w:cs="Arial" w:eastAsia="Arial" w:hAnsi="Arial"/>
          <w:sz w:val="18"/>
          <w:szCs w:val="18"/>
          <w:u w:val="single" w:color="auto"/>
          <w:color w:val="auto"/>
        </w:rPr>
        <w:t>provided that</w:t>
      </w:r>
      <w:r>
        <w:rPr>
          <w:rFonts w:ascii="Arial" w:cs="Arial" w:eastAsia="Arial" w:hAnsi="Arial"/>
          <w:sz w:val="18"/>
          <w:szCs w:val="18"/>
          <w:color w:val="auto"/>
        </w:rPr>
        <w:t>, for purposes of calculating the Pro-Rata Amount under this Section 8(a)(iii), the Termination Date shall be deemed to occur such number of full months after the actual termination date equal to the number of full months of continued vesting under the Plan the Employee would be entitled to pursuant to the Company’s applicable severance plan or policy.</w:t>
      </w:r>
    </w:p>
    <w:p>
      <w:pPr>
        <w:spacing w:after="0" w:line="211" w:lineRule="exact"/>
        <w:rPr>
          <w:rFonts w:ascii="Arial" w:cs="Arial" w:eastAsia="Arial" w:hAnsi="Arial"/>
          <w:sz w:val="18"/>
          <w:szCs w:val="18"/>
          <w:color w:val="auto"/>
        </w:rPr>
      </w:pPr>
    </w:p>
    <w:p>
      <w:pPr>
        <w:jc w:val="both"/>
        <w:ind w:left="580" w:hanging="396"/>
        <w:spacing w:after="0" w:line="254" w:lineRule="auto"/>
        <w:tabs>
          <w:tab w:leader="none" w:pos="57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of or otherwise provide services to the Employer following a Change in Control for any reason other than a termination for Cause or voluntarily ceases to be an employee due to a Termination for Good Reason following a Change in Control, then the APIP Shares covered by this Agreement, and any dividend equivalents with respect thereto, shall immediately vest at the “Target” performance level as set forth on Exhibit A (without proration)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212" w:lineRule="exact"/>
        <w:rPr>
          <w:rFonts w:ascii="Arial" w:cs="Arial" w:eastAsia="Arial" w:hAnsi="Arial"/>
          <w:sz w:val="18"/>
          <w:szCs w:val="18"/>
          <w:color w:val="auto"/>
        </w:rPr>
      </w:pPr>
    </w:p>
    <w:p>
      <w:pPr>
        <w:jc w:val="both"/>
        <w:ind w:left="580" w:hanging="396"/>
        <w:spacing w:after="0" w:line="257" w:lineRule="auto"/>
        <w:tabs>
          <w:tab w:leader="none" w:pos="57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Employer by reason of death or Disability prior to a Change in Control, the APIP Shares covered by this Agreement, and any dividend equivalents with respect thereto, shall remain eligible to vest pursuant to Section 3 based on the satisfaction of the Performance Conditions and as if such Employee remained employed through the Vesting Dates and shall be settled within 60 days following the next Vesting Date in accordance with Section 2, without proration.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20"/>
          </w:cols>
          <w:pgMar w:left="1440" w:top="126"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044" w:hanging="396"/>
        <w:spacing w:after="0" w:line="259" w:lineRule="auto"/>
        <w:tabs>
          <w:tab w:leader="none" w:pos="1037"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due to termination for Cause, any unvested APIP Shares, and any dividend equivalents with respect thereto, shall be cancelled and forfeited on the date of such termination of employment or services, in addition to any other rights reserved under the Conduent Incorporated Compensation Recoupment Policy, as may be amended from time to time, or any successor policy.</w:t>
      </w:r>
    </w:p>
    <w:p>
      <w:pPr>
        <w:spacing w:after="0" w:line="206" w:lineRule="exact"/>
        <w:rPr>
          <w:rFonts w:ascii="Arial" w:cs="Arial" w:eastAsia="Arial" w:hAnsi="Arial"/>
          <w:sz w:val="18"/>
          <w:szCs w:val="18"/>
          <w:color w:val="auto"/>
        </w:rPr>
      </w:pPr>
    </w:p>
    <w:p>
      <w:pPr>
        <w:jc w:val="both"/>
        <w:ind w:left="1044" w:hanging="396"/>
        <w:spacing w:after="0" w:line="253" w:lineRule="auto"/>
        <w:tabs>
          <w:tab w:leader="none" w:pos="1037"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Termination Date</w:t>
      </w:r>
      <w:r>
        <w:rPr>
          <w:rFonts w:ascii="Arial" w:cs="Arial" w:eastAsia="Arial" w:hAnsi="Arial"/>
          <w:sz w:val="18"/>
          <w:szCs w:val="18"/>
          <w:color w:val="auto"/>
        </w:rPr>
        <w:t>. For purposes of this Agreement and the APIP Shares, the Employee’s employment and/or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will be considered terminated as of the date the Employee is no longer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unless otherwise determined by the Company or as otherwise set forth herein, the Employee’s right to vest in the APIP Shares, if any, will terminate as of such date and, in any case,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 Employee’s period of service would not include any contractual notice period or any period of “garden leave” or similar period mandated under labor laws in the jurisdiction where the Employee provides services or the terms of the Employee's employment or other service agreement, if any). The Committee shall have the exclusive discretion to determine when the Employee no longer is actively providing services for purposes of this Agreement and the APIP Shares (including whether the Employee still may be considered to be providing services while on a leave of absence).</w:t>
      </w:r>
    </w:p>
    <w:p>
      <w:pPr>
        <w:spacing w:after="0" w:line="216" w:lineRule="exact"/>
        <w:rPr>
          <w:rFonts w:ascii="Arial" w:cs="Arial" w:eastAsia="Arial" w:hAnsi="Arial"/>
          <w:sz w:val="18"/>
          <w:szCs w:val="18"/>
          <w:color w:val="auto"/>
        </w:rPr>
      </w:pPr>
    </w:p>
    <w:p>
      <w:pPr>
        <w:ind w:left="484" w:hanging="484"/>
        <w:spacing w:after="0"/>
        <w:tabs>
          <w:tab w:leader="none" w:pos="48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sz w:val="20"/>
          <w:szCs w:val="20"/>
          <w:color w:val="auto"/>
        </w:rPr>
      </w:pPr>
    </w:p>
    <w:p>
      <w:pPr>
        <w:jc w:val="both"/>
        <w:ind w:left="4" w:right="20" w:firstLine="486"/>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4" w:firstLine="48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2" w:lineRule="exact"/>
        <w:rPr>
          <w:sz w:val="20"/>
          <w:szCs w:val="20"/>
          <w:color w:val="auto"/>
        </w:rPr>
      </w:pPr>
    </w:p>
    <w:p>
      <w:pPr>
        <w:jc w:val="both"/>
        <w:ind w:left="4" w:firstLine="48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2" w:lineRule="exact"/>
        <w:rPr>
          <w:sz w:val="20"/>
          <w:szCs w:val="20"/>
          <w:color w:val="auto"/>
        </w:rPr>
      </w:pPr>
    </w:p>
    <w:p>
      <w:pPr>
        <w:jc w:val="both"/>
        <w:ind w:left="4" w:right="20" w:firstLine="48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1" w:lineRule="exact"/>
        <w:rPr>
          <w:sz w:val="20"/>
          <w:szCs w:val="20"/>
          <w:color w:val="auto"/>
        </w:rPr>
      </w:pPr>
    </w:p>
    <w:p>
      <w:pPr>
        <w:jc w:val="both"/>
        <w:ind w:left="4" w:firstLine="486"/>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with respect to Tranche 1 APIP Shares will be equal to the number of Tranche 1 APIP Shares that would otherwise vest on the applicable Vesting Date based on the achievement of the Performance Conditions, multiplied by a fraction, the numerator of which is the number of full months elapsed between June 1, 2025 and the Termination Date, and the denominator of which is 10, and with respect to Tranche 2 APIP Shares will be equal to the number of Tranche 2 APIP Shares that would otherwise vest on the applicable Vesting Date based on the achievement of Performance Conditions, multiplied by a fraction, the numerator of which is the number of full months elapsed between April 1, 2026 and the Termination Date, and the denominator of which is 12; provided, in each case,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and provided, further, that in no event shall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976" w:top="126"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4"/>
        <w:spacing w:after="0" w:line="260" w:lineRule="auto"/>
        <w:rPr>
          <w:sz w:val="20"/>
          <w:szCs w:val="20"/>
          <w:color w:val="auto"/>
        </w:rPr>
      </w:pPr>
      <w:r>
        <w:rPr>
          <w:rFonts w:ascii="Arial" w:cs="Arial" w:eastAsia="Arial" w:hAnsi="Arial"/>
          <w:sz w:val="18"/>
          <w:szCs w:val="18"/>
          <w:color w:val="auto"/>
        </w:rPr>
        <w:t>fraction for the Pro-Rata Amount of either tranche of APIP Shares be greater than 1. Any APIP Shares that do not vest as set forth above shall be forfeited.</w:t>
      </w:r>
    </w:p>
    <w:p>
      <w:pPr>
        <w:spacing w:after="0" w:line="2" w:lineRule="exact"/>
        <w:rPr>
          <w:sz w:val="20"/>
          <w:szCs w:val="20"/>
          <w:color w:val="auto"/>
        </w:rPr>
      </w:pPr>
    </w:p>
    <w:p>
      <w:pPr>
        <w:jc w:val="both"/>
        <w:ind w:left="4" w:firstLine="48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Employee’s employment with or services to Employer where (i) the Employee is at least age sixty (60) and has at least five (5) years of service with the Employer or its parents or subsidiaries and</w:t>
      </w:r>
    </w:p>
    <w:p>
      <w:pPr>
        <w:spacing w:after="0" w:line="1" w:lineRule="exact"/>
        <w:rPr>
          <w:sz w:val="20"/>
          <w:szCs w:val="20"/>
          <w:color w:val="auto"/>
        </w:rPr>
      </w:pPr>
    </w:p>
    <w:p>
      <w:pPr>
        <w:jc w:val="both"/>
        <w:ind w:left="4" w:hanging="4"/>
        <w:spacing w:after="0" w:line="250" w:lineRule="auto"/>
        <w:tabs>
          <w:tab w:leader="none" w:pos="2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Employee’s retirement has been agreed to and approved by the CEO of the Company (and, if Employee is a Section 16 officer of the Company, by the Board of Directors of the Company), who shall have the sole discretion to determine the date of retirement of such Employee.</w:t>
      </w:r>
    </w:p>
    <w:p>
      <w:pPr>
        <w:spacing w:after="0" w:line="1" w:lineRule="exact"/>
        <w:rPr>
          <w:rFonts w:ascii="Arial" w:cs="Arial" w:eastAsia="Arial" w:hAnsi="Arial"/>
          <w:sz w:val="18"/>
          <w:szCs w:val="18"/>
          <w:color w:val="auto"/>
        </w:rPr>
      </w:pPr>
    </w:p>
    <w:p>
      <w:pPr>
        <w:ind w:left="4" w:firstLine="486"/>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or services to the Employer determined in accordance with Section 8(a)(vii).</w:t>
      </w:r>
    </w:p>
    <w:p>
      <w:pPr>
        <w:spacing w:after="0" w:line="117" w:lineRule="exact"/>
        <w:rPr>
          <w:sz w:val="20"/>
          <w:szCs w:val="20"/>
          <w:color w:val="auto"/>
        </w:rPr>
      </w:pPr>
    </w:p>
    <w:p>
      <w:pPr>
        <w:jc w:val="both"/>
        <w:ind w:left="4" w:firstLine="486"/>
        <w:spacing w:after="0" w:line="278"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Termination For Good Reason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termination of the Employee within two years of the occurrence of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circumstances, provided that (i) such circumstance occurs without the Employee’s express written consent after a Change in Control, and (ii)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110" w:lineRule="exact"/>
        <w:rPr>
          <w:sz w:val="20"/>
          <w:szCs w:val="20"/>
          <w:color w:val="auto"/>
        </w:rPr>
      </w:pPr>
    </w:p>
    <w:p>
      <w:pPr>
        <w:jc w:val="both"/>
        <w:ind w:left="804" w:hanging="318"/>
        <w:spacing w:after="0" w:line="252" w:lineRule="auto"/>
        <w:tabs>
          <w:tab w:leader="none" w:pos="7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 (2) any of the following: (a) a material reduction in the Employee’s annual base salary and/or annual target bonus, (b)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(c) the failure to increase the Employee’s salary as the same may be increased from time to time for similarly situated individuals, except that this clause (2) shall not apply to across-the-board salary reductions similarly affecting all similarly situated employees of the Company and all similarly situated employees of any person in control of the Company; (3) 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 constitutes a material change in the geographic location at which the Employee is required to perform the services; (4) 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 (5) the failure of the Company to obtain a satisfactory agreement from any successor to assume responsibility to perform under this Agreement or the Plan.</w:t>
      </w:r>
    </w:p>
    <w:p>
      <w:pPr>
        <w:spacing w:after="0" w:line="134" w:lineRule="exact"/>
        <w:rPr>
          <w:sz w:val="20"/>
          <w:szCs w:val="20"/>
          <w:color w:val="auto"/>
        </w:rPr>
      </w:pPr>
    </w:p>
    <w:p>
      <w:pPr>
        <w:jc w:val="both"/>
        <w:ind w:left="164"/>
        <w:spacing w:after="0" w:line="262" w:lineRule="auto"/>
        <w:rPr>
          <w:sz w:val="20"/>
          <w:szCs w:val="20"/>
          <w:color w:val="auto"/>
        </w:rPr>
      </w:pPr>
      <w:r>
        <w:rPr>
          <w:rFonts w:ascii="Arial" w:cs="Arial" w:eastAsia="Arial" w:hAnsi="Arial"/>
          <w:sz w:val="18"/>
          <w:szCs w:val="18"/>
          <w:color w:val="auto"/>
        </w:rPr>
        <w:t>A termination by the Employee of his or her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4"/>
          </w:cols>
          <w:pgMar w:left="976" w:top="12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accommodation or modification of the Employee’s authority, duties, or responsibilities because of the Employee’s Disability.</w:t>
      </w:r>
    </w:p>
    <w:p>
      <w:pPr>
        <w:spacing w:after="0" w:line="117" w:lineRule="exact"/>
        <w:rPr>
          <w:sz w:val="20"/>
          <w:szCs w:val="20"/>
          <w:color w:val="auto"/>
        </w:rPr>
      </w:pPr>
    </w:p>
    <w:p>
      <w:pPr>
        <w:jc w:val="both"/>
        <w:ind w:left="1140" w:hanging="484"/>
        <w:spacing w:after="0" w:line="256" w:lineRule="auto"/>
        <w:tabs>
          <w:tab w:leader="none" w:pos="1134"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in the event the Employee involuntarily ceases to be an employee of or otherwise provide services to the Employer in connection with the Employer’s sale (whether by sale of assets or a subsidiary, or both) of a line of business within which the Employee was employed or providing services immediately prior to such sale that does not constitute a Change in Control, as determined by the Committee in its sole discretion, for any reason other than due to death, Disability, or a termination for Cause, the Employee will remain eligible to vest in a Pro-Rata Amount of each tranche of APIP Shares that otherwise vest on the applicable Vesting Date based on the achievement of the Performance Conditions, and any dividend equivalents with respect thereto.</w:t>
      </w:r>
    </w:p>
    <w:p>
      <w:pPr>
        <w:spacing w:after="0" w:line="209" w:lineRule="exact"/>
        <w:rPr>
          <w:rFonts w:ascii="Arial" w:cs="Arial" w:eastAsia="Arial" w:hAnsi="Arial"/>
          <w:sz w:val="18"/>
          <w:szCs w:val="18"/>
          <w:color w:val="auto"/>
        </w:rPr>
      </w:pPr>
    </w:p>
    <w:p>
      <w:pPr>
        <w:jc w:val="both"/>
        <w:ind w:left="1140" w:hanging="484"/>
        <w:spacing w:after="0" w:line="257" w:lineRule="auto"/>
        <w:tabs>
          <w:tab w:leader="none" w:pos="113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Transfer of Plan Enrollment</w:t>
      </w:r>
      <w:r>
        <w:rPr>
          <w:rFonts w:ascii="Arial" w:cs="Arial" w:eastAsia="Arial" w:hAnsi="Arial"/>
          <w:sz w:val="18"/>
          <w:szCs w:val="18"/>
          <w:color w:val="auto"/>
        </w:rPr>
        <w:t>. Notwithstanding the above, in the event the Employee is transferred to an alternative incentive compensation plan of the Company other than the Conduent Incorporated Annual Performance Incentive Plan, the Employee will remain eligible to vest in a Pro-Rata Amount of APIP Shares that otherwise vest on the applicable Vesting Date based on the achievement of the Performance Conditions, and any dividend equivalents with respect thereto; provided, that, for purposes of calculating the Pro-Rata Amount, the Termination Date in such instance will be replaced with the date in which such Employee is formally transferred to such alternative incentive compensation plan.</w:t>
      </w:r>
    </w:p>
    <w:p>
      <w:pPr>
        <w:spacing w:after="0" w:line="209"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APIP Shares or the issue or purchase of shares of Common Stock hereunder, the certificates for shares of Common Stock may not be issued in respect of APIP Shares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APIP Shares.</w:t>
      </w:r>
    </w:p>
    <w:p>
      <w:pPr>
        <w:spacing w:after="0" w:line="209" w:lineRule="exact"/>
        <w:rPr>
          <w:rFonts w:ascii="Arial" w:cs="Arial" w:eastAsia="Arial" w:hAnsi="Arial"/>
          <w:sz w:val="18"/>
          <w:szCs w:val="18"/>
          <w:color w:val="auto"/>
        </w:rPr>
      </w:pPr>
    </w:p>
    <w:p>
      <w:pPr>
        <w:ind w:left="640" w:hanging="63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140" w:hanging="484"/>
        <w:spacing w:after="0" w:line="253" w:lineRule="auto"/>
        <w:tabs>
          <w:tab w:leader="none" w:pos="113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Employee acknowledges and agrees that, regardless of any action taken by the Company or, if different, the Employer, the ultimate liability for all income tax, social insurance, payroll tax, fringe benefits tax, payment on account or other tax-related items related to the Employee’s participation in the Plan and legally applicable or deemed applicable to the Employee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Employee’s responsibility and may exceed the amount, if any, actually withheld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the Employer. The Employee further acknowledges that the Company and/or the Employer (i) make no representations or undertakings regarding the treatment of any Tax-Related Items in connection with any aspect of the APIP Shares or the underlying shares of Common Stock, including, but not limited to, the grant, vesting or settlement of the APIP Shares, the subsequent sale of shares of Common Stock acquired upon the settlement of the APIP Shares and the receipt of any dividends; and (ii) do not commit to and are under no obligation to structure the terms of the grant or any aspect of the APIP Shares to reduce or eliminate the Employee’s liability for Tax-Related Items or to achieve any particular tax result. Further, if the Employee is subject to Tax-Related Items in more than one jurisdiction, the Employee acknowledges that the Company and/or the Employer (or former employer, as applicable) may be required to withhold or account for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140" w:hanging="484"/>
        <w:spacing w:after="0" w:line="253" w:lineRule="auto"/>
        <w:tabs>
          <w:tab w:leader="none" w:pos="113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the Employee agrees to make adequate arrangements satisfactory to the Company and/or the Employer to satisfy all Tax-Related Items. In this regard, the Employee authorizes the Company and/or the Employer, or their respective agents, at their discretion, to satisfy any applicable withholding obligations with regard to all Tax-Related Items by one or a combination of the following: (i) requiring the Employee to make a payment in a form acceptable to the Company, (ii) withholding from the Employee’s wages or other compensation payable to the Employee, (iii) withholding from proceeds of the sale of the shares of Common Stock acquired upon the settlement of the APIP Shares either through a voluntary sale or through a mandatory sale arranged by the Company (on the Employee’s behalf pursuant to this authorization without further consent), (iv) withholding from the shares of Common Stock otherwise issuable at vesting of the APIP Shares, provided, however, that if the Employee is subject to the reporting and other provisions of Section 16 of the Exchange Act, the Company shall affirmatively approve, by Board action, any such withholding of shares of Common Stock as contemplated in the immediately preceding proviso, or (v) any other method of withholding determined by the Company and, to the extent required by applicable law or the Plan, approved by the Committee.</w:t>
      </w:r>
    </w:p>
    <w:p>
      <w:pPr>
        <w:spacing w:after="0" w:line="216" w:lineRule="exact"/>
        <w:rPr>
          <w:rFonts w:ascii="Arial" w:cs="Arial" w:eastAsia="Arial" w:hAnsi="Arial"/>
          <w:sz w:val="18"/>
          <w:szCs w:val="18"/>
          <w:color w:val="auto"/>
        </w:rPr>
      </w:pPr>
    </w:p>
    <w:p>
      <w:pPr>
        <w:jc w:val="both"/>
        <w:ind w:left="1140" w:hanging="484"/>
        <w:spacing w:after="0" w:line="255" w:lineRule="auto"/>
        <w:tabs>
          <w:tab w:leader="none" w:pos="11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and/or the Employer may withhold or account for Tax-Related Items by considering statutory withholding rates or other withholding rates, including maximum rates applicable in the Employee’s jurisdiction(s). In the event of over-withholding, the Employee may receive a refund of any over-withheld amount in cash (with no entitlement to the equivalent in shares of Common Stock) or, if not refunded, the Employee may seek a refund from the local tax authorities. In the event of under-withholding, the Employee may be required to pay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subject to the vested APIP Shares, notwithstanding that a number of the shares of Common Stock is held back solely for the purpose of paying the Tax-Related Items.</w:t>
      </w:r>
    </w:p>
    <w:p>
      <w:pPr>
        <w:spacing w:after="0" w:line="207" w:lineRule="exact"/>
        <w:rPr>
          <w:rFonts w:ascii="Arial" w:cs="Arial" w:eastAsia="Arial" w:hAnsi="Arial"/>
          <w:sz w:val="18"/>
          <w:szCs w:val="18"/>
          <w:color w:val="auto"/>
        </w:rPr>
      </w:pPr>
    </w:p>
    <w:p>
      <w:pPr>
        <w:jc w:val="both"/>
        <w:ind w:left="1140" w:hanging="484"/>
        <w:spacing w:after="0" w:line="259" w:lineRule="auto"/>
        <w:tabs>
          <w:tab w:leader="none" w:pos="113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Employee agrees to pay to the Company or the Employer any amount of Tax-Related Items that the Company or the Employer may be required to withhold or account for as a result of the Employe’s participation in the Plan that cannot be satisfied by the means previously described. The Company may refuse to issue or deliver the shares of Common Stock or the proceeds of the sale of the shares of Common Stock acquired upon the vesting of the APIP Shares, if the Employee fails to comply with the Employee's obligations in connection with the Tax-Related Items.</w:t>
      </w:r>
    </w:p>
    <w:p>
      <w:pPr>
        <w:spacing w:after="0" w:line="206" w:lineRule="exact"/>
        <w:rPr>
          <w:rFonts w:ascii="Arial" w:cs="Arial" w:eastAsia="Arial" w:hAnsi="Arial"/>
          <w:sz w:val="18"/>
          <w:szCs w:val="18"/>
          <w:color w:val="auto"/>
        </w:rPr>
      </w:pPr>
    </w:p>
    <w:p>
      <w:pPr>
        <w:ind w:left="640" w:hanging="632"/>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252" w:lineRule="exact"/>
        <w:rPr>
          <w:rFonts w:ascii="Arial" w:cs="Arial" w:eastAsia="Arial" w:hAnsi="Arial"/>
          <w:sz w:val="18"/>
          <w:szCs w:val="18"/>
          <w:color w:val="auto"/>
        </w:rPr>
      </w:pPr>
    </w:p>
    <w:p>
      <w:pPr>
        <w:jc w:val="both"/>
        <w:ind w:left="1140" w:hanging="484"/>
        <w:spacing w:after="0" w:line="268" w:lineRule="auto"/>
        <w:tabs>
          <w:tab w:leader="none" w:pos="113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terms of the Plan regarding Plan amendment and termination and, in addition, the APIP Shares are subject to modification and adjustment per the terms of the Plan;</w:t>
      </w:r>
    </w:p>
    <w:p>
      <w:pPr>
        <w:spacing w:after="0" w:line="197" w:lineRule="exact"/>
        <w:rPr>
          <w:rFonts w:ascii="Arial" w:cs="Arial" w:eastAsia="Arial" w:hAnsi="Arial"/>
          <w:sz w:val="18"/>
          <w:szCs w:val="18"/>
          <w:color w:val="auto"/>
        </w:rPr>
      </w:pPr>
    </w:p>
    <w:p>
      <w:pPr>
        <w:ind w:left="1140" w:hanging="484"/>
        <w:spacing w:after="0" w:line="287" w:lineRule="auto"/>
        <w:tabs>
          <w:tab w:leader="none" w:pos="113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award of the APIP Shares is voluntary and occasional and does not create any contractual or other right to receive future grants of APIP Shares, or benefits in lieu of APIP Shares, even if APIP Shares have been granted repeatedly in the past;</w:t>
      </w:r>
    </w:p>
    <w:p>
      <w:pPr>
        <w:spacing w:after="0" w:line="179" w:lineRule="exact"/>
        <w:rPr>
          <w:rFonts w:ascii="Arial" w:cs="Arial" w:eastAsia="Arial" w:hAnsi="Arial"/>
          <w:sz w:val="18"/>
          <w:szCs w:val="18"/>
          <w:color w:val="auto"/>
        </w:rPr>
      </w:pPr>
    </w:p>
    <w:p>
      <w:pPr>
        <w:ind w:left="1140" w:hanging="484"/>
        <w:spacing w:after="0" w:line="287" w:lineRule="auto"/>
        <w:tabs>
          <w:tab w:leader="none" w:pos="113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decisions with respect to future APIP Share awards, if any, will be at the sole discretion of the Committee or its authorized delegate,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140" w:hanging="484"/>
        <w:spacing w:after="0" w:line="262" w:lineRule="auto"/>
        <w:tabs>
          <w:tab w:leader="none" w:pos="113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APIP Share award and the Employee’s participation in the Plan will not be interpreted to form an employment contract or relationship with the Employer;</w:t>
      </w:r>
    </w:p>
    <w:p>
      <w:pPr>
        <w:spacing w:after="0" w:line="203" w:lineRule="exact"/>
        <w:rPr>
          <w:rFonts w:ascii="Arial" w:cs="Arial" w:eastAsia="Arial" w:hAnsi="Arial"/>
          <w:sz w:val="18"/>
          <w:szCs w:val="18"/>
          <w:color w:val="auto"/>
        </w:rPr>
      </w:pPr>
    </w:p>
    <w:p>
      <w:pPr>
        <w:ind w:left="1140" w:hanging="484"/>
        <w:spacing w:after="0"/>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252" w:lineRule="exact"/>
        <w:rPr>
          <w:rFonts w:ascii="Arial" w:cs="Arial" w:eastAsia="Arial" w:hAnsi="Arial"/>
          <w:sz w:val="18"/>
          <w:szCs w:val="18"/>
          <w:color w:val="auto"/>
        </w:rPr>
      </w:pPr>
    </w:p>
    <w:p>
      <w:pPr>
        <w:jc w:val="both"/>
        <w:ind w:left="1140" w:right="20" w:hanging="484"/>
        <w:spacing w:after="0" w:line="257" w:lineRule="auto"/>
        <w:tabs>
          <w:tab w:leader="none" w:pos="11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APIP Shares and the shares of Common Stock subject to the APIP Shares are an extraordinary item that does not constitute compensation of any kind for services of any kind rendered to the Employer, and which is outside the scope of the Employee’s employment contract, if any;</w:t>
      </w:r>
    </w:p>
    <w:p>
      <w:pPr>
        <w:spacing w:after="0" w:line="1" w:lineRule="exact"/>
        <w:rPr>
          <w:rFonts w:ascii="Arial" w:cs="Arial" w:eastAsia="Arial" w:hAnsi="Arial"/>
          <w:sz w:val="18"/>
          <w:szCs w:val="18"/>
          <w:color w:val="auto"/>
        </w:rPr>
      </w:pPr>
    </w:p>
    <w:p>
      <w:pPr>
        <w:ind w:left="1140" w:hanging="484"/>
        <w:spacing w:after="0" w:line="266" w:lineRule="auto"/>
        <w:tabs>
          <w:tab w:leader="none" w:pos="113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APIP Shares and the shares of Common Stock subject to the APIP Shares are not intended to replace any pension rights or compensation;</w:t>
      </w:r>
    </w:p>
    <w:p>
      <w:pPr>
        <w:spacing w:after="0" w:line="198" w:lineRule="exact"/>
        <w:rPr>
          <w:rFonts w:ascii="Arial" w:cs="Arial" w:eastAsia="Arial" w:hAnsi="Arial"/>
          <w:sz w:val="18"/>
          <w:szCs w:val="18"/>
          <w:color w:val="auto"/>
        </w:rPr>
      </w:pPr>
    </w:p>
    <w:p>
      <w:pPr>
        <w:jc w:val="both"/>
        <w:ind w:left="1140" w:hanging="484"/>
        <w:spacing w:after="0" w:line="259" w:lineRule="auto"/>
        <w:tabs>
          <w:tab w:leader="none" w:pos="113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APIP Shares and the shares of Common Stock subject to the APIP Shares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206" w:lineRule="exact"/>
        <w:rPr>
          <w:rFonts w:ascii="Arial" w:cs="Arial" w:eastAsia="Arial" w:hAnsi="Arial"/>
          <w:sz w:val="18"/>
          <w:szCs w:val="18"/>
          <w:color w:val="auto"/>
        </w:rPr>
      </w:pPr>
    </w:p>
    <w:p>
      <w:pPr>
        <w:ind w:left="1140" w:hanging="484"/>
        <w:spacing w:after="0"/>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252" w:lineRule="exact"/>
        <w:rPr>
          <w:rFonts w:ascii="Arial" w:cs="Arial" w:eastAsia="Arial" w:hAnsi="Arial"/>
          <w:sz w:val="18"/>
          <w:szCs w:val="18"/>
          <w:color w:val="auto"/>
        </w:rPr>
      </w:pPr>
    </w:p>
    <w:p>
      <w:pPr>
        <w:jc w:val="both"/>
        <w:ind w:left="1140" w:hanging="484"/>
        <w:spacing w:after="0" w:line="257" w:lineRule="auto"/>
        <w:tabs>
          <w:tab w:leader="none" w:pos="1138"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consideration of the award of the APIP Shares, no claim or entitlement to compensation or damages shall arise from forfeiture of the APIP Shares, including, but not limited to, forfeiture resulting from termination of the Employee’s employment with or services to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209" w:lineRule="exact"/>
        <w:rPr>
          <w:rFonts w:ascii="Arial" w:cs="Arial" w:eastAsia="Arial" w:hAnsi="Arial"/>
          <w:sz w:val="18"/>
          <w:szCs w:val="18"/>
          <w:color w:val="auto"/>
        </w:rPr>
      </w:pPr>
    </w:p>
    <w:p>
      <w:pPr>
        <w:ind w:left="1140" w:hanging="484"/>
        <w:spacing w:after="0" w:line="287" w:lineRule="auto"/>
        <w:tabs>
          <w:tab w:leader="none" w:pos="11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APIP Shares and the benefits under the Plan, if any, will not automatically transfer to another company in the case of a merger, take-over or transfer of liability.</w:t>
      </w:r>
    </w:p>
    <w:p>
      <w:pPr>
        <w:spacing w:after="0" w:line="179" w:lineRule="exact"/>
        <w:rPr>
          <w:rFonts w:ascii="Arial" w:cs="Arial" w:eastAsia="Arial" w:hAnsi="Arial"/>
          <w:sz w:val="18"/>
          <w:szCs w:val="18"/>
          <w:color w:val="auto"/>
        </w:rPr>
      </w:pPr>
    </w:p>
    <w:p>
      <w:pPr>
        <w:jc w:val="both"/>
        <w:ind w:firstLine="8"/>
        <w:spacing w:after="0" w:line="262" w:lineRule="auto"/>
        <w:tabs>
          <w:tab w:leader="none" w:pos="64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the Employee’s own personal tax, legal and financial advisors regarding the Employee’s participation in the Plan before taking any action related to the Plan.</w:t>
      </w:r>
    </w:p>
    <w:p>
      <w:pPr>
        <w:spacing w:after="0" w:line="203" w:lineRule="exact"/>
        <w:rPr>
          <w:rFonts w:ascii="Arial" w:cs="Arial" w:eastAsia="Arial" w:hAnsi="Arial"/>
          <w:sz w:val="18"/>
          <w:szCs w:val="18"/>
          <w:color w:val="auto"/>
        </w:rPr>
      </w:pPr>
    </w:p>
    <w:p>
      <w:pPr>
        <w:jc w:val="both"/>
        <w:ind w:firstLine="8"/>
        <w:spacing w:after="0" w:line="256" w:lineRule="auto"/>
        <w:tabs>
          <w:tab w:leader="none" w:pos="64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settlement of the APIP Shares prior to the completion of any registration or qualification of the Common Stock under any U.S. or non-U.S. local, state or federal securities or other applicable law or under rulings or regulations of the U.S.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of any other U.S. or non-U.S. governmental regulatory body, or prior to obtaining any approval or other clearance from any U.S. or non-U.S. local, state or federal governmental agency, which registration, qualification or approval the Company shall, in its absolute discretion, deem necessary or advisable.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understands that the Company is under no obligation to register or qualify the shares of Common Stock subject to the APIP Shares with the SEC or any U.S. state or non-U.S. securities commission or to seek approval or clearance from any governmental authority for the issuance or sale of the Common Stock. Further, the Employee agrees that the Company shall have unilateral authority to amend the Plan and this Agreement without the Employee’s consent to the extent necessary to comply with securities or other laws applicable to the issuance of the shares of Common Stock.</w:t>
      </w:r>
    </w:p>
    <w:p>
      <w:pPr>
        <w:spacing w:after="0" w:line="206" w:lineRule="exact"/>
        <w:rPr>
          <w:sz w:val="20"/>
          <w:szCs w:val="20"/>
          <w:color w:val="auto"/>
        </w:rPr>
      </w:pPr>
    </w:p>
    <w:p>
      <w:pPr>
        <w:ind w:firstLine="8"/>
        <w:spacing w:after="0" w:line="287" w:lineRule="auto"/>
        <w:tabs>
          <w:tab w:leader="none" w:pos="64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179" w:lineRule="exact"/>
        <w:rPr>
          <w:rFonts w:ascii="Arial" w:cs="Arial" w:eastAsia="Arial" w:hAnsi="Arial"/>
          <w:sz w:val="18"/>
          <w:szCs w:val="18"/>
          <w:color w:val="auto"/>
        </w:rPr>
      </w:pPr>
    </w:p>
    <w:p>
      <w:pPr>
        <w:jc w:val="both"/>
        <w:ind w:firstLine="8"/>
        <w:spacing w:after="0" w:line="256" w:lineRule="auto"/>
        <w:tabs>
          <w:tab w:leader="none" w:pos="64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Except where otherwise prohibited under applicable law, by executing this Agreement and accepting the APIP Shares and the delivery of any shares of Common Stock or cash hereunder, the Employee expressly acknowledges and agrees to continue to be bound by and to comply with all of the terms and conditions contained in the Non-Competition and Non-Solicitation Agreement and any other restrictive covenant agreement or obligations (e.g. confidentiality, non-competition, non-solicitation, trade secrets, etc.) previously entered or executed by the Employee and incorporated herein by reference (collectively, the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 By executing this Agreement, the Employee agrees that the APIP Shares and delivery of any shares of Common Stock or cash hereunder serve as additional consideration for any such Restrictive Covenants.</w:t>
      </w:r>
    </w:p>
    <w:p>
      <w:pPr>
        <w:spacing w:after="0" w:line="209" w:lineRule="exact"/>
        <w:rPr>
          <w:rFonts w:ascii="Arial" w:cs="Arial" w:eastAsia="Arial" w:hAnsi="Arial"/>
          <w:sz w:val="18"/>
          <w:szCs w:val="18"/>
          <w:color w:val="auto"/>
        </w:rPr>
      </w:pPr>
    </w:p>
    <w:p>
      <w:pPr>
        <w:jc w:val="both"/>
        <w:ind w:firstLine="8"/>
        <w:spacing w:after="0" w:line="259" w:lineRule="auto"/>
        <w:tabs>
          <w:tab w:leader="none" w:pos="64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This Award shall be subject to (i) the Conduent Incorporated Compensation Recoupment Policy, as may be amended from time to time, or any successor policy and (ii) any other compensation recovery policy adopted after the APIP Shares are granted to facilitate compliance with applicable law, including in response to the requirements of Section 10D of the Exchange Act, the U.S. Securities and Exchange Commission’s final rules thereunder, and any applicable listing rules or other rules and regulations implementing the foregoing.</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this Section 16, the Employee expressly and explicitly authorizes the Company to issue instructions, on the Employee's behalf, to any brokerage firm and/or third party administrator engaged by the Company to hold any shares of Common Stock and other amounts acquired pursuant to the APIP Shares to re-convey, transfer or otherwise return such shares of Common Stock and/or other amounts to the Company upon the Company’s enforcement of the Company’s recoupment policy, the Company’s clawback policy, if any, and any other compensation recovery policy adopted by the Board or the Committee.</w:t>
      </w:r>
    </w:p>
    <w:p>
      <w:pPr>
        <w:spacing w:after="0" w:line="71" w:lineRule="exact"/>
        <w:rPr>
          <w:sz w:val="20"/>
          <w:szCs w:val="20"/>
          <w:color w:val="auto"/>
        </w:rPr>
      </w:pPr>
    </w:p>
    <w:p>
      <w:pPr>
        <w:ind w:firstLine="8"/>
        <w:spacing w:after="0" w:line="287" w:lineRule="auto"/>
        <w:tabs>
          <w:tab w:leader="none" w:pos="64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16, the Company may cancel any award provided hereunder if the Employee is not in compliance with all of the following conditions:</w:t>
      </w:r>
    </w:p>
    <w:p>
      <w:pPr>
        <w:spacing w:after="0" w:line="179" w:lineRule="exact"/>
        <w:rPr>
          <w:rFonts w:ascii="Arial" w:cs="Arial" w:eastAsia="Arial" w:hAnsi="Arial"/>
          <w:sz w:val="18"/>
          <w:szCs w:val="18"/>
          <w:color w:val="auto"/>
        </w:rPr>
      </w:pPr>
    </w:p>
    <w:p>
      <w:pPr>
        <w:jc w:val="both"/>
        <w:ind w:left="1140" w:hanging="484"/>
        <w:spacing w:after="0" w:line="268" w:lineRule="auto"/>
        <w:tabs>
          <w:tab w:leader="none" w:pos="113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97" w:lineRule="exact"/>
        <w:rPr>
          <w:rFonts w:ascii="Arial" w:cs="Arial" w:eastAsia="Arial" w:hAnsi="Arial"/>
          <w:sz w:val="18"/>
          <w:szCs w:val="18"/>
          <w:color w:val="auto"/>
        </w:rPr>
      </w:pPr>
    </w:p>
    <w:p>
      <w:pPr>
        <w:jc w:val="both"/>
        <w:ind w:left="1140" w:hanging="484"/>
        <w:spacing w:after="0" w:line="262" w:lineRule="auto"/>
        <w:tabs>
          <w:tab w:leader="none" w:pos="113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76" w:lineRule="exact"/>
        <w:rPr>
          <w:rFonts w:ascii="Arial" w:cs="Arial" w:eastAsia="Arial" w:hAnsi="Arial"/>
          <w:sz w:val="18"/>
          <w:szCs w:val="18"/>
          <w:color w:val="auto"/>
        </w:rPr>
      </w:pPr>
    </w:p>
    <w:p>
      <w:pPr>
        <w:jc w:val="both"/>
        <w:ind w:left="1140"/>
        <w:spacing w:after="0" w:line="268" w:lineRule="auto"/>
        <w:rPr>
          <w:rFonts w:ascii="Arial" w:cs="Arial" w:eastAsia="Arial" w:hAnsi="Arial"/>
          <w:sz w:val="18"/>
          <w:szCs w:val="18"/>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140"/>
        <w:spacing w:after="0" w:line="259" w:lineRule="auto"/>
        <w:rPr>
          <w:sz w:val="20"/>
          <w:szCs w:val="20"/>
          <w:color w:val="auto"/>
        </w:rPr>
      </w:pPr>
      <w:r>
        <w:rPr>
          <w:rFonts w:ascii="Arial" w:cs="Arial" w:eastAsia="Arial" w:hAnsi="Arial"/>
          <w:sz w:val="18"/>
          <w:szCs w:val="18"/>
          <w:color w:val="auto"/>
        </w:rPr>
        <w:t>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the Employee has made such report or disclosure, or of the Employee’s participation in an agency investigation or proceeding.</w:t>
      </w:r>
    </w:p>
    <w:p>
      <w:pPr>
        <w:spacing w:after="0" w:line="206" w:lineRule="exact"/>
        <w:rPr>
          <w:sz w:val="20"/>
          <w:szCs w:val="20"/>
          <w:color w:val="auto"/>
        </w:rPr>
      </w:pPr>
    </w:p>
    <w:p>
      <w:pPr>
        <w:jc w:val="both"/>
        <w:ind w:left="1140" w:hanging="484"/>
        <w:spacing w:after="0" w:line="259" w:lineRule="auto"/>
        <w:tabs>
          <w:tab w:leader="none" w:pos="113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206" w:lineRule="exact"/>
        <w:rPr>
          <w:rFonts w:ascii="Arial" w:cs="Arial" w:eastAsia="Arial" w:hAnsi="Arial"/>
          <w:sz w:val="18"/>
          <w:szCs w:val="18"/>
          <w:color w:val="auto"/>
        </w:rPr>
      </w:pPr>
    </w:p>
    <w:p>
      <w:pPr>
        <w:jc w:val="both"/>
        <w:ind w:left="1140" w:hanging="484"/>
        <w:spacing w:after="0" w:line="256" w:lineRule="auto"/>
        <w:tabs>
          <w:tab w:leader="none" w:pos="113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209" w:lineRule="exact"/>
        <w:rPr>
          <w:rFonts w:ascii="Arial" w:cs="Arial" w:eastAsia="Arial" w:hAnsi="Arial"/>
          <w:sz w:val="18"/>
          <w:szCs w:val="18"/>
          <w:color w:val="auto"/>
        </w:rPr>
      </w:pPr>
    </w:p>
    <w:p>
      <w:pPr>
        <w:jc w:val="both"/>
        <w:ind w:firstLine="8"/>
        <w:spacing w:after="0" w:line="268" w:lineRule="auto"/>
        <w:tabs>
          <w:tab w:leader="none" w:pos="64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the Chief Human Resources Officer of the Company, and if to the Employee shall be delivered personally or mailed to the Employee at his address as the same appears on the records of the Company.</w:t>
      </w:r>
    </w:p>
    <w:p>
      <w:pPr>
        <w:spacing w:after="0" w:line="197" w:lineRule="exact"/>
        <w:rPr>
          <w:rFonts w:ascii="Arial" w:cs="Arial" w:eastAsia="Arial" w:hAnsi="Arial"/>
          <w:sz w:val="18"/>
          <w:szCs w:val="18"/>
          <w:color w:val="auto"/>
        </w:rPr>
      </w:pPr>
    </w:p>
    <w:p>
      <w:pPr>
        <w:ind w:firstLine="8"/>
        <w:spacing w:after="0" w:line="287" w:lineRule="auto"/>
        <w:tabs>
          <w:tab w:leader="none" w:pos="64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179" w:lineRule="exact"/>
        <w:rPr>
          <w:rFonts w:ascii="Arial" w:cs="Arial" w:eastAsia="Arial" w:hAnsi="Arial"/>
          <w:sz w:val="18"/>
          <w:szCs w:val="18"/>
          <w:color w:val="auto"/>
        </w:rPr>
      </w:pPr>
    </w:p>
    <w:p>
      <w:pPr>
        <w:jc w:val="both"/>
        <w:ind w:firstLine="8"/>
        <w:spacing w:after="0" w:line="259" w:lineRule="auto"/>
        <w:tabs>
          <w:tab w:leader="none" w:pos="64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206" w:lineRule="exact"/>
        <w:rPr>
          <w:rFonts w:ascii="Arial" w:cs="Arial" w:eastAsia="Arial" w:hAnsi="Arial"/>
          <w:sz w:val="18"/>
          <w:szCs w:val="18"/>
          <w:color w:val="auto"/>
        </w:rPr>
      </w:pPr>
    </w:p>
    <w:p>
      <w:pPr>
        <w:jc w:val="both"/>
        <w:ind w:firstLine="8"/>
        <w:spacing w:after="0" w:line="257" w:lineRule="auto"/>
        <w:tabs>
          <w:tab w:leader="none" w:pos="64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209" w:lineRule="exact"/>
        <w:rPr>
          <w:rFonts w:ascii="Arial" w:cs="Arial" w:eastAsia="Arial" w:hAnsi="Arial"/>
          <w:sz w:val="18"/>
          <w:szCs w:val="18"/>
          <w:color w:val="auto"/>
        </w:rPr>
      </w:pPr>
    </w:p>
    <w:p>
      <w:pPr>
        <w:ind w:firstLine="8"/>
        <w:spacing w:after="0" w:line="287" w:lineRule="auto"/>
        <w:tabs>
          <w:tab w:leader="none" w:pos="64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the Plan to the Beneficiary(ies) or transferee of the Employee.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8"/>
        <w:spacing w:after="0" w:line="255" w:lineRule="auto"/>
        <w:tabs>
          <w:tab w:leader="none" w:pos="64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any actions taken under or relating to this Agreement, and any disputes arising out of or related to this Agreement, shall be governed by and construed in accordance with the laws of the United States and the laws of the State of Delaware without giving effect to any choice or conflict of law provision or rule (whether of the State of Delaware or any other jurisdiction) that would cause the application of the laws of any jurisdiction other than the United States and the State or Delaware. This grant is made and/or administered in the United States. For purposes of litigating any dispute that arises under this grant or the Agreement the parties hereby submit to and consent to the jurisdiction of the State of Delaware, and agree that such litigation shall only be conducted in the state or federal courts located in Delaware to the exclusion of all other courts and fora. By accepting the APIP Shares, the Employee irrevocably consents to the jurisdiction of, and venue in, such courts and waives any objection that such courts are an inconvenient forum.</w:t>
      </w:r>
    </w:p>
    <w:p>
      <w:pPr>
        <w:spacing w:after="0" w:line="207" w:lineRule="exact"/>
        <w:rPr>
          <w:rFonts w:ascii="Arial" w:cs="Arial" w:eastAsia="Arial" w:hAnsi="Arial"/>
          <w:sz w:val="18"/>
          <w:szCs w:val="18"/>
          <w:color w:val="auto"/>
        </w:rPr>
      </w:pPr>
    </w:p>
    <w:p>
      <w:pPr>
        <w:jc w:val="both"/>
        <w:ind w:right="20" w:firstLine="8"/>
        <w:spacing w:after="0" w:line="268" w:lineRule="auto"/>
        <w:tabs>
          <w:tab w:leader="none" w:pos="64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APIP Shares, and any dividends with respect thereto, that are settled within such 60-day period in accordance with this Agreement shall be settled in the second calendar year. Each payment hereunder is treated as a separate payment for purposes of Section 409A.</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 (b)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74"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140" w:hanging="484"/>
        <w:spacing w:after="0" w:line="256" w:lineRule="auto"/>
        <w:tabs>
          <w:tab w:leader="none" w:pos="113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Data Collection and Usage</w:t>
      </w:r>
      <w:r>
        <w:rPr>
          <w:rFonts w:ascii="Arial" w:cs="Arial" w:eastAsia="Arial" w:hAnsi="Arial"/>
          <w:sz w:val="18"/>
          <w:szCs w:val="18"/>
          <w:color w:val="auto"/>
        </w:rPr>
        <w:t>. The Company and the Employer collect, process and use certain personal information about the Employee, including, but not limited to, the Employee’s name, home address and telephone number, email address, date of birth, social insurance, passport or other identification number, salary, nationality, job title, any shares of Common Stock or directorships held in the Company, details of all APIP Shares or any other entitlement to shares or equivalent benefits awarded, canceled, exercised, vested, unvested or outstanding in the Employee’s favor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for the purposes of implementing, administering and managing the Plan. The legal basis, where required, for the processing of Data is the Employee’s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6"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140" w:hanging="484"/>
        <w:spacing w:after="0" w:line="259" w:lineRule="auto"/>
        <w:tabs>
          <w:tab w:leader="none" w:pos="113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It may be necessary for Data to be transferred to, and processed in, the U.S. If the Employee is outside of the U.S., the Employee should note that the Employee's country has enacted data privacy laws that are different from the U.S. As a result, in the absence of appropriate safeguards, the transfer of Data to the U.S. or, as the case may be, other countries might not be subject to substantive data processing principles or supervision by data protection authorities. The Company’s legal basis, where required, for the transfer of Data is the Employee’s consent.</w:t>
      </w:r>
    </w:p>
    <w:p>
      <w:pPr>
        <w:spacing w:after="0" w:line="206" w:lineRule="exact"/>
        <w:rPr>
          <w:rFonts w:ascii="Arial" w:cs="Arial" w:eastAsia="Arial" w:hAnsi="Arial"/>
          <w:sz w:val="18"/>
          <w:szCs w:val="18"/>
          <w:color w:val="auto"/>
        </w:rPr>
      </w:pPr>
    </w:p>
    <w:p>
      <w:pPr>
        <w:jc w:val="both"/>
        <w:ind w:left="1140" w:hanging="484"/>
        <w:spacing w:after="0" w:line="268" w:lineRule="auto"/>
        <w:tabs>
          <w:tab w:leader="none" w:pos="1134"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the Employee’s participation in the Plan, or as required to comply with legal or regulatory obligations, including under tax, exchange control, labor and securities laws.</w:t>
      </w:r>
    </w:p>
    <w:p>
      <w:pPr>
        <w:spacing w:after="0" w:line="197" w:lineRule="exact"/>
        <w:rPr>
          <w:rFonts w:ascii="Arial" w:cs="Arial" w:eastAsia="Arial" w:hAnsi="Arial"/>
          <w:sz w:val="18"/>
          <w:szCs w:val="18"/>
          <w:color w:val="auto"/>
        </w:rPr>
      </w:pPr>
    </w:p>
    <w:p>
      <w:pPr>
        <w:jc w:val="both"/>
        <w:ind w:left="1140" w:hanging="484"/>
        <w:spacing w:after="0" w:line="259" w:lineRule="auto"/>
        <w:tabs>
          <w:tab w:leader="none" w:pos="113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Voluntariness and Consequences of Consent Denial or Withdrawal</w:t>
      </w:r>
      <w:r>
        <w:rPr>
          <w:rFonts w:ascii="Arial" w:cs="Arial" w:eastAsia="Arial" w:hAnsi="Arial"/>
          <w:sz w:val="18"/>
          <w:szCs w:val="18"/>
          <w:color w:val="auto"/>
        </w:rPr>
        <w:t>. Participation in the Plan is voluntary, and the Employee is providing the consents herein on a purely voluntary basis. If the Employee does not consent, or if the Employee later seeks to revoke the Employee's consent, the Employee’s salary from or employment and career with the Employer will not be affected; the only consequence of refusing or withdrawing consent is that the Company would not be able to grant the APIP Shares or other equity awards to the Employee or administer or maintain such awards.</w:t>
      </w:r>
    </w:p>
    <w:p>
      <w:pPr>
        <w:spacing w:after="0" w:line="71" w:lineRule="exact"/>
        <w:rPr>
          <w:rFonts w:ascii="Arial" w:cs="Arial" w:eastAsia="Arial" w:hAnsi="Arial"/>
          <w:sz w:val="18"/>
          <w:szCs w:val="18"/>
          <w:color w:val="auto"/>
        </w:rPr>
      </w:pPr>
    </w:p>
    <w:p>
      <w:pPr>
        <w:jc w:val="both"/>
        <w:ind w:left="1140" w:hanging="484"/>
        <w:spacing w:after="0" w:line="257" w:lineRule="auto"/>
        <w:tabs>
          <w:tab w:leader="none" w:pos="113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privacy laws in the Employee’s jurisdiction. Depending on where the Employee is based, such rights may include the right to (i) request access or copies of Data the Company processes, (ii) rectification of incorrect Data, (iii) deletion of Data, (iv) restrictions on processing of Data, (v) portability of Data, (vi) lodge complaints with competent authorities in the Employee’s jurisdiction, and/or (vii) receive a list with the names and addresses of any potential recipients of Data. To receive clarification regarding these rights or to exercise these rights, the Employee can contact the local human resources representative.</w:t>
      </w:r>
    </w:p>
    <w:p>
      <w:pPr>
        <w:spacing w:after="0" w:line="182" w:lineRule="exact"/>
        <w:rPr>
          <w:rFonts w:ascii="Arial" w:cs="Arial" w:eastAsia="Arial" w:hAnsi="Arial"/>
          <w:sz w:val="18"/>
          <w:szCs w:val="18"/>
          <w:color w:val="auto"/>
        </w:rPr>
      </w:pPr>
    </w:p>
    <w:p>
      <w:pPr>
        <w:jc w:val="both"/>
        <w:ind w:left="1140"/>
        <w:spacing w:after="0" w:line="254" w:lineRule="auto"/>
        <w:rPr>
          <w:rFonts w:ascii="Arial" w:cs="Arial" w:eastAsia="Arial" w:hAnsi="Arial"/>
          <w:sz w:val="18"/>
          <w:szCs w:val="18"/>
          <w:color w:val="auto"/>
        </w:rPr>
      </w:pPr>
      <w:r>
        <w:rPr>
          <w:rFonts w:ascii="Arial" w:cs="Arial" w:eastAsia="Arial" w:hAnsi="Arial"/>
          <w:sz w:val="18"/>
          <w:szCs w:val="18"/>
          <w:color w:val="auto"/>
        </w:rPr>
        <w:t>By accepting the APIP Shares and indicating consent via the Company’s acceptance procedure, the Employee is declaring agreement with the data processing practices described herein and consents to the collection, processing and use of Data by the Company and the transfer of Data to the recipients mentioned above, including recipients located in countries which to not adduce an adequate level of protection from a European (or other non-U.S.) data protection law perspective, for the purposes described above.</w:t>
      </w:r>
    </w:p>
    <w:p>
      <w:pPr>
        <w:spacing w:after="0" w:line="2" w:lineRule="exact"/>
        <w:rPr>
          <w:rFonts w:ascii="Arial" w:cs="Arial" w:eastAsia="Arial" w:hAnsi="Arial"/>
          <w:sz w:val="18"/>
          <w:szCs w:val="18"/>
          <w:color w:val="auto"/>
        </w:rPr>
      </w:pPr>
    </w:p>
    <w:p>
      <w:pPr>
        <w:jc w:val="both"/>
        <w:ind w:left="1140"/>
        <w:spacing w:after="0" w:line="252" w:lineRule="auto"/>
        <w:rPr>
          <w:rFonts w:ascii="Arial" w:cs="Arial" w:eastAsia="Arial" w:hAnsi="Arial"/>
          <w:sz w:val="18"/>
          <w:szCs w:val="18"/>
          <w:color w:val="auto"/>
        </w:rPr>
      </w:pPr>
      <w:r>
        <w:rPr>
          <w:rFonts w:ascii="Arial" w:cs="Arial" w:eastAsia="Arial" w:hAnsi="Arial"/>
          <w:sz w:val="18"/>
          <w:szCs w:val="18"/>
          <w:color w:val="auto"/>
        </w:rPr>
        <w:t>Finally, the Employee understands that the Company may rely on a different basis for the processing or transfer of Data in the future and/or request that the Employee provide another data privacy consent. If applicable, the Employee agrees that upon request of the Company or the Employer, the Employee will provide an executed acknowledgement or data privacy consent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the Employee will not be able to participate in the Plan if the Employee fails to provide any such consent or agreement requested by the Company and/or the Employer.</w:t>
      </w:r>
    </w:p>
    <w:p>
      <w:pPr>
        <w:spacing w:after="0" w:line="133" w:lineRule="exact"/>
        <w:rPr>
          <w:rFonts w:ascii="Arial" w:cs="Arial" w:eastAsia="Arial" w:hAnsi="Arial"/>
          <w:sz w:val="18"/>
          <w:szCs w:val="18"/>
          <w:color w:val="auto"/>
        </w:rPr>
      </w:pPr>
    </w:p>
    <w:p>
      <w:pPr>
        <w:jc w:val="both"/>
        <w:ind w:firstLine="8"/>
        <w:spacing w:after="0" w:line="268" w:lineRule="auto"/>
        <w:tabs>
          <w:tab w:leader="none" w:pos="64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6"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8"/>
        <w:spacing w:after="0" w:line="287" w:lineRule="auto"/>
        <w:tabs>
          <w:tab w:leader="none" w:pos="64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179" w:lineRule="exact"/>
        <w:rPr>
          <w:rFonts w:ascii="Arial" w:cs="Arial" w:eastAsia="Arial" w:hAnsi="Arial"/>
          <w:sz w:val="18"/>
          <w:szCs w:val="18"/>
          <w:color w:val="auto"/>
        </w:rPr>
      </w:pPr>
    </w:p>
    <w:p>
      <w:pPr>
        <w:jc w:val="both"/>
        <w:ind w:firstLine="8"/>
        <w:spacing w:after="0" w:line="259" w:lineRule="auto"/>
        <w:tabs>
          <w:tab w:leader="none" w:pos="64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APIP Shares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executed this Agreement as of the day and year set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CONDUENT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00225" cy="8572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180022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By: Christopher Kujawa, Chief Human Resources Officer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June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6" w:right="339" w:bottom="1440" w:gutter="0" w:footer="0" w:header="0"/>
        </w:sectPr>
      </w:pPr>
    </w:p>
    <w:bookmarkStart w:id="53" w:name="page54"/>
    <w:bookmarkEnd w:id="53"/>
    <w:p>
      <w:pPr>
        <w:ind w:left="9720"/>
        <w:spacing w:after="0"/>
        <w:rPr>
          <w:sz w:val="20"/>
          <w:szCs w:val="20"/>
          <w:color w:val="auto"/>
        </w:rPr>
      </w:pPr>
      <w:r>
        <w:rPr>
          <w:rFonts w:ascii="Times New Roman" w:cs="Times New Roman" w:eastAsia="Times New Roman" w:hAnsi="Times New Roman"/>
          <w:sz w:val="21"/>
          <w:szCs w:val="21"/>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Conditions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APIP Shares that vest shall be based on the satisfaction of goals and the weighted percentages set forth below. Linear</w:t>
      </w:r>
    </w:p>
    <w:p>
      <w:pPr>
        <w:spacing w:after="0" w:line="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interpolation will be used for results between points. The goals will be adjusted for any dispositions of businesses and asset sales, and may be adjusted for other unanticipated or unbudgeted changes. Numbers set forth herein are denoted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40575" cy="1114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40575" cy="111442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960" w:type="dxa"/>
            <w:vAlign w:val="bottom"/>
            <w:shd w:val="clear" w:color="auto" w:fill="808080"/>
          </w:tcPr>
          <w:p>
            <w:pPr>
              <w:jc w:val="center"/>
              <w:spacing w:after="0"/>
              <w:rPr>
                <w:sz w:val="20"/>
                <w:szCs w:val="20"/>
                <w:color w:val="auto"/>
              </w:rPr>
            </w:pPr>
            <w:r>
              <w:rPr>
                <w:rFonts w:ascii="Arial" w:cs="Arial" w:eastAsia="Arial" w:hAnsi="Arial"/>
                <w:sz w:val="18"/>
                <w:szCs w:val="18"/>
                <w:b w:val="1"/>
                <w:bCs w:val="1"/>
                <w:color w:val="FFFFFF"/>
              </w:rPr>
              <w:t>Metric</w:t>
            </w:r>
          </w:p>
        </w:tc>
        <w:tc>
          <w:tcPr>
            <w:tcW w:w="20" w:type="dxa"/>
            <w:vAlign w:val="bottom"/>
            <w:shd w:val="clear" w:color="auto" w:fill="808080"/>
          </w:tcPr>
          <w:p>
            <w:pPr>
              <w:spacing w:after="0"/>
              <w:rPr>
                <w:sz w:val="23"/>
                <w:szCs w:val="23"/>
                <w:color w:val="auto"/>
              </w:rPr>
            </w:pPr>
          </w:p>
        </w:tc>
        <w:tc>
          <w:tcPr>
            <w:tcW w:w="7320" w:type="dxa"/>
            <w:vAlign w:val="bottom"/>
            <w:shd w:val="clear" w:color="auto" w:fill="808080"/>
          </w:tcPr>
          <w:p>
            <w:pPr>
              <w:ind w:left="3160"/>
              <w:spacing w:after="0"/>
              <w:rPr>
                <w:sz w:val="20"/>
                <w:szCs w:val="20"/>
                <w:color w:val="auto"/>
              </w:rPr>
            </w:pPr>
            <w:r>
              <w:rPr>
                <w:rFonts w:ascii="Arial" w:cs="Arial" w:eastAsia="Arial" w:hAnsi="Arial"/>
                <w:sz w:val="18"/>
                <w:szCs w:val="18"/>
                <w:b w:val="1"/>
                <w:bCs w:val="1"/>
                <w:color w:val="FFFFFF"/>
              </w:rPr>
              <w:t>Description</w:t>
            </w:r>
          </w:p>
        </w:tc>
        <w:tc>
          <w:tcPr>
            <w:tcW w:w="20" w:type="dxa"/>
            <w:vAlign w:val="bottom"/>
            <w:shd w:val="clear" w:color="auto" w:fill="808080"/>
          </w:tcPr>
          <w:p>
            <w:pPr>
              <w:spacing w:after="0"/>
              <w:rPr>
                <w:sz w:val="23"/>
                <w:szCs w:val="23"/>
                <w:color w:val="auto"/>
              </w:rPr>
            </w:pPr>
          </w:p>
        </w:tc>
        <w:tc>
          <w:tcPr>
            <w:tcW w:w="1920" w:type="dxa"/>
            <w:vAlign w:val="bottom"/>
            <w:shd w:val="clear" w:color="auto" w:fill="808080"/>
          </w:tcPr>
          <w:p>
            <w:pPr>
              <w:jc w:val="center"/>
              <w:spacing w:after="0"/>
              <w:rPr>
                <w:sz w:val="20"/>
                <w:szCs w:val="20"/>
                <w:color w:val="auto"/>
              </w:rPr>
            </w:pPr>
            <w:r>
              <w:rPr>
                <w:rFonts w:ascii="Arial" w:cs="Arial" w:eastAsia="Arial" w:hAnsi="Arial"/>
                <w:sz w:val="18"/>
                <w:szCs w:val="18"/>
                <w:b w:val="1"/>
                <w:bCs w:val="1"/>
                <w:color w:val="FFFFFF"/>
                <w:w w:val="99"/>
              </w:rPr>
              <w:t>Weighted %</w:t>
            </w:r>
          </w:p>
        </w:tc>
        <w:tc>
          <w:tcPr>
            <w:tcW w:w="0" w:type="dxa"/>
            <w:vAlign w:val="bottom"/>
          </w:tcPr>
          <w:p>
            <w:pPr>
              <w:spacing w:after="0"/>
              <w:rPr>
                <w:sz w:val="1"/>
                <w:szCs w:val="1"/>
                <w:color w:val="auto"/>
              </w:rPr>
            </w:pPr>
          </w:p>
        </w:tc>
      </w:tr>
      <w:tr>
        <w:trPr>
          <w:trHeight w:val="27"/>
        </w:trPr>
        <w:tc>
          <w:tcPr>
            <w:tcW w:w="19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Adjusted Revenue</w:t>
            </w:r>
          </w:p>
        </w:tc>
        <w:tc>
          <w:tcPr>
            <w:tcW w:w="20" w:type="dxa"/>
            <w:vAlign w:val="bottom"/>
          </w:tcPr>
          <w:p>
            <w:pPr>
              <w:spacing w:after="0"/>
              <w:rPr>
                <w:sz w:val="2"/>
                <w:szCs w:val="2"/>
                <w:color w:val="auto"/>
              </w:rPr>
            </w:pPr>
          </w:p>
        </w:tc>
        <w:tc>
          <w:tcPr>
            <w:tcW w:w="7320" w:type="dxa"/>
            <w:vAlign w:val="bottom"/>
            <w:vMerge w:val="restart"/>
          </w:tcPr>
          <w:p>
            <w:pPr>
              <w:ind w:left="20"/>
              <w:spacing w:after="0"/>
              <w:rPr>
                <w:sz w:val="20"/>
                <w:szCs w:val="20"/>
                <w:color w:val="auto"/>
              </w:rPr>
            </w:pPr>
            <w:r>
              <w:rPr>
                <w:rFonts w:ascii="Arial" w:cs="Arial" w:eastAsia="Arial" w:hAnsi="Arial"/>
                <w:sz w:val="18"/>
                <w:szCs w:val="18"/>
                <w:color w:val="auto"/>
              </w:rPr>
              <w:t>Adjusted Revenue</w:t>
            </w:r>
          </w:p>
        </w:tc>
        <w:tc>
          <w:tcPr>
            <w:tcW w:w="20" w:type="dxa"/>
            <w:vAlign w:val="bottom"/>
          </w:tcPr>
          <w:p>
            <w:pPr>
              <w:spacing w:after="0"/>
              <w:rPr>
                <w:sz w:val="2"/>
                <w:szCs w:val="2"/>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line="20" w:lineRule="exact"/>
              <w:rPr>
                <w:sz w:val="1"/>
                <w:szCs w:val="1"/>
                <w:color w:val="auto"/>
              </w:rPr>
            </w:pPr>
          </w:p>
        </w:tc>
      </w:tr>
      <w:tr>
        <w:trPr>
          <w:trHeight w:val="230"/>
        </w:trPr>
        <w:tc>
          <w:tcPr>
            <w:tcW w:w="19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7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9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Adjusted EBITDA</w:t>
            </w:r>
          </w:p>
        </w:tc>
        <w:tc>
          <w:tcPr>
            <w:tcW w:w="20" w:type="dxa"/>
            <w:vAlign w:val="bottom"/>
            <w:shd w:val="clear" w:color="auto" w:fill="000000"/>
          </w:tcPr>
          <w:p>
            <w:pPr>
              <w:spacing w:after="0"/>
              <w:rPr>
                <w:sz w:val="15"/>
                <w:szCs w:val="15"/>
                <w:color w:val="auto"/>
              </w:rPr>
            </w:pPr>
          </w:p>
        </w:tc>
        <w:tc>
          <w:tcPr>
            <w:tcW w:w="7320" w:type="dxa"/>
            <w:vAlign w:val="bottom"/>
          </w:tcPr>
          <w:p>
            <w:pPr>
              <w:ind w:left="20"/>
              <w:spacing w:after="0" w:line="177" w:lineRule="exact"/>
              <w:rPr>
                <w:sz w:val="20"/>
                <w:szCs w:val="20"/>
                <w:color w:val="auto"/>
              </w:rPr>
            </w:pPr>
            <w:r>
              <w:rPr>
                <w:rFonts w:ascii="Arial" w:cs="Arial" w:eastAsia="Arial" w:hAnsi="Arial"/>
                <w:sz w:val="18"/>
                <w:szCs w:val="18"/>
                <w:color w:val="auto"/>
              </w:rPr>
              <w:t>Income or loss before income taxes, interest, depreciation and amortization and contract</w:t>
            </w:r>
          </w:p>
        </w:tc>
        <w:tc>
          <w:tcPr>
            <w:tcW w:w="20" w:type="dxa"/>
            <w:vAlign w:val="bottom"/>
            <w:shd w:val="clear" w:color="auto" w:fill="000000"/>
          </w:tcPr>
          <w:p>
            <w:pPr>
              <w:spacing w:after="0"/>
              <w:rPr>
                <w:sz w:val="15"/>
                <w:szCs w:val="15"/>
                <w:color w:val="auto"/>
              </w:rPr>
            </w:pPr>
          </w:p>
        </w:tc>
        <w:tc>
          <w:tcPr>
            <w:tcW w:w="1920" w:type="dxa"/>
            <w:vAlign w:val="bottom"/>
          </w:tcPr>
          <w:p>
            <w:pPr>
              <w:jc w:val="center"/>
              <w:spacing w:after="0" w:line="177" w:lineRule="exact"/>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35"/>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0" w:type="dxa"/>
            <w:vAlign w:val="bottom"/>
            <w:tcBorders>
              <w:bottom w:val="single" w:sz="8" w:color="auto"/>
            </w:tcBorders>
            <w:shd w:val="clear" w:color="auto" w:fill="000000"/>
          </w:tcPr>
          <w:p>
            <w:pPr>
              <w:spacing w:after="0"/>
              <w:rPr>
                <w:sz w:val="20"/>
                <w:szCs w:val="20"/>
                <w:color w:val="auto"/>
              </w:rPr>
            </w:pPr>
          </w:p>
        </w:tc>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inducement amortization divided by revenue or adjusted revenue</w:t>
            </w:r>
          </w:p>
        </w:tc>
        <w:tc>
          <w:tcPr>
            <w:tcW w:w="20" w:type="dxa"/>
            <w:vAlign w:val="bottom"/>
            <w:tcBorders>
              <w:bottom w:val="single" w:sz="8" w:color="auto"/>
            </w:tcBorders>
            <w:shd w:val="clear" w:color="auto" w:fill="000000"/>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9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Net ARR Activity</w:t>
            </w:r>
          </w:p>
        </w:tc>
        <w:tc>
          <w:tcPr>
            <w:tcW w:w="20" w:type="dxa"/>
            <w:vAlign w:val="bottom"/>
            <w:shd w:val="clear" w:color="auto" w:fill="000000"/>
          </w:tcPr>
          <w:p>
            <w:pPr>
              <w:spacing w:after="0"/>
              <w:rPr>
                <w:sz w:val="15"/>
                <w:szCs w:val="15"/>
                <w:color w:val="auto"/>
              </w:rPr>
            </w:pPr>
          </w:p>
        </w:tc>
        <w:tc>
          <w:tcPr>
            <w:tcW w:w="7320" w:type="dxa"/>
            <w:vAlign w:val="bottom"/>
          </w:tcPr>
          <w:p>
            <w:pPr>
              <w:ind w:left="20"/>
              <w:spacing w:after="0" w:line="177" w:lineRule="exact"/>
              <w:rPr>
                <w:sz w:val="20"/>
                <w:szCs w:val="20"/>
                <w:color w:val="auto"/>
              </w:rPr>
            </w:pPr>
            <w:r>
              <w:rPr>
                <w:rFonts w:ascii="Arial" w:cs="Arial" w:eastAsia="Arial" w:hAnsi="Arial"/>
                <w:sz w:val="18"/>
                <w:szCs w:val="18"/>
                <w:color w:val="auto"/>
              </w:rPr>
              <w:t>Projected Annual Recurring Revenue for contracts signed in the prior 12 months, less the</w:t>
            </w:r>
          </w:p>
        </w:tc>
        <w:tc>
          <w:tcPr>
            <w:tcW w:w="20" w:type="dxa"/>
            <w:vAlign w:val="bottom"/>
            <w:shd w:val="clear" w:color="auto" w:fill="000000"/>
          </w:tcPr>
          <w:p>
            <w:pPr>
              <w:spacing w:after="0"/>
              <w:rPr>
                <w:sz w:val="15"/>
                <w:szCs w:val="15"/>
                <w:color w:val="auto"/>
              </w:rPr>
            </w:pPr>
          </w:p>
        </w:tc>
        <w:tc>
          <w:tcPr>
            <w:tcW w:w="1920" w:type="dxa"/>
            <w:vAlign w:val="bottom"/>
          </w:tcPr>
          <w:p>
            <w:pPr>
              <w:jc w:val="center"/>
              <w:spacing w:after="0" w:line="177" w:lineRule="exact"/>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181"/>
        </w:trPr>
        <w:tc>
          <w:tcPr>
            <w:tcW w:w="19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320" w:type="dxa"/>
            <w:vAlign w:val="bottom"/>
          </w:tcPr>
          <w:p>
            <w:pPr>
              <w:ind w:left="20"/>
              <w:spacing w:after="0" w:line="181" w:lineRule="exact"/>
              <w:rPr>
                <w:sz w:val="20"/>
                <w:szCs w:val="20"/>
                <w:color w:val="auto"/>
              </w:rPr>
            </w:pPr>
            <w:r>
              <w:rPr>
                <w:rFonts w:ascii="Arial" w:cs="Arial" w:eastAsia="Arial" w:hAnsi="Arial"/>
                <w:sz w:val="18"/>
                <w:szCs w:val="18"/>
                <w:color w:val="auto"/>
              </w:rPr>
              <w:t>annualized impact of any client losses, contractual volume and price changes, and other</w:t>
            </w:r>
          </w:p>
        </w:tc>
        <w:tc>
          <w:tcPr>
            <w:tcW w:w="20" w:type="dxa"/>
            <w:vAlign w:val="bottom"/>
            <w:shd w:val="clear" w:color="auto" w:fill="000000"/>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320" w:type="dxa"/>
            <w:vAlign w:val="bottom"/>
          </w:tcPr>
          <w:p>
            <w:pPr>
              <w:ind w:left="20"/>
              <w:spacing w:after="0" w:line="176" w:lineRule="exact"/>
              <w:rPr>
                <w:sz w:val="20"/>
                <w:szCs w:val="20"/>
                <w:color w:val="auto"/>
              </w:rPr>
            </w:pPr>
            <w:r>
              <w:rPr>
                <w:rFonts w:ascii="Arial" w:cs="Arial" w:eastAsia="Arial" w:hAnsi="Arial"/>
                <w:sz w:val="18"/>
                <w:szCs w:val="18"/>
                <w:color w:val="auto"/>
              </w:rPr>
              <w:t>known impacts for which the company was notified in that same time period, which could</w:t>
            </w:r>
          </w:p>
        </w:tc>
        <w:tc>
          <w:tcPr>
            <w:tcW w:w="20" w:type="dxa"/>
            <w:vAlign w:val="bottom"/>
            <w:shd w:val="clear" w:color="auto" w:fill="000000"/>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positively or negatively impact results.</w:t>
            </w:r>
          </w:p>
        </w:tc>
        <w:tc>
          <w:tcPr>
            <w:tcW w:w="20" w:type="dxa"/>
            <w:vAlign w:val="bottom"/>
            <w:tcBorders>
              <w:bottom w:val="single" w:sz="8" w:color="auto"/>
            </w:tcBorders>
            <w:shd w:val="clear" w:color="auto" w:fill="000000"/>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64"/>
        </w:trPr>
        <w:tc>
          <w:tcPr>
            <w:tcW w:w="31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Threshold</w:t>
            </w:r>
          </w:p>
        </w:tc>
        <w:tc>
          <w:tcPr>
            <w:tcW w:w="1180" w:type="dxa"/>
            <w:vAlign w:val="bottom"/>
            <w:tcBorders>
              <w:bottom w:val="single" w:sz="8" w:color="auto"/>
              <w:right w:val="single" w:sz="8" w:color="auto"/>
            </w:tcBorders>
            <w:shd w:val="clear" w:color="auto" w:fill="7F7F7F"/>
          </w:tcPr>
          <w:p>
            <w:pPr>
              <w:ind w:left="32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2040" w:type="dxa"/>
            <w:vAlign w:val="bottom"/>
            <w:tcBorders>
              <w:bottom w:val="single" w:sz="8" w:color="auto"/>
              <w:right w:val="single" w:sz="8" w:color="auto"/>
            </w:tcBorders>
            <w:shd w:val="clear" w:color="auto" w:fill="7F7F7F"/>
          </w:tcPr>
          <w:p>
            <w:pPr>
              <w:ind w:left="460"/>
              <w:spacing w:after="0"/>
              <w:rPr>
                <w:sz w:val="20"/>
                <w:szCs w:val="20"/>
                <w:color w:val="auto"/>
              </w:rPr>
            </w:pPr>
            <w:r>
              <w:rPr>
                <w:rFonts w:ascii="Times New Roman" w:cs="Times New Roman" w:eastAsia="Times New Roman" w:hAnsi="Times New Roman"/>
                <w:sz w:val="18"/>
                <w:szCs w:val="18"/>
                <w:b w:val="1"/>
                <w:bCs w:val="1"/>
                <w:color w:val="FFFFFF"/>
              </w:rPr>
              <w:t>Stretch Target</w:t>
            </w:r>
          </w:p>
        </w:tc>
        <w:tc>
          <w:tcPr>
            <w:tcW w:w="2680" w:type="dxa"/>
            <w:vAlign w:val="bottom"/>
            <w:tcBorders>
              <w:bottom w:val="single" w:sz="8" w:color="auto"/>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Overachievement (Cap)</w:t>
            </w:r>
          </w:p>
        </w:tc>
      </w:tr>
      <w:tr>
        <w:trPr>
          <w:trHeight w:val="269"/>
        </w:trPr>
        <w:tc>
          <w:tcPr>
            <w:tcW w:w="3180" w:type="dxa"/>
            <w:vAlign w:val="bottom"/>
            <w:tcBorders>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Adjusted Revenue (40%)</w:t>
            </w:r>
          </w:p>
        </w:tc>
        <w:tc>
          <w:tcPr>
            <w:tcW w:w="19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$3,060.4</w:t>
            </w:r>
          </w:p>
        </w:tc>
        <w:tc>
          <w:tcPr>
            <w:tcW w:w="1180" w:type="dxa"/>
            <w:vAlign w:val="bottom"/>
            <w:tcBorders>
              <w:bottom w:val="single" w:sz="8" w:color="DBE5F1"/>
              <w:right w:val="single" w:sz="8" w:color="auto"/>
            </w:tcBorders>
            <w:shd w:val="clear" w:color="auto" w:fill="DBE5F1"/>
          </w:tcPr>
          <w:p>
            <w:pPr>
              <w:jc w:val="right"/>
              <w:ind w:right="190"/>
              <w:spacing w:after="0"/>
              <w:rPr>
                <w:sz w:val="20"/>
                <w:szCs w:val="20"/>
                <w:color w:val="auto"/>
              </w:rPr>
            </w:pPr>
            <w:r>
              <w:rPr>
                <w:rFonts w:ascii="Times New Roman" w:cs="Times New Roman" w:eastAsia="Times New Roman" w:hAnsi="Times New Roman"/>
                <w:sz w:val="18"/>
                <w:szCs w:val="18"/>
                <w:color w:val="auto"/>
              </w:rPr>
              <w:t>$3,155.0</w:t>
            </w:r>
          </w:p>
        </w:tc>
        <w:tc>
          <w:tcPr>
            <w:tcW w:w="2040" w:type="dxa"/>
            <w:vAlign w:val="bottom"/>
            <w:tcBorders>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$3,249.7</w:t>
            </w:r>
          </w:p>
        </w:tc>
        <w:tc>
          <w:tcPr>
            <w:tcW w:w="2680" w:type="dxa"/>
            <w:vAlign w:val="bottom"/>
            <w:tcBorders>
              <w:bottom w:val="single" w:sz="8" w:color="DBE5F1"/>
              <w:right w:val="single" w:sz="8" w:color="auto"/>
            </w:tcBorders>
            <w:shd w:val="clear" w:color="auto" w:fill="DBE5F1"/>
          </w:tcPr>
          <w:p>
            <w:pPr>
              <w:jc w:val="right"/>
              <w:ind w:right="950"/>
              <w:spacing w:after="0"/>
              <w:rPr>
                <w:sz w:val="20"/>
                <w:szCs w:val="20"/>
                <w:color w:val="auto"/>
              </w:rPr>
            </w:pPr>
            <w:r>
              <w:rPr>
                <w:rFonts w:ascii="Times New Roman" w:cs="Times New Roman" w:eastAsia="Times New Roman" w:hAnsi="Times New Roman"/>
                <w:sz w:val="18"/>
                <w:szCs w:val="18"/>
                <w:color w:val="auto"/>
              </w:rPr>
              <w:t>$3,470.5</w:t>
            </w:r>
          </w:p>
        </w:tc>
      </w:tr>
      <w:tr>
        <w:trPr>
          <w:trHeight w:val="263"/>
        </w:trPr>
        <w:tc>
          <w:tcPr>
            <w:tcW w:w="318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Achievement %</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97% of Target</w:t>
            </w:r>
          </w:p>
        </w:tc>
        <w:tc>
          <w:tcPr>
            <w:tcW w:w="1180" w:type="dxa"/>
            <w:vAlign w:val="bottom"/>
            <w:tcBorders>
              <w:top w:val="single" w:sz="8" w:color="auto"/>
              <w:bottom w:val="single" w:sz="8" w:color="DBE5F1"/>
              <w:right w:val="single" w:sz="8" w:color="auto"/>
            </w:tcBorders>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Budget</w:t>
            </w:r>
          </w:p>
        </w:tc>
        <w:tc>
          <w:tcPr>
            <w:tcW w:w="20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103% of Target</w:t>
            </w:r>
          </w:p>
        </w:tc>
        <w:tc>
          <w:tcPr>
            <w:tcW w:w="2680" w:type="dxa"/>
            <w:vAlign w:val="bottom"/>
            <w:tcBorders>
              <w:top w:val="single" w:sz="8" w:color="auto"/>
              <w:bottom w:val="single" w:sz="8" w:color="DBE5F1"/>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7"/>
              </w:rPr>
              <w:t>110% of Target</w:t>
            </w:r>
          </w:p>
        </w:tc>
      </w:tr>
      <w:tr>
        <w:trPr>
          <w:trHeight w:val="243"/>
        </w:trPr>
        <w:tc>
          <w:tcPr>
            <w:tcW w:w="318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8"/>
              </w:rPr>
              <w:t>Payout %</w:t>
            </w:r>
          </w:p>
        </w:tc>
        <w:tc>
          <w:tcPr>
            <w:tcW w:w="1940" w:type="dxa"/>
            <w:vAlign w:val="bottom"/>
            <w:tcBorders>
              <w:top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tcBorders>
              <w:top w:val="single" w:sz="8" w:color="auto"/>
              <w:bottom w:val="single" w:sz="8" w:color="DBE5F1"/>
              <w:right w:val="single" w:sz="8" w:color="auto"/>
            </w:tcBorders>
            <w:shd w:val="clear" w:color="auto" w:fill="DBE5F1"/>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2040" w:type="dxa"/>
            <w:vAlign w:val="bottom"/>
            <w:tcBorders>
              <w:top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150%</w:t>
            </w:r>
          </w:p>
        </w:tc>
        <w:tc>
          <w:tcPr>
            <w:tcW w:w="2680" w:type="dxa"/>
            <w:vAlign w:val="bottom"/>
            <w:tcBorders>
              <w:top w:val="single" w:sz="8" w:color="auto"/>
              <w:bottom w:val="single" w:sz="8" w:color="DBE5F1"/>
              <w:right w:val="single" w:sz="8" w:color="auto"/>
            </w:tcBorders>
            <w:shd w:val="clear" w:color="auto" w:fill="DBE5F1"/>
          </w:tcPr>
          <w:p>
            <w:pPr>
              <w:jc w:val="right"/>
              <w:ind w:right="1050"/>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3180" w:type="dxa"/>
            <w:vAlign w:val="bottom"/>
            <w:tcBorders>
              <w:right w:val="single" w:sz="8" w:color="auto"/>
            </w:tcBorders>
            <w:shd w:val="clear" w:color="auto" w:fill="000000"/>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Borders>
              <w:right w:val="single" w:sz="8" w:color="auto"/>
            </w:tcBorders>
            <w:shd w:val="clear" w:color="auto" w:fill="000000"/>
          </w:tcPr>
          <w:p>
            <w:pPr>
              <w:spacing w:after="0" w:line="20" w:lineRule="exact"/>
              <w:rPr>
                <w:sz w:val="1"/>
                <w:szCs w:val="1"/>
                <w:color w:val="auto"/>
              </w:rPr>
            </w:pPr>
          </w:p>
        </w:tc>
        <w:tc>
          <w:tcPr>
            <w:tcW w:w="2680" w:type="dxa"/>
            <w:vAlign w:val="bottom"/>
            <w:tcBorders>
              <w:right w:val="single" w:sz="8" w:color="auto"/>
            </w:tcBorders>
            <w:shd w:val="clear" w:color="auto" w:fill="000000"/>
          </w:tcPr>
          <w:p>
            <w:pPr>
              <w:spacing w:after="0" w:line="20" w:lineRule="exact"/>
              <w:rPr>
                <w:sz w:val="1"/>
                <w:szCs w:val="1"/>
                <w:color w:val="auto"/>
              </w:rPr>
            </w:pPr>
          </w:p>
        </w:tc>
      </w:tr>
    </w:tbl>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264"/>
        </w:trPr>
        <w:tc>
          <w:tcPr>
            <w:tcW w:w="31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Threshold</w:t>
            </w:r>
          </w:p>
        </w:tc>
        <w:tc>
          <w:tcPr>
            <w:tcW w:w="1180" w:type="dxa"/>
            <w:vAlign w:val="bottom"/>
            <w:tcBorders>
              <w:bottom w:val="single" w:sz="8" w:color="auto"/>
              <w:right w:val="single" w:sz="8" w:color="auto"/>
            </w:tcBorders>
            <w:shd w:val="clear" w:color="auto" w:fill="7F7F7F"/>
          </w:tcPr>
          <w:p>
            <w:pPr>
              <w:ind w:left="32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2040" w:type="dxa"/>
            <w:vAlign w:val="bottom"/>
            <w:tcBorders>
              <w:bottom w:val="single" w:sz="8" w:color="auto"/>
              <w:right w:val="single" w:sz="8" w:color="auto"/>
            </w:tcBorders>
            <w:shd w:val="clear" w:color="auto" w:fill="7F7F7F"/>
          </w:tcPr>
          <w:p>
            <w:pPr>
              <w:ind w:left="460"/>
              <w:spacing w:after="0"/>
              <w:rPr>
                <w:sz w:val="20"/>
                <w:szCs w:val="20"/>
                <w:color w:val="auto"/>
              </w:rPr>
            </w:pPr>
            <w:r>
              <w:rPr>
                <w:rFonts w:ascii="Times New Roman" w:cs="Times New Roman" w:eastAsia="Times New Roman" w:hAnsi="Times New Roman"/>
                <w:sz w:val="18"/>
                <w:szCs w:val="18"/>
                <w:b w:val="1"/>
                <w:bCs w:val="1"/>
                <w:color w:val="FFFFFF"/>
              </w:rPr>
              <w:t>Stretch Target</w:t>
            </w:r>
          </w:p>
        </w:tc>
        <w:tc>
          <w:tcPr>
            <w:tcW w:w="2680" w:type="dxa"/>
            <w:vAlign w:val="bottom"/>
            <w:tcBorders>
              <w:bottom w:val="single" w:sz="8" w:color="auto"/>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Overachievement (Cap)</w:t>
            </w:r>
          </w:p>
        </w:tc>
      </w:tr>
      <w:tr>
        <w:trPr>
          <w:trHeight w:val="269"/>
        </w:trPr>
        <w:tc>
          <w:tcPr>
            <w:tcW w:w="3180" w:type="dxa"/>
            <w:vAlign w:val="bottom"/>
            <w:tcBorders>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Adjusted EBITDA Margin (40%)</w:t>
            </w:r>
          </w:p>
        </w:tc>
        <w:tc>
          <w:tcPr>
            <w:tcW w:w="194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4.66%</w:t>
            </w:r>
          </w:p>
        </w:tc>
        <w:tc>
          <w:tcPr>
            <w:tcW w:w="1180" w:type="dxa"/>
            <w:vAlign w:val="bottom"/>
            <w:tcBorders>
              <w:bottom w:val="single" w:sz="8" w:color="DBE5F1"/>
              <w:right w:val="single" w:sz="8" w:color="auto"/>
            </w:tcBorders>
            <w:shd w:val="clear" w:color="auto" w:fill="DBE5F1"/>
          </w:tcPr>
          <w:p>
            <w:pPr>
              <w:jc w:val="right"/>
              <w:ind w:right="290"/>
              <w:spacing w:after="0"/>
              <w:rPr>
                <w:sz w:val="20"/>
                <w:szCs w:val="20"/>
                <w:color w:val="auto"/>
              </w:rPr>
            </w:pPr>
            <w:r>
              <w:rPr>
                <w:rFonts w:ascii="Times New Roman" w:cs="Times New Roman" w:eastAsia="Times New Roman" w:hAnsi="Times New Roman"/>
                <w:sz w:val="18"/>
                <w:szCs w:val="18"/>
                <w:color w:val="auto"/>
              </w:rPr>
              <w:t>4.91%</w:t>
            </w:r>
          </w:p>
        </w:tc>
        <w:tc>
          <w:tcPr>
            <w:tcW w:w="2040" w:type="dxa"/>
            <w:vAlign w:val="bottom"/>
            <w:tcBorders>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5.16%</w:t>
            </w:r>
          </w:p>
        </w:tc>
        <w:tc>
          <w:tcPr>
            <w:tcW w:w="2680" w:type="dxa"/>
            <w:vAlign w:val="bottom"/>
            <w:tcBorders>
              <w:bottom w:val="single" w:sz="8" w:color="DBE5F1"/>
              <w:right w:val="single" w:sz="8" w:color="auto"/>
            </w:tcBorders>
            <w:shd w:val="clear" w:color="auto" w:fill="DBE5F1"/>
          </w:tcPr>
          <w:p>
            <w:pPr>
              <w:jc w:val="right"/>
              <w:ind w:right="1030"/>
              <w:spacing w:after="0"/>
              <w:rPr>
                <w:sz w:val="20"/>
                <w:szCs w:val="20"/>
                <w:color w:val="auto"/>
              </w:rPr>
            </w:pPr>
            <w:r>
              <w:rPr>
                <w:rFonts w:ascii="Times New Roman" w:cs="Times New Roman" w:eastAsia="Times New Roman" w:hAnsi="Times New Roman"/>
                <w:sz w:val="18"/>
                <w:szCs w:val="18"/>
                <w:color w:val="auto"/>
              </w:rPr>
              <w:t>5.40%</w:t>
            </w:r>
          </w:p>
        </w:tc>
      </w:tr>
      <w:tr>
        <w:trPr>
          <w:trHeight w:val="263"/>
        </w:trPr>
        <w:tc>
          <w:tcPr>
            <w:tcW w:w="318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Achievement %</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95% of Target</w:t>
            </w:r>
          </w:p>
        </w:tc>
        <w:tc>
          <w:tcPr>
            <w:tcW w:w="1180" w:type="dxa"/>
            <w:vAlign w:val="bottom"/>
            <w:tcBorders>
              <w:top w:val="single" w:sz="8" w:color="auto"/>
              <w:bottom w:val="single" w:sz="8" w:color="DBE5F1"/>
              <w:right w:val="single" w:sz="8" w:color="auto"/>
            </w:tcBorders>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Budget</w:t>
            </w:r>
          </w:p>
        </w:tc>
        <w:tc>
          <w:tcPr>
            <w:tcW w:w="20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105% of Target</w:t>
            </w:r>
          </w:p>
        </w:tc>
        <w:tc>
          <w:tcPr>
            <w:tcW w:w="2680" w:type="dxa"/>
            <w:vAlign w:val="bottom"/>
            <w:tcBorders>
              <w:top w:val="single" w:sz="8" w:color="auto"/>
              <w:bottom w:val="single" w:sz="8" w:color="DBE5F1"/>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7"/>
              </w:rPr>
              <w:t>110% of Target</w:t>
            </w:r>
          </w:p>
        </w:tc>
      </w:tr>
      <w:tr>
        <w:trPr>
          <w:trHeight w:val="243"/>
        </w:trPr>
        <w:tc>
          <w:tcPr>
            <w:tcW w:w="318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8"/>
              </w:rPr>
              <w:t>Payout %</w:t>
            </w:r>
          </w:p>
        </w:tc>
        <w:tc>
          <w:tcPr>
            <w:tcW w:w="1940" w:type="dxa"/>
            <w:vAlign w:val="bottom"/>
            <w:tcBorders>
              <w:top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tcBorders>
              <w:top w:val="single" w:sz="8" w:color="auto"/>
              <w:bottom w:val="single" w:sz="8" w:color="DBE5F1"/>
              <w:right w:val="single" w:sz="8" w:color="auto"/>
            </w:tcBorders>
            <w:shd w:val="clear" w:color="auto" w:fill="DBE5F1"/>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2040" w:type="dxa"/>
            <w:vAlign w:val="bottom"/>
            <w:tcBorders>
              <w:top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150%</w:t>
            </w:r>
          </w:p>
        </w:tc>
        <w:tc>
          <w:tcPr>
            <w:tcW w:w="2680" w:type="dxa"/>
            <w:vAlign w:val="bottom"/>
            <w:tcBorders>
              <w:top w:val="single" w:sz="8" w:color="auto"/>
              <w:bottom w:val="single" w:sz="8" w:color="DBE5F1"/>
              <w:right w:val="single" w:sz="8" w:color="auto"/>
            </w:tcBorders>
            <w:shd w:val="clear" w:color="auto" w:fill="DBE5F1"/>
          </w:tcPr>
          <w:p>
            <w:pPr>
              <w:jc w:val="right"/>
              <w:ind w:right="1050"/>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3180" w:type="dxa"/>
            <w:vAlign w:val="bottom"/>
            <w:tcBorders>
              <w:right w:val="single" w:sz="8" w:color="auto"/>
            </w:tcBorders>
            <w:shd w:val="clear" w:color="auto" w:fill="000000"/>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Borders>
              <w:right w:val="single" w:sz="8" w:color="auto"/>
            </w:tcBorders>
            <w:shd w:val="clear" w:color="auto" w:fill="000000"/>
          </w:tcPr>
          <w:p>
            <w:pPr>
              <w:spacing w:after="0" w:line="20" w:lineRule="exact"/>
              <w:rPr>
                <w:sz w:val="1"/>
                <w:szCs w:val="1"/>
                <w:color w:val="auto"/>
              </w:rPr>
            </w:pPr>
          </w:p>
        </w:tc>
        <w:tc>
          <w:tcPr>
            <w:tcW w:w="2680" w:type="dxa"/>
            <w:vAlign w:val="bottom"/>
            <w:tcBorders>
              <w:right w:val="single" w:sz="8" w:color="auto"/>
            </w:tcBorders>
            <w:shd w:val="clear" w:color="auto" w:fill="000000"/>
          </w:tcPr>
          <w:p>
            <w:pPr>
              <w:spacing w:after="0" w:line="20" w:lineRule="exact"/>
              <w:rPr>
                <w:sz w:val="1"/>
                <w:szCs w:val="1"/>
                <w:color w:val="auto"/>
              </w:rPr>
            </w:pPr>
          </w:p>
        </w:tc>
      </w:tr>
    </w:tbl>
    <w:p>
      <w:pPr>
        <w:spacing w:after="0" w:line="351" w:lineRule="exact"/>
        <w:rPr>
          <w:sz w:val="20"/>
          <w:szCs w:val="20"/>
          <w:color w:val="auto"/>
        </w:rPr>
      </w:pPr>
    </w:p>
    <w:tbl>
      <w:tblPr>
        <w:tblLayout w:type="fixed"/>
        <w:tblInd w:w="100" w:type="dxa"/>
        <w:tblCellMar>
          <w:top w:w="0" w:type="dxa"/>
          <w:left w:w="0" w:type="dxa"/>
          <w:bottom w:w="0" w:type="dxa"/>
          <w:right w:w="0" w:type="dxa"/>
        </w:tblCellMar>
      </w:tblPr>
      <w:tr>
        <w:trPr>
          <w:trHeight w:val="221"/>
        </w:trPr>
        <w:tc>
          <w:tcPr>
            <w:tcW w:w="32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rPr>
              <w:t>Threshold</w:t>
            </w:r>
          </w:p>
        </w:tc>
        <w:tc>
          <w:tcPr>
            <w:tcW w:w="1180" w:type="dxa"/>
            <w:vAlign w:val="bottom"/>
            <w:tcBorders>
              <w:right w:val="single" w:sz="8" w:color="auto"/>
            </w:tcBorders>
            <w:shd w:val="clear" w:color="auto" w:fill="7F7F7F"/>
          </w:tcPr>
          <w:p>
            <w:pPr>
              <w:ind w:left="32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2560" w:type="dxa"/>
            <w:vAlign w:val="bottom"/>
            <w:tcBorders>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Maximum</w:t>
            </w:r>
          </w:p>
        </w:tc>
      </w:tr>
      <w:tr>
        <w:trPr>
          <w:trHeight w:val="265"/>
        </w:trPr>
        <w:tc>
          <w:tcPr>
            <w:tcW w:w="3200" w:type="dxa"/>
            <w:vAlign w:val="bottom"/>
            <w:tcBorders>
              <w:right w:val="single" w:sz="8" w:color="auto"/>
            </w:tcBorders>
          </w:tcPr>
          <w:p>
            <w:pPr>
              <w:spacing w:after="0"/>
              <w:rPr>
                <w:sz w:val="23"/>
                <w:szCs w:val="23"/>
                <w:color w:val="auto"/>
              </w:rPr>
            </w:pPr>
          </w:p>
        </w:tc>
        <w:tc>
          <w:tcPr>
            <w:tcW w:w="1940" w:type="dxa"/>
            <w:vAlign w:val="bottom"/>
            <w:tcBorders>
              <w:bottom w:val="single" w:sz="8" w:color="7F7F7F"/>
              <w:right w:val="single" w:sz="8" w:color="auto"/>
            </w:tcBorders>
            <w:shd w:val="clear" w:color="auto" w:fill="7F7F7F"/>
          </w:tcPr>
          <w:p>
            <w:pPr>
              <w:spacing w:after="0"/>
              <w:rPr>
                <w:sz w:val="23"/>
                <w:szCs w:val="23"/>
                <w:color w:val="auto"/>
              </w:rPr>
            </w:pPr>
          </w:p>
        </w:tc>
        <w:tc>
          <w:tcPr>
            <w:tcW w:w="1180" w:type="dxa"/>
            <w:vAlign w:val="bottom"/>
            <w:tcBorders>
              <w:bottom w:val="single" w:sz="8" w:color="7F7F7F"/>
              <w:right w:val="single" w:sz="8" w:color="auto"/>
            </w:tcBorders>
            <w:shd w:val="clear" w:color="auto" w:fill="7F7F7F"/>
          </w:tcPr>
          <w:p>
            <w:pPr>
              <w:spacing w:after="0"/>
              <w:rPr>
                <w:sz w:val="23"/>
                <w:szCs w:val="23"/>
                <w:color w:val="auto"/>
              </w:rPr>
            </w:pPr>
          </w:p>
        </w:tc>
        <w:tc>
          <w:tcPr>
            <w:tcW w:w="2560" w:type="dxa"/>
            <w:vAlign w:val="bottom"/>
            <w:tcBorders>
              <w:bottom w:val="single" w:sz="8" w:color="7F7F7F"/>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(Cap)</w:t>
            </w:r>
          </w:p>
        </w:tc>
      </w:tr>
      <w:tr>
        <w:trPr>
          <w:trHeight w:val="263"/>
        </w:trPr>
        <w:tc>
          <w:tcPr>
            <w:tcW w:w="320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Net ARR (20%)</w:t>
            </w:r>
          </w:p>
        </w:tc>
        <w:tc>
          <w:tcPr>
            <w:tcW w:w="1940" w:type="dxa"/>
            <w:vAlign w:val="bottom"/>
            <w:tcBorders>
              <w:top w:val="single" w:sz="8" w:color="auto"/>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$125</w:t>
            </w:r>
          </w:p>
        </w:tc>
        <w:tc>
          <w:tcPr>
            <w:tcW w:w="1180" w:type="dxa"/>
            <w:vAlign w:val="bottom"/>
            <w:tcBorders>
              <w:top w:val="single" w:sz="8" w:color="auto"/>
              <w:bottom w:val="single" w:sz="8" w:color="DBE5F1"/>
              <w:right w:val="single" w:sz="8" w:color="auto"/>
            </w:tcBorders>
            <w:shd w:val="clear" w:color="auto" w:fill="DBE5F1"/>
          </w:tcPr>
          <w:p>
            <w:pPr>
              <w:jc w:val="right"/>
              <w:ind w:right="330"/>
              <w:spacing w:after="0"/>
              <w:rPr>
                <w:sz w:val="20"/>
                <w:szCs w:val="20"/>
                <w:color w:val="auto"/>
              </w:rPr>
            </w:pPr>
            <w:r>
              <w:rPr>
                <w:rFonts w:ascii="Times New Roman" w:cs="Times New Roman" w:eastAsia="Times New Roman" w:hAnsi="Times New Roman"/>
                <w:sz w:val="18"/>
                <w:szCs w:val="18"/>
                <w:color w:val="auto"/>
              </w:rPr>
              <w:t>$147</w:t>
            </w:r>
          </w:p>
        </w:tc>
        <w:tc>
          <w:tcPr>
            <w:tcW w:w="2560" w:type="dxa"/>
            <w:vAlign w:val="bottom"/>
            <w:tcBorders>
              <w:top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$169</w:t>
            </w:r>
          </w:p>
        </w:tc>
      </w:tr>
      <w:tr>
        <w:trPr>
          <w:trHeight w:val="263"/>
        </w:trPr>
        <w:tc>
          <w:tcPr>
            <w:tcW w:w="320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Net ARR %</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85% of Target</w:t>
            </w:r>
          </w:p>
        </w:tc>
        <w:tc>
          <w:tcPr>
            <w:tcW w:w="1180" w:type="dxa"/>
            <w:vAlign w:val="bottom"/>
            <w:tcBorders>
              <w:top w:val="single" w:sz="8" w:color="auto"/>
              <w:bottom w:val="single" w:sz="8" w:color="DBE5F1"/>
              <w:right w:val="single" w:sz="8" w:color="auto"/>
            </w:tcBorders>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Budget</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115% of Target</w:t>
            </w:r>
          </w:p>
        </w:tc>
      </w:tr>
      <w:tr>
        <w:trPr>
          <w:trHeight w:val="244"/>
        </w:trPr>
        <w:tc>
          <w:tcPr>
            <w:tcW w:w="320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8"/>
              </w:rPr>
              <w:t>Payout %</w:t>
            </w:r>
          </w:p>
        </w:tc>
        <w:tc>
          <w:tcPr>
            <w:tcW w:w="1940" w:type="dxa"/>
            <w:vAlign w:val="bottom"/>
            <w:tcBorders>
              <w:top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tcBorders>
              <w:top w:val="single" w:sz="8" w:color="auto"/>
              <w:bottom w:val="single" w:sz="8" w:color="DBE5F1"/>
              <w:right w:val="single" w:sz="8" w:color="auto"/>
            </w:tcBorders>
            <w:shd w:val="clear" w:color="auto" w:fill="DBE5F1"/>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2560" w:type="dxa"/>
            <w:vAlign w:val="bottom"/>
            <w:tcBorders>
              <w:top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3200" w:type="dxa"/>
            <w:vAlign w:val="bottom"/>
            <w:tcBorders>
              <w:right w:val="single" w:sz="8" w:color="auto"/>
            </w:tcBorders>
            <w:shd w:val="clear" w:color="auto" w:fill="000000"/>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5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6" w:right="339" w:bottom="1440" w:gutter="0" w:footer="0" w:header="0"/>
        </w:sectPr>
      </w:pPr>
    </w:p>
    <w:bookmarkStart w:id="54" w:name="page55"/>
    <w:bookmarkEnd w:id="54"/>
    <w:p>
      <w:pPr>
        <w:ind w:left="9720"/>
        <w:spacing w:after="0"/>
        <w:rPr>
          <w:sz w:val="20"/>
          <w:szCs w:val="20"/>
          <w:color w:val="auto"/>
        </w:rPr>
      </w:pPr>
      <w:r>
        <w:rPr>
          <w:rFonts w:ascii="Times New Roman" w:cs="Times New Roman" w:eastAsia="Times New Roman" w:hAnsi="Times New Roman"/>
          <w:sz w:val="21"/>
          <w:szCs w:val="21"/>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order to calculate the overall percentage of APIP Shares that may become vested, the performance for each metric will be calculated and then multiplied by the metric’s applicable weighted percentage as shown in the charts above. With respect to the APIP Shares, the aggregate performance vesting percentage across all metrics is capped at 100%. The following table sets forth several examples of calculation of the aggregate performance vesting percentage based on different levels of achievement of each metric.</w:t>
      </w:r>
    </w:p>
    <w:p>
      <w:pPr>
        <w:spacing w:after="0" w:line="200" w:lineRule="exact"/>
        <w:rPr>
          <w:sz w:val="20"/>
          <w:szCs w:val="20"/>
          <w:color w:val="auto"/>
        </w:rPr>
      </w:pPr>
    </w:p>
    <w:p>
      <w:pPr>
        <w:spacing w:after="0" w:line="272"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3280" w:type="dxa"/>
            <w:vAlign w:val="bottom"/>
            <w:tcBorders>
              <w:top w:val="single" w:sz="8" w:color="auto"/>
              <w:left w:val="single" w:sz="8" w:color="auto"/>
              <w:bottom w:val="single" w:sz="8" w:color="7F7F7F"/>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Metric</w:t>
            </w:r>
          </w:p>
        </w:tc>
        <w:tc>
          <w:tcPr>
            <w:tcW w:w="2300" w:type="dxa"/>
            <w:vAlign w:val="bottom"/>
            <w:tcBorders>
              <w:top w:val="single" w:sz="8" w:color="auto"/>
              <w:bottom w:val="single" w:sz="8" w:color="7F7F7F"/>
              <w:right w:val="single" w:sz="8" w:color="auto"/>
            </w:tcBorders>
            <w:shd w:val="clear" w:color="auto" w:fill="7F7F7F"/>
          </w:tcPr>
          <w:p>
            <w:pPr>
              <w:ind w:left="180"/>
              <w:spacing w:after="0"/>
              <w:rPr>
                <w:sz w:val="20"/>
                <w:szCs w:val="20"/>
                <w:color w:val="auto"/>
              </w:rPr>
            </w:pPr>
            <w:r>
              <w:rPr>
                <w:rFonts w:ascii="Times New Roman" w:cs="Times New Roman" w:eastAsia="Times New Roman" w:hAnsi="Times New Roman"/>
                <w:sz w:val="18"/>
                <w:szCs w:val="18"/>
                <w:b w:val="1"/>
                <w:bCs w:val="1"/>
                <w:color w:val="FFFFFF"/>
              </w:rPr>
              <w:t>Performance (example 1)</w:t>
            </w:r>
          </w:p>
        </w:tc>
        <w:tc>
          <w:tcPr>
            <w:tcW w:w="2780" w:type="dxa"/>
            <w:vAlign w:val="bottom"/>
            <w:tcBorders>
              <w:top w:val="single" w:sz="8" w:color="auto"/>
              <w:bottom w:val="single" w:sz="8" w:color="7F7F7F"/>
              <w:right w:val="single" w:sz="8" w:color="auto"/>
            </w:tcBorders>
            <w:shd w:val="clear" w:color="auto" w:fill="7F7F7F"/>
          </w:tcPr>
          <w:p>
            <w:pPr>
              <w:ind w:left="420"/>
              <w:spacing w:after="0"/>
              <w:rPr>
                <w:sz w:val="20"/>
                <w:szCs w:val="20"/>
                <w:color w:val="auto"/>
              </w:rPr>
            </w:pPr>
            <w:r>
              <w:rPr>
                <w:rFonts w:ascii="Times New Roman" w:cs="Times New Roman" w:eastAsia="Times New Roman" w:hAnsi="Times New Roman"/>
                <w:sz w:val="18"/>
                <w:szCs w:val="18"/>
                <w:b w:val="1"/>
                <w:bCs w:val="1"/>
                <w:color w:val="FFFFFF"/>
              </w:rPr>
              <w:t>Performance (example 2)</w:t>
            </w:r>
          </w:p>
        </w:tc>
        <w:tc>
          <w:tcPr>
            <w:tcW w:w="2780" w:type="dxa"/>
            <w:vAlign w:val="bottom"/>
            <w:tcBorders>
              <w:top w:val="single" w:sz="8" w:color="auto"/>
              <w:bottom w:val="single" w:sz="8" w:color="7F7F7F"/>
              <w:right w:val="single" w:sz="8" w:color="auto"/>
            </w:tcBorders>
            <w:shd w:val="clear" w:color="auto" w:fill="7F7F7F"/>
          </w:tcPr>
          <w:p>
            <w:pPr>
              <w:ind w:left="420"/>
              <w:spacing w:after="0"/>
              <w:rPr>
                <w:sz w:val="20"/>
                <w:szCs w:val="20"/>
                <w:color w:val="auto"/>
              </w:rPr>
            </w:pPr>
            <w:r>
              <w:rPr>
                <w:rFonts w:ascii="Times New Roman" w:cs="Times New Roman" w:eastAsia="Times New Roman" w:hAnsi="Times New Roman"/>
                <w:sz w:val="18"/>
                <w:szCs w:val="18"/>
                <w:b w:val="1"/>
                <w:bCs w:val="1"/>
                <w:color w:val="FFFFFF"/>
              </w:rPr>
              <w:t>Performance (example 3)</w:t>
            </w:r>
          </w:p>
        </w:tc>
      </w:tr>
      <w:tr>
        <w:trPr>
          <w:trHeight w:val="182"/>
        </w:trPr>
        <w:tc>
          <w:tcPr>
            <w:tcW w:w="3280" w:type="dxa"/>
            <w:vAlign w:val="bottom"/>
            <w:tcBorders>
              <w:top w:val="single" w:sz="8" w:color="auto"/>
              <w:left w:val="single" w:sz="8" w:color="auto"/>
              <w:right w:val="single" w:sz="8" w:color="auto"/>
            </w:tcBorders>
            <w:shd w:val="clear" w:color="auto" w:fill="7F7F7F"/>
          </w:tcPr>
          <w:p>
            <w:pPr>
              <w:jc w:val="center"/>
              <w:spacing w:after="0" w:line="182" w:lineRule="exact"/>
              <w:rPr>
                <w:sz w:val="20"/>
                <w:szCs w:val="20"/>
                <w:color w:val="auto"/>
              </w:rPr>
            </w:pPr>
            <w:r>
              <w:rPr>
                <w:rFonts w:ascii="Arial" w:cs="Arial" w:eastAsia="Arial" w:hAnsi="Arial"/>
                <w:sz w:val="18"/>
                <w:szCs w:val="18"/>
                <w:color w:val="FFFFFF"/>
                <w:w w:val="99"/>
              </w:rPr>
              <w:t>Adjusted Revenue metric (weighted</w:t>
            </w:r>
          </w:p>
        </w:tc>
        <w:tc>
          <w:tcPr>
            <w:tcW w:w="2300" w:type="dxa"/>
            <w:vAlign w:val="bottom"/>
            <w:tcBorders>
              <w:top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125%</w:t>
            </w:r>
          </w:p>
        </w:tc>
        <w:tc>
          <w:tcPr>
            <w:tcW w:w="2780" w:type="dxa"/>
            <w:vAlign w:val="bottom"/>
            <w:tcBorders>
              <w:top w:val="single" w:sz="8" w:color="auto"/>
              <w:right w:val="single" w:sz="8" w:color="auto"/>
            </w:tcBorders>
            <w:shd w:val="clear" w:color="auto" w:fill="DBE5F1"/>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25%</w:t>
            </w:r>
          </w:p>
        </w:tc>
        <w:tc>
          <w:tcPr>
            <w:tcW w:w="2780" w:type="dxa"/>
            <w:vAlign w:val="bottom"/>
            <w:tcBorders>
              <w:top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105%</w:t>
            </w:r>
          </w:p>
        </w:tc>
      </w:tr>
      <w:tr>
        <w:trPr>
          <w:trHeight w:val="230"/>
        </w:trPr>
        <w:tc>
          <w:tcPr>
            <w:tcW w:w="3280" w:type="dxa"/>
            <w:vAlign w:val="bottom"/>
            <w:tcBorders>
              <w:left w:val="single" w:sz="8" w:color="auto"/>
              <w:bottom w:val="single" w:sz="8" w:color="auto"/>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40%)</w:t>
            </w:r>
          </w:p>
        </w:tc>
        <w:tc>
          <w:tcPr>
            <w:tcW w:w="230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shd w:val="clear" w:color="auto" w:fill="DBE5F1"/>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r>
      <w:tr>
        <w:trPr>
          <w:trHeight w:val="182"/>
        </w:trPr>
        <w:tc>
          <w:tcPr>
            <w:tcW w:w="3280" w:type="dxa"/>
            <w:vAlign w:val="bottom"/>
            <w:tcBorders>
              <w:left w:val="single" w:sz="8" w:color="auto"/>
              <w:right w:val="single" w:sz="8" w:color="auto"/>
            </w:tcBorders>
            <w:shd w:val="clear" w:color="auto" w:fill="7F7F7F"/>
          </w:tcPr>
          <w:p>
            <w:pPr>
              <w:jc w:val="center"/>
              <w:spacing w:after="0" w:line="182" w:lineRule="exact"/>
              <w:rPr>
                <w:sz w:val="20"/>
                <w:szCs w:val="20"/>
                <w:color w:val="auto"/>
              </w:rPr>
            </w:pPr>
            <w:r>
              <w:rPr>
                <w:rFonts w:ascii="Arial" w:cs="Arial" w:eastAsia="Arial" w:hAnsi="Arial"/>
                <w:sz w:val="18"/>
                <w:szCs w:val="18"/>
                <w:color w:val="FFFFFF"/>
                <w:w w:val="99"/>
              </w:rPr>
              <w:t>Adjusted EBITDA Margin metric</w:t>
            </w:r>
          </w:p>
        </w:tc>
        <w:tc>
          <w:tcPr>
            <w:tcW w:w="23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75%</w:t>
            </w:r>
          </w:p>
        </w:tc>
        <w:tc>
          <w:tcPr>
            <w:tcW w:w="2780" w:type="dxa"/>
            <w:vAlign w:val="bottom"/>
            <w:tcBorders>
              <w:right w:val="single" w:sz="8" w:color="auto"/>
            </w:tcBorders>
            <w:shd w:val="clear" w:color="auto" w:fill="DBE5F1"/>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100%</w:t>
            </w:r>
          </w:p>
        </w:tc>
        <w:tc>
          <w:tcPr>
            <w:tcW w:w="27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3280" w:type="dxa"/>
            <w:vAlign w:val="bottom"/>
            <w:tcBorders>
              <w:left w:val="single" w:sz="8" w:color="auto"/>
              <w:bottom w:val="single" w:sz="8" w:color="auto"/>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achievement (weighted 40%)</w:t>
            </w:r>
          </w:p>
        </w:tc>
        <w:tc>
          <w:tcPr>
            <w:tcW w:w="230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shd w:val="clear" w:color="auto" w:fill="DBE5F1"/>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r>
      <w:tr>
        <w:trPr>
          <w:trHeight w:val="183"/>
        </w:trPr>
        <w:tc>
          <w:tcPr>
            <w:tcW w:w="3280" w:type="dxa"/>
            <w:vAlign w:val="bottom"/>
            <w:tcBorders>
              <w:left w:val="single" w:sz="8" w:color="auto"/>
              <w:right w:val="single" w:sz="8" w:color="auto"/>
            </w:tcBorders>
            <w:shd w:val="clear" w:color="auto" w:fill="7F7F7F"/>
          </w:tcPr>
          <w:p>
            <w:pPr>
              <w:jc w:val="center"/>
              <w:spacing w:after="0" w:line="182" w:lineRule="exact"/>
              <w:rPr>
                <w:sz w:val="20"/>
                <w:szCs w:val="20"/>
                <w:color w:val="auto"/>
              </w:rPr>
            </w:pPr>
            <w:r>
              <w:rPr>
                <w:rFonts w:ascii="Arial" w:cs="Arial" w:eastAsia="Arial" w:hAnsi="Arial"/>
                <w:sz w:val="18"/>
                <w:szCs w:val="18"/>
                <w:color w:val="FFFFFF"/>
              </w:rPr>
              <w:t>Net ARR Activity metric: 100%</w:t>
            </w:r>
          </w:p>
        </w:tc>
        <w:tc>
          <w:tcPr>
            <w:tcW w:w="23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100%</w:t>
            </w:r>
          </w:p>
        </w:tc>
        <w:tc>
          <w:tcPr>
            <w:tcW w:w="2780" w:type="dxa"/>
            <w:vAlign w:val="bottom"/>
            <w:tcBorders>
              <w:right w:val="single" w:sz="8" w:color="auto"/>
            </w:tcBorders>
            <w:shd w:val="clear" w:color="auto" w:fill="DBE5F1"/>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100%</w:t>
            </w:r>
          </w:p>
        </w:tc>
        <w:tc>
          <w:tcPr>
            <w:tcW w:w="27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110%</w:t>
            </w:r>
          </w:p>
        </w:tc>
      </w:tr>
      <w:tr>
        <w:trPr>
          <w:trHeight w:val="230"/>
        </w:trPr>
        <w:tc>
          <w:tcPr>
            <w:tcW w:w="3280" w:type="dxa"/>
            <w:vAlign w:val="bottom"/>
            <w:tcBorders>
              <w:left w:val="single" w:sz="8" w:color="auto"/>
              <w:bottom w:val="single" w:sz="8" w:color="auto"/>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(weighted 20%)</w:t>
            </w:r>
          </w:p>
        </w:tc>
        <w:tc>
          <w:tcPr>
            <w:tcW w:w="230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shd w:val="clear" w:color="auto" w:fill="DBE5F1"/>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r>
      <w:tr>
        <w:trPr>
          <w:trHeight w:val="412"/>
        </w:trPr>
        <w:tc>
          <w:tcPr>
            <w:tcW w:w="3280" w:type="dxa"/>
            <w:vAlign w:val="bottom"/>
            <w:tcBorders>
              <w:left w:val="single" w:sz="8" w:color="auto"/>
              <w:bottom w:val="single" w:sz="8" w:color="auto"/>
              <w:right w:val="single" w:sz="8" w:color="auto"/>
            </w:tcBorders>
            <w:shd w:val="clear" w:color="auto" w:fill="7F7F7F"/>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shd w:val="clear" w:color="auto" w:fill="DBE5F1"/>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r>
      <w:tr>
        <w:trPr>
          <w:trHeight w:val="243"/>
        </w:trPr>
        <w:tc>
          <w:tcPr>
            <w:tcW w:w="3280" w:type="dxa"/>
            <w:vAlign w:val="bottom"/>
            <w:tcBorders>
              <w:left w:val="single" w:sz="8" w:color="auto"/>
              <w:bottom w:val="single" w:sz="8" w:color="7F7F7F"/>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Aggregate Performance Vesting %</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780" w:type="dxa"/>
            <w:vAlign w:val="bottom"/>
            <w:tcBorders>
              <w:bottom w:val="single" w:sz="8" w:color="DBE5F1"/>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w:t>
            </w:r>
          </w:p>
        </w:tc>
      </w:tr>
      <w:tr>
        <w:trPr>
          <w:trHeight w:val="20"/>
        </w:trPr>
        <w:tc>
          <w:tcPr>
            <w:tcW w:w="3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300" w:type="dxa"/>
            <w:vAlign w:val="bottom"/>
            <w:tcBorders>
              <w:right w:val="single" w:sz="8" w:color="auto"/>
            </w:tcBorders>
            <w:shd w:val="clear" w:color="auto" w:fill="000000"/>
          </w:tcPr>
          <w:p>
            <w:pPr>
              <w:spacing w:after="0" w:line="20" w:lineRule="exact"/>
              <w:rPr>
                <w:sz w:val="1"/>
                <w:szCs w:val="1"/>
                <w:color w:val="auto"/>
              </w:rPr>
            </w:pPr>
          </w:p>
        </w:tc>
        <w:tc>
          <w:tcPr>
            <w:tcW w:w="2780" w:type="dxa"/>
            <w:vAlign w:val="bottom"/>
            <w:tcBorders>
              <w:right w:val="single" w:sz="8" w:color="auto"/>
            </w:tcBorders>
            <w:shd w:val="clear" w:color="auto" w:fill="000000"/>
          </w:tcPr>
          <w:p>
            <w:pPr>
              <w:spacing w:after="0" w:line="20" w:lineRule="exact"/>
              <w:rPr>
                <w:sz w:val="1"/>
                <w:szCs w:val="1"/>
                <w:color w:val="auto"/>
              </w:rPr>
            </w:pPr>
          </w:p>
        </w:tc>
        <w:tc>
          <w:tcPr>
            <w:tcW w:w="2780" w:type="dxa"/>
            <w:vAlign w:val="bottom"/>
            <w:tcBorders>
              <w:right w:val="single" w:sz="8" w:color="auto"/>
            </w:tcBorders>
            <w:shd w:val="clear" w:color="auto" w:fill="000000"/>
          </w:tcPr>
          <w:p>
            <w:pPr>
              <w:spacing w:after="0" w:line="20" w:lineRule="exact"/>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*Note that the aggregate performance vesting percentage is capped at 100% even though the weighted average of the three metrics exceeded 100%.</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APIP SHARE AWARD AGREEMENT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CONDUENT INCORPORATED 2021 PERFORMANCE INCENTIVE PLAN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APIP Share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2025 APIP Target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accordance with the provisions of the Conduent Incorporated 2021 Performance Incentive Plan and the Conduent Incorporated Annual Performance Incentive Plan (collectively,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of the Company has authorized the execution and delivery of this Agreement.</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2025 APIP Target Summary</w:t>
      </w:r>
      <w:r>
        <w:rPr>
          <w:rFonts w:ascii="Arial" w:cs="Arial" w:eastAsia="Arial" w:hAnsi="Arial"/>
          <w:sz w:val="18"/>
          <w:szCs w:val="18"/>
          <w:color w:val="auto"/>
        </w:rPr>
        <w:t>” is a separate document, provided via email or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target number of shares of Performance Restricted Stock Units (the “</w:t>
      </w:r>
      <w:r>
        <w:rPr>
          <w:rFonts w:ascii="Arial" w:cs="Arial" w:eastAsia="Arial" w:hAnsi="Arial"/>
          <w:sz w:val="18"/>
          <w:szCs w:val="18"/>
          <w:b w:val="1"/>
          <w:bCs w:val="1"/>
          <w:i w:val="1"/>
          <w:iCs w:val="1"/>
          <w:color w:val="auto"/>
        </w:rPr>
        <w:t>APIP Shares</w:t>
      </w:r>
      <w:r>
        <w:rPr>
          <w:rFonts w:ascii="Arial" w:cs="Arial" w:eastAsia="Arial" w:hAnsi="Arial"/>
          <w:sz w:val="18"/>
          <w:szCs w:val="18"/>
          <w:color w:val="auto"/>
        </w:rPr>
        <w:t>”) granted pursuant hereto. The 2025 APIP Target Summary is incorporated herein in its entirety</w:t>
      </w:r>
      <w:r>
        <w:rPr>
          <w:rFonts w:ascii="Arial" w:cs="Arial" w:eastAsia="Arial" w:hAnsi="Arial"/>
          <w:sz w:val="18"/>
          <w:szCs w:val="18"/>
          <w:b w:val="1"/>
          <w:bCs w:val="1"/>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Company agrees as follows: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9" w:lineRule="exact"/>
        <w:rPr>
          <w:sz w:val="20"/>
          <w:szCs w:val="20"/>
          <w:color w:val="auto"/>
        </w:rPr>
      </w:pPr>
    </w:p>
    <w:p>
      <w:pPr>
        <w:ind w:firstLine="8"/>
        <w:spacing w:after="0" w:line="266" w:lineRule="auto"/>
        <w:tabs>
          <w:tab w:leader="none" w:pos="63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Award of APIP Shares</w:t>
      </w:r>
      <w:r>
        <w:rPr>
          <w:rFonts w:ascii="Arial" w:cs="Arial" w:eastAsia="Arial" w:hAnsi="Arial"/>
          <w:sz w:val="18"/>
          <w:szCs w:val="18"/>
          <w:color w:val="auto"/>
        </w:rPr>
        <w:t>. Subject to all terms and conditions of the Plan and this Agreement, the Company has awarded to the Employee on the Date of Grant the target number of APIP Shares as shown on the 2025 APIP Target Summary.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APIP SHARES</w:t>
      </w:r>
    </w:p>
    <w:p>
      <w:pPr>
        <w:spacing w:after="0" w:line="27" w:lineRule="exact"/>
        <w:rPr>
          <w:sz w:val="20"/>
          <w:szCs w:val="20"/>
          <w:color w:val="auto"/>
        </w:rPr>
      </w:pPr>
    </w:p>
    <w:p>
      <w:pPr>
        <w:jc w:val="both"/>
        <w:ind w:firstLine="8"/>
        <w:spacing w:after="0" w:line="253" w:lineRule="auto"/>
        <w:tabs>
          <w:tab w:leader="none" w:pos="63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Entitlement to Shares and Cash</w:t>
      </w:r>
      <w:r>
        <w:rPr>
          <w:rFonts w:ascii="Arial" w:cs="Arial" w:eastAsia="Arial" w:hAnsi="Arial"/>
          <w:sz w:val="18"/>
          <w:szCs w:val="18"/>
          <w:color w:val="auto"/>
        </w:rPr>
        <w:t>. As soon as practicable and within 60 days following the applicable Vesting Date (as defined below) (or such earlier date provided in Section 8) in connection with the APIP Shares,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APIP Shares as determined pursuant to Section 3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211" w:lineRule="exact"/>
        <w:rPr>
          <w:rFonts w:ascii="Arial" w:cs="Arial" w:eastAsia="Arial" w:hAnsi="Arial"/>
          <w:sz w:val="18"/>
          <w:szCs w:val="18"/>
          <w:color w:val="auto"/>
        </w:rPr>
      </w:pPr>
    </w:p>
    <w:p>
      <w:pPr>
        <w:jc w:val="both"/>
        <w:ind w:firstLine="8"/>
        <w:spacing w:after="0" w:line="254" w:lineRule="auto"/>
        <w:tabs>
          <w:tab w:leader="none" w:pos="63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APIP Shares will be subject to performance-based conditions (the “</w:t>
      </w:r>
      <w:r>
        <w:rPr>
          <w:rFonts w:ascii="Arial" w:cs="Arial" w:eastAsia="Arial" w:hAnsi="Arial"/>
          <w:sz w:val="18"/>
          <w:szCs w:val="18"/>
          <w:b w:val="1"/>
          <w:bCs w:val="1"/>
          <w:i w:val="1"/>
          <w:iCs w:val="1"/>
          <w:color w:val="auto"/>
        </w:rPr>
        <w:t>Performance Conditions</w:t>
      </w:r>
      <w:r>
        <w:rPr>
          <w:rFonts w:ascii="Arial" w:cs="Arial" w:eastAsia="Arial" w:hAnsi="Arial"/>
          <w:sz w:val="18"/>
          <w:szCs w:val="18"/>
          <w:color w:val="auto"/>
        </w:rPr>
        <w:t>”) set forth on Exhibit A and subject to the Employee’s continued employment with the Company or a subsidiary or affiliate through the applicable Vesting Date. The Employee shall be eligible to vest in ½ of the APIP Shares granted pursuant hereto on each of March 30, 2026 (APIP Shares eligible to vest on this date, “</w:t>
      </w:r>
      <w:r>
        <w:rPr>
          <w:rFonts w:ascii="Arial" w:cs="Arial" w:eastAsia="Arial" w:hAnsi="Arial"/>
          <w:sz w:val="18"/>
          <w:szCs w:val="18"/>
          <w:b w:val="1"/>
          <w:bCs w:val="1"/>
          <w:i w:val="1"/>
          <w:iCs w:val="1"/>
          <w:color w:val="auto"/>
        </w:rPr>
        <w:t>Tranche 1 APIP Shares</w:t>
      </w:r>
      <w:r>
        <w:rPr>
          <w:rFonts w:ascii="Arial" w:cs="Arial" w:eastAsia="Arial" w:hAnsi="Arial"/>
          <w:sz w:val="18"/>
          <w:szCs w:val="18"/>
          <w:color w:val="auto"/>
        </w:rPr>
        <w:t>”) and March 30, 2027 (APIP Shares eligible to vest on this date “</w:t>
      </w:r>
      <w:r>
        <w:rPr>
          <w:rFonts w:ascii="Arial" w:cs="Arial" w:eastAsia="Arial" w:hAnsi="Arial"/>
          <w:sz w:val="18"/>
          <w:szCs w:val="18"/>
          <w:b w:val="1"/>
          <w:bCs w:val="1"/>
          <w:i w:val="1"/>
          <w:iCs w:val="1"/>
          <w:color w:val="auto"/>
        </w:rPr>
        <w:t>Tranche 2 APIP Shares</w:t>
      </w:r>
      <w:r>
        <w:rPr>
          <w:rFonts w:ascii="Arial" w:cs="Arial" w:eastAsia="Arial" w:hAnsi="Arial"/>
          <w:sz w:val="18"/>
          <w:szCs w:val="18"/>
          <w:color w:val="auto"/>
        </w:rPr>
        <w:t>,” and each such date, a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such tranche may vest on such earlier date as may be provided in Section 8 and the number of APIP Shares eligible to vest shall be based on the satisfaction of the Performance Conditions as set forth on Exhibit A and subject to the Employee’s continued employment with or provision of services to the Company or a subsidiary or affiliate through the applicable Vesting Date or as otherwise provided in Section 8.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 Notwithstanding the above, to the extent all or a portion of the APIP Shares have not vested as of the applicable Vesting Date, the unvested APIP Shares will be forfeited.</w:t>
      </w:r>
    </w:p>
    <w:p>
      <w:pPr>
        <w:spacing w:after="0" w:line="128" w:lineRule="exact"/>
        <w:rPr>
          <w:sz w:val="20"/>
          <w:szCs w:val="20"/>
          <w:color w:val="auto"/>
        </w:rPr>
      </w:pPr>
    </w:p>
    <w:p>
      <w:pPr>
        <w:spacing w:after="0" w:line="296" w:lineRule="auto"/>
        <w:rPr>
          <w:sz w:val="20"/>
          <w:szCs w:val="20"/>
          <w:color w:val="auto"/>
        </w:rPr>
      </w:pPr>
      <w:r>
        <w:rPr>
          <w:rFonts w:ascii="Arial" w:cs="Arial" w:eastAsia="Arial" w:hAnsi="Arial"/>
          <w:sz w:val="18"/>
          <w:szCs w:val="18"/>
          <w:color w:val="auto"/>
        </w:rPr>
        <w:t>Upon the occurrence of an event constituting a Change in Control, notwithstanding anything to the contrary in the Plan, the APIP Shares outstanding on the date of such Change in Control</w:t>
      </w:r>
      <w:r>
        <w:rPr>
          <w:rFonts w:ascii="Arial" w:cs="Arial" w:eastAsia="Arial" w:hAnsi="Arial"/>
          <w:sz w:val="18"/>
          <w:szCs w:val="18"/>
          <w:b w:val="1"/>
          <w:bCs w:val="1"/>
          <w:color w:val="auto"/>
        </w:rPr>
        <w:t>,</w:t>
      </w:r>
      <w:r>
        <w:rPr>
          <w:rFonts w:ascii="Arial" w:cs="Arial" w:eastAsia="Arial" w:hAnsi="Arial"/>
          <w:sz w:val="18"/>
          <w:szCs w:val="18"/>
          <w:color w:val="auto"/>
        </w:rPr>
        <w:t xml:space="preserv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6"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dividend equivalents with respect thereto, shall be assumed by the successor company (or its parent company) and remain outstanding, and thereafter the vesting of such APIP Shares, and any dividend equivalents with respect thereto, shall be eligible to vest on the applicable Vesting Date, subject to the Employee’s continued employment with or provision of services to the Company or a subsidiary or an affiliate through the applicable Vesting Date (and the Performance Conditions shall each be deemed to have been achieved at the “Target” level as set forth on Exhibit A as of the date of the Change in Control), and in such instance such APIP Shares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APIP Shares, and any dividend equivalents with respect thereto, shall vest and shall be paid to the extent provided in Section 8 in the event of the Employee’s termination of employment or services that is not for Cause following such Change in Control and prior to the applicable Vesting Date. Upon payment pursuant to the terms of the Plan and this Agreement, such awards shall be cancelled.</w:t>
      </w:r>
    </w:p>
    <w:p>
      <w:pPr>
        <w:spacing w:after="0" w:line="131" w:lineRule="exact"/>
        <w:rPr>
          <w:sz w:val="20"/>
          <w:szCs w:val="20"/>
          <w:color w:val="auto"/>
        </w:rPr>
      </w:pPr>
    </w:p>
    <w:p>
      <w:pPr>
        <w:jc w:val="both"/>
        <w:ind w:firstLine="8"/>
        <w:spacing w:after="0" w:line="259" w:lineRule="auto"/>
        <w:tabs>
          <w:tab w:leader="none" w:pos="63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Employee shall become entitled to receive from the Company on the applicable Vesting Date (or such earlier date provided in Section 8) a cash payment equaling the same amount(s) that the holder of record of a number of shares of Common Stock equal to the number of vested APIP Shares (if any) would have been entitled to receive as dividends on such Common Stock during the period commencing on the effective date hereof and ending on the applicable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TERMS</w:t>
      </w:r>
    </w:p>
    <w:p>
      <w:pPr>
        <w:spacing w:after="0" w:line="27" w:lineRule="exact"/>
        <w:rPr>
          <w:sz w:val="20"/>
          <w:szCs w:val="20"/>
          <w:color w:val="auto"/>
        </w:rPr>
      </w:pPr>
    </w:p>
    <w:p>
      <w:pPr>
        <w:jc w:val="both"/>
        <w:ind w:firstLine="8"/>
        <w:spacing w:after="0" w:line="258" w:lineRule="auto"/>
        <w:tabs>
          <w:tab w:leader="none" w:pos="63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205" w:lineRule="exact"/>
        <w:rPr>
          <w:rFonts w:ascii="Arial" w:cs="Arial" w:eastAsia="Arial" w:hAnsi="Arial"/>
          <w:sz w:val="18"/>
          <w:szCs w:val="18"/>
          <w:color w:val="auto"/>
        </w:rPr>
      </w:pPr>
    </w:p>
    <w:p>
      <w:pPr>
        <w:jc w:val="both"/>
        <w:ind w:firstLine="8"/>
        <w:spacing w:after="0" w:line="268" w:lineRule="auto"/>
        <w:tabs>
          <w:tab w:leader="none" w:pos="68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APIP Shares until the date of issuance of a stock certificate to him for such APIP Shares and no adjustment shall be made for dividends or other rights for which the record date is prior to the date the APIP Shares become vested.</w:t>
      </w:r>
    </w:p>
    <w:p>
      <w:pPr>
        <w:spacing w:after="0" w:line="197"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APIP Shares may not be sold, assigned, alienated, transferred, pledged, attached or otherwise encumbered except as provided in the Plan. Any purported sale, assignment, alienation, transfer, pledge, attachment or other encumbrance of an APIP Share in violation of the provisions of this Section 7 and the Plan shall be void.</w:t>
      </w:r>
    </w:p>
    <w:p>
      <w:pPr>
        <w:spacing w:after="0" w:line="197" w:lineRule="exact"/>
        <w:rPr>
          <w:rFonts w:ascii="Arial" w:cs="Arial" w:eastAsia="Arial" w:hAnsi="Arial"/>
          <w:sz w:val="18"/>
          <w:szCs w:val="18"/>
          <w:color w:val="auto"/>
        </w:rPr>
      </w:pP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Death, Disability, or Other Special Circumstances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Effect on APIP Shares</w:t>
      </w:r>
      <w:r>
        <w:rPr>
          <w:rFonts w:ascii="Arial" w:cs="Arial" w:eastAsia="Arial" w:hAnsi="Arial"/>
          <w:sz w:val="18"/>
          <w:szCs w:val="18"/>
          <w:color w:val="auto"/>
        </w:rPr>
        <w:t>. In the event of the Employee’s termination of employment or services prior to the applicable Vesting Date as set forth in Section 3, the APIP Shares will be treated as set forth below.</w:t>
      </w:r>
    </w:p>
    <w:p>
      <w:pPr>
        <w:spacing w:after="0" w:line="179" w:lineRule="exact"/>
        <w:rPr>
          <w:rFonts w:ascii="Arial" w:cs="Arial" w:eastAsia="Arial" w:hAnsi="Arial"/>
          <w:sz w:val="18"/>
          <w:szCs w:val="18"/>
          <w:color w:val="auto"/>
        </w:rPr>
      </w:pPr>
    </w:p>
    <w:p>
      <w:pPr>
        <w:jc w:val="both"/>
        <w:ind w:left="1700" w:hanging="396"/>
        <w:spacing w:after="0" w:line="256" w:lineRule="auto"/>
        <w:tabs>
          <w:tab w:leader="none" w:pos="1698" w:val="left"/>
        </w:tabs>
        <w:numPr>
          <w:ilvl w:val="2"/>
          <w:numId w:val="55"/>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prior to March 30, 2026, the APIP Shares shall be canceled and forfeited on the date of such voluntary termination of employment or services. In the event the Employee voluntarily ceases to be an employee of or otherwise provide services to the Employer for any reason on or after March 30, 2026 but prior to March 30, 2027, the Employee will remain eligible to vest in a Pro-Rata Amount of each tranche of APIP Shares that would otherwise vest based on the achievement of the Performance Conditions, and any dividend equivalents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580" w:hanging="396"/>
        <w:spacing w:after="0" w:line="254" w:lineRule="auto"/>
        <w:tabs>
          <w:tab w:leader="none" w:pos="577"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Qualifying Retirement. </w:t>
      </w:r>
      <w:r>
        <w:rPr>
          <w:rFonts w:ascii="Arial" w:cs="Arial" w:eastAsia="Arial" w:hAnsi="Arial"/>
          <w:sz w:val="18"/>
          <w:szCs w:val="18"/>
          <w:color w:val="auto"/>
        </w:rPr>
        <w:t>In the event of a Qualifying Retirement, the Employee will remain eligible to vest in the APIP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that otherwise vest on the applicable Vesting Date based on the achievement of the Performance Conditions, and any dividend equivalents with respect thereto, without any pro-ration;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Employee (A) completes a successful transition of responsibilities (as determined by the Board of Directors of the Company) and cooperates during the remaining vesting period, (B)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 approved by the CEO (or, if the Employee was the CEO prior to such retirement, the Board of Directors of the Company).</w:t>
      </w:r>
    </w:p>
    <w:p>
      <w:pPr>
        <w:spacing w:after="0" w:line="209" w:lineRule="exact"/>
        <w:rPr>
          <w:rFonts w:ascii="Arial" w:cs="Arial" w:eastAsia="Arial" w:hAnsi="Arial"/>
          <w:sz w:val="18"/>
          <w:szCs w:val="18"/>
          <w:color w:val="auto"/>
        </w:rPr>
      </w:pPr>
    </w:p>
    <w:p>
      <w:pPr>
        <w:jc w:val="both"/>
        <w:ind w:left="580" w:hanging="396"/>
        <w:spacing w:after="0" w:line="255" w:lineRule="auto"/>
        <w:tabs>
          <w:tab w:leader="none" w:pos="577"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services to the Employer for any reason other than due to death, Disability, or a termination for Cause, the Employee will remain eligible to vest in a Pro-Rata Amount of each tranche of APIP Shares that otherwise vest on the applicable Vesting Date based on the achievement of the Performance Conditions, and any dividend equivalents with respect thereto; </w:t>
      </w:r>
      <w:r>
        <w:rPr>
          <w:rFonts w:ascii="Arial" w:cs="Arial" w:eastAsia="Arial" w:hAnsi="Arial"/>
          <w:sz w:val="18"/>
          <w:szCs w:val="18"/>
          <w:u w:val="single" w:color="auto"/>
          <w:color w:val="auto"/>
        </w:rPr>
        <w:t>provided that</w:t>
      </w:r>
      <w:r>
        <w:rPr>
          <w:rFonts w:ascii="Arial" w:cs="Arial" w:eastAsia="Arial" w:hAnsi="Arial"/>
          <w:sz w:val="18"/>
          <w:szCs w:val="18"/>
          <w:color w:val="auto"/>
        </w:rPr>
        <w:t>, for purposes of calculating the Pro-Rata Amount under this Section 8(a)(iii), the Termination Date shall be deemed to occur such number of full months after the actual termination date equal to the number of full months of continued vesting under the Plan the Employee would be entitled to pursuant to the Company’s applicable severance plan or policy.</w:t>
      </w:r>
    </w:p>
    <w:p>
      <w:pPr>
        <w:spacing w:after="0" w:line="211" w:lineRule="exact"/>
        <w:rPr>
          <w:rFonts w:ascii="Arial" w:cs="Arial" w:eastAsia="Arial" w:hAnsi="Arial"/>
          <w:sz w:val="18"/>
          <w:szCs w:val="18"/>
          <w:color w:val="auto"/>
        </w:rPr>
      </w:pPr>
    </w:p>
    <w:p>
      <w:pPr>
        <w:jc w:val="both"/>
        <w:ind w:left="580" w:hanging="396"/>
        <w:spacing w:after="0" w:line="254" w:lineRule="auto"/>
        <w:tabs>
          <w:tab w:leader="none" w:pos="573"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of or otherwise provide services to the Employer following a Change in Control for any reason other than a termination for Cause or voluntarily ceases to be an employee due to a Termination for Good Reason following a Change in Control, then the APIP Shares covered by this Agreement, and any dividend equivalents with respect thereto, shall immediately vest at the “Target” performance level as set forth on Exhibit A (without proration)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212" w:lineRule="exact"/>
        <w:rPr>
          <w:rFonts w:ascii="Arial" w:cs="Arial" w:eastAsia="Arial" w:hAnsi="Arial"/>
          <w:sz w:val="18"/>
          <w:szCs w:val="18"/>
          <w:color w:val="auto"/>
        </w:rPr>
      </w:pPr>
    </w:p>
    <w:p>
      <w:pPr>
        <w:jc w:val="both"/>
        <w:ind w:left="580" w:hanging="396"/>
        <w:spacing w:after="0" w:line="257" w:lineRule="auto"/>
        <w:tabs>
          <w:tab w:leader="none" w:pos="57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Employer by reason of death or Disability prior to a Change in Control, the APIP Shares covered by this Agreement, and any dividend equivalents with respect thereto, shall remain eligible to vest pursuant to Section 3 based on the satisfaction of the Performance Conditions and as if such Employee remained employed through the Vesting Dates and shall be settled within 60 days following the next Vesting Date in accordance with Section 2, without proration.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20"/>
          </w:cols>
          <w:pgMar w:left="1440" w:top="126"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044" w:hanging="396"/>
        <w:spacing w:after="0" w:line="259" w:lineRule="auto"/>
        <w:tabs>
          <w:tab w:leader="none" w:pos="1037"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due to termination for Cause, any unvested APIP Shares, and any dividend equivalents with respect thereto, shall be cancelled and forfeited on the date of such termination of employment or services, in addition to any other rights reserved under the Conduent Incorporated Compensation Recoupment Policy, as may be amended from time to time, or any successor policy.</w:t>
      </w:r>
    </w:p>
    <w:p>
      <w:pPr>
        <w:spacing w:after="0" w:line="206" w:lineRule="exact"/>
        <w:rPr>
          <w:rFonts w:ascii="Arial" w:cs="Arial" w:eastAsia="Arial" w:hAnsi="Arial"/>
          <w:sz w:val="18"/>
          <w:szCs w:val="18"/>
          <w:color w:val="auto"/>
        </w:rPr>
      </w:pPr>
    </w:p>
    <w:p>
      <w:pPr>
        <w:jc w:val="both"/>
        <w:ind w:left="1044" w:hanging="396"/>
        <w:spacing w:after="0" w:line="253" w:lineRule="auto"/>
        <w:tabs>
          <w:tab w:leader="none" w:pos="1037"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Termination Date</w:t>
      </w:r>
      <w:r>
        <w:rPr>
          <w:rFonts w:ascii="Arial" w:cs="Arial" w:eastAsia="Arial" w:hAnsi="Arial"/>
          <w:sz w:val="18"/>
          <w:szCs w:val="18"/>
          <w:color w:val="auto"/>
        </w:rPr>
        <w:t>. For purposes of this Agreement and the APIP Shares, the Employee’s employment and/or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will be considered terminated as of the date the Employee is no longer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unless otherwise determined by the Company or as otherwise set forth herein, the Employee’s right to vest in the APIP Shares, if any, will terminate as of such date and, in any case,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 Employee’s period of service would not include any contractual notice period or any period of “garden leave” or similar period mandated under labor laws in the jurisdiction where the Employee provides services or the terms of the Employee's employment or other service agreement, if any). The Committee shall have the exclusive discretion to determine when the Employee no longer is actively providing services for purposes of this Agreement and the APIP Shares (including whether the Employee still may be considered to be providing services while on a leave of absence).</w:t>
      </w:r>
    </w:p>
    <w:p>
      <w:pPr>
        <w:spacing w:after="0" w:line="216" w:lineRule="exact"/>
        <w:rPr>
          <w:rFonts w:ascii="Arial" w:cs="Arial" w:eastAsia="Arial" w:hAnsi="Arial"/>
          <w:sz w:val="18"/>
          <w:szCs w:val="18"/>
          <w:color w:val="auto"/>
        </w:rPr>
      </w:pPr>
    </w:p>
    <w:p>
      <w:pPr>
        <w:ind w:left="484" w:hanging="484"/>
        <w:spacing w:after="0"/>
        <w:tabs>
          <w:tab w:leader="none" w:pos="48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sz w:val="20"/>
          <w:szCs w:val="20"/>
          <w:color w:val="auto"/>
        </w:rPr>
      </w:pPr>
    </w:p>
    <w:p>
      <w:pPr>
        <w:jc w:val="both"/>
        <w:ind w:left="4" w:right="20" w:firstLine="486"/>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4" w:firstLine="48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2" w:lineRule="exact"/>
        <w:rPr>
          <w:sz w:val="20"/>
          <w:szCs w:val="20"/>
          <w:color w:val="auto"/>
        </w:rPr>
      </w:pPr>
    </w:p>
    <w:p>
      <w:pPr>
        <w:jc w:val="both"/>
        <w:ind w:left="4" w:firstLine="48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2" w:lineRule="exact"/>
        <w:rPr>
          <w:sz w:val="20"/>
          <w:szCs w:val="20"/>
          <w:color w:val="auto"/>
        </w:rPr>
      </w:pPr>
    </w:p>
    <w:p>
      <w:pPr>
        <w:jc w:val="both"/>
        <w:ind w:left="4" w:right="20" w:firstLine="48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1" w:lineRule="exact"/>
        <w:rPr>
          <w:sz w:val="20"/>
          <w:szCs w:val="20"/>
          <w:color w:val="auto"/>
        </w:rPr>
      </w:pPr>
    </w:p>
    <w:p>
      <w:pPr>
        <w:jc w:val="both"/>
        <w:ind w:left="4" w:firstLine="486"/>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with respect to Tranche 1 APIP Shares will be equal to the number of Tranche 1 APIP Shares that would otherwise vest on the applicable Vesting Date based on the achievement of the Performance Conditions, multiplied by a fraction, the numerator of which is the number of full months elapsed between June 1, 2025 and the Termination Date, and the denominator of which is 10, and with respect to Tranche 2 APIP Shares will be equal to the number of Tranche 2 APIP Shares that would otherwise vest on the applicable Vesting Date based on the achievement of Performance Conditions, multiplied by a fraction, the numerator of which is the number of full months elapsed between April 1, 2026 and the Termination Date, and the denominator of which is 12; provided, in each case,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and provided, further, that in no event shall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976" w:top="126"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4"/>
        <w:spacing w:after="0" w:line="260" w:lineRule="auto"/>
        <w:rPr>
          <w:sz w:val="20"/>
          <w:szCs w:val="20"/>
          <w:color w:val="auto"/>
        </w:rPr>
      </w:pPr>
      <w:r>
        <w:rPr>
          <w:rFonts w:ascii="Arial" w:cs="Arial" w:eastAsia="Arial" w:hAnsi="Arial"/>
          <w:sz w:val="18"/>
          <w:szCs w:val="18"/>
          <w:color w:val="auto"/>
        </w:rPr>
        <w:t>fraction for the Pro-Rata Amount of either tranche of APIP Shares be greater than 1. Any APIP Shares that do not vest as set forth above shall be forfeited.</w:t>
      </w:r>
    </w:p>
    <w:p>
      <w:pPr>
        <w:spacing w:after="0" w:line="2" w:lineRule="exact"/>
        <w:rPr>
          <w:sz w:val="20"/>
          <w:szCs w:val="20"/>
          <w:color w:val="auto"/>
        </w:rPr>
      </w:pPr>
    </w:p>
    <w:p>
      <w:pPr>
        <w:jc w:val="both"/>
        <w:ind w:left="4" w:firstLine="48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Employee’s employment with or services to Employer where (i) the Employee is at least age sixty (60) and has at least five (5) years of service with the Employer or its parents or subsidiaries and</w:t>
      </w:r>
    </w:p>
    <w:p>
      <w:pPr>
        <w:spacing w:after="0" w:line="1" w:lineRule="exact"/>
        <w:rPr>
          <w:sz w:val="20"/>
          <w:szCs w:val="20"/>
          <w:color w:val="auto"/>
        </w:rPr>
      </w:pPr>
    </w:p>
    <w:p>
      <w:pPr>
        <w:jc w:val="both"/>
        <w:ind w:left="4" w:hanging="4"/>
        <w:spacing w:after="0" w:line="250" w:lineRule="auto"/>
        <w:tabs>
          <w:tab w:leader="none" w:pos="271"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Employee’s retirement has been agreed to and approved by the CEO of the Company (and, if Employee is a Section 16 officer of the Company, by the Board of Directors of the Company), who shall have the sole discretion to determine the date of retirement of such Employee.</w:t>
      </w:r>
    </w:p>
    <w:p>
      <w:pPr>
        <w:spacing w:after="0" w:line="1" w:lineRule="exact"/>
        <w:rPr>
          <w:rFonts w:ascii="Arial" w:cs="Arial" w:eastAsia="Arial" w:hAnsi="Arial"/>
          <w:sz w:val="18"/>
          <w:szCs w:val="18"/>
          <w:color w:val="auto"/>
        </w:rPr>
      </w:pPr>
    </w:p>
    <w:p>
      <w:pPr>
        <w:ind w:left="4" w:firstLine="486"/>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or services to the Employer determined in accordance with Section 8(a)(vii).</w:t>
      </w:r>
    </w:p>
    <w:p>
      <w:pPr>
        <w:spacing w:after="0" w:line="117" w:lineRule="exact"/>
        <w:rPr>
          <w:sz w:val="20"/>
          <w:szCs w:val="20"/>
          <w:color w:val="auto"/>
        </w:rPr>
      </w:pPr>
    </w:p>
    <w:p>
      <w:pPr>
        <w:jc w:val="both"/>
        <w:ind w:left="4" w:firstLine="486"/>
        <w:spacing w:after="0" w:line="278"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Termination For Good Reason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termination of the Employee within two years of the occurrence of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circumstances, provided that (i) such circumstance occurs without the Employee’s express written consent after a Change in Control, and (ii)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110" w:lineRule="exact"/>
        <w:rPr>
          <w:sz w:val="20"/>
          <w:szCs w:val="20"/>
          <w:color w:val="auto"/>
        </w:rPr>
      </w:pPr>
    </w:p>
    <w:p>
      <w:pPr>
        <w:jc w:val="both"/>
        <w:ind w:left="804" w:hanging="318"/>
        <w:spacing w:after="0" w:line="252" w:lineRule="auto"/>
        <w:tabs>
          <w:tab w:leader="none" w:pos="79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 (2) any of the following: (a) a material reduction in the Employee’s annual base salary and/or annual target bonus, (b)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(c) the failure to increase the Employee’s salary as the same may be increased from time to time for similarly situated individuals, except that this clause (2) shall not apply to across-the-board salary reductions similarly affecting all similarly situated employees of the Company and all similarly situated employees of any person in control of the Company; (3) 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 constitutes a material change in the geographic location at which the Employee is required to perform the services; (4) 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 (5) the failure of the Company to obtain a satisfactory agreement from any successor to assume responsibility to perform under this Agreement or the Plan.</w:t>
      </w:r>
    </w:p>
    <w:p>
      <w:pPr>
        <w:spacing w:after="0" w:line="134" w:lineRule="exact"/>
        <w:rPr>
          <w:sz w:val="20"/>
          <w:szCs w:val="20"/>
          <w:color w:val="auto"/>
        </w:rPr>
      </w:pPr>
    </w:p>
    <w:p>
      <w:pPr>
        <w:jc w:val="both"/>
        <w:ind w:left="164"/>
        <w:spacing w:after="0" w:line="262" w:lineRule="auto"/>
        <w:rPr>
          <w:sz w:val="20"/>
          <w:szCs w:val="20"/>
          <w:color w:val="auto"/>
        </w:rPr>
      </w:pPr>
      <w:r>
        <w:rPr>
          <w:rFonts w:ascii="Arial" w:cs="Arial" w:eastAsia="Arial" w:hAnsi="Arial"/>
          <w:sz w:val="18"/>
          <w:szCs w:val="18"/>
          <w:color w:val="auto"/>
        </w:rPr>
        <w:t>A termination by the Employee of his or her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4"/>
          </w:cols>
          <w:pgMar w:left="976" w:top="126"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accommodation or modification of the Employee’s authority, duties, or responsibilities because of the Employee’s Disability.</w:t>
      </w:r>
    </w:p>
    <w:p>
      <w:pPr>
        <w:spacing w:after="0" w:line="117" w:lineRule="exact"/>
        <w:rPr>
          <w:sz w:val="20"/>
          <w:szCs w:val="20"/>
          <w:color w:val="auto"/>
        </w:rPr>
      </w:pPr>
    </w:p>
    <w:p>
      <w:pPr>
        <w:jc w:val="both"/>
        <w:ind w:left="1140" w:hanging="484"/>
        <w:spacing w:after="0" w:line="256" w:lineRule="auto"/>
        <w:tabs>
          <w:tab w:leader="none" w:pos="1134"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in the event the Employee involuntarily ceases to be an employee of or otherwise provide services to the Employer in connection with the Employer’s sale (whether by sale of assets or a subsidiary, or both) of a line of business within which the Employee was employed or providing services immediately prior to such sale that does not constitute a Change in Control, as determined by the Committee in its sole discretion, for any reason other than due to death, Disability, or a termination for Cause, the Employee will remain eligible to vest in a Pro-Rata Amount of each tranche of APIP Shares that otherwise vest on the applicable Vesting Date based on the achievement of the Performance Conditions, and any dividend equivalents with respect thereto.</w:t>
      </w:r>
    </w:p>
    <w:p>
      <w:pPr>
        <w:spacing w:after="0" w:line="209" w:lineRule="exact"/>
        <w:rPr>
          <w:rFonts w:ascii="Arial" w:cs="Arial" w:eastAsia="Arial" w:hAnsi="Arial"/>
          <w:sz w:val="18"/>
          <w:szCs w:val="18"/>
          <w:color w:val="auto"/>
        </w:rPr>
      </w:pPr>
    </w:p>
    <w:p>
      <w:pPr>
        <w:jc w:val="both"/>
        <w:ind w:left="1140" w:hanging="484"/>
        <w:spacing w:after="0" w:line="257" w:lineRule="auto"/>
        <w:tabs>
          <w:tab w:leader="none" w:pos="1130"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Transfer of Plan Enrollment</w:t>
      </w:r>
      <w:r>
        <w:rPr>
          <w:rFonts w:ascii="Arial" w:cs="Arial" w:eastAsia="Arial" w:hAnsi="Arial"/>
          <w:sz w:val="18"/>
          <w:szCs w:val="18"/>
          <w:color w:val="auto"/>
        </w:rPr>
        <w:t>. Notwithstanding the above, in the event the Employee is transferred to an alternative incentive compensation plan of the Company other than the Conduent Incorporated Annual Performance Incentive Plan, the Employee will remain eligible to vest in a Pro-Rata Amount of APIP Shares that otherwise vest on the applicable Vesting Date based on the achievement of the Performance Conditions, and any dividend equivalents with respect thereto; provided, that, for purposes of calculating the Pro-Rata Amount, the Termination Date in such instance will be replaced with the date in which such Employee is formally transferred to such alternative incentive compensation plan.</w:t>
      </w:r>
    </w:p>
    <w:p>
      <w:pPr>
        <w:spacing w:after="0" w:line="209"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APIP Shares or the issue or purchase of shares of Common Stock hereunder, the certificates for shares of Common Stock may not be issued in respect of APIP Shares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APIP Shares.</w:t>
      </w:r>
    </w:p>
    <w:p>
      <w:pPr>
        <w:spacing w:after="0" w:line="209" w:lineRule="exact"/>
        <w:rPr>
          <w:rFonts w:ascii="Arial" w:cs="Arial" w:eastAsia="Arial" w:hAnsi="Arial"/>
          <w:sz w:val="18"/>
          <w:szCs w:val="18"/>
          <w:color w:val="auto"/>
        </w:rPr>
      </w:pPr>
    </w:p>
    <w:p>
      <w:pPr>
        <w:ind w:left="640" w:hanging="632"/>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140" w:hanging="484"/>
        <w:spacing w:after="0" w:line="253" w:lineRule="auto"/>
        <w:tabs>
          <w:tab w:leader="none" w:pos="113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Employee acknowledges and agrees that, regardless of any action taken by the Company or, if different, the Employer, the ultimate liability for all income tax, social insurance, payroll tax, fringe benefits tax, payment on account or other tax-related items related to the Employee’s participation in the Plan and legally applicable or deemed applicable to the Employee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Employee’s responsibility and may exceed the amount, if any, actually withheld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the Employer. The Employee further acknowledges that the Company and/or the Employer (i) make no representations or undertakings regarding the treatment of any Tax-Related Items in connection with any aspect of the APIP Shares or the underlying shares of Common Stock, including, but not limited to, the grant, vesting or settlement of the APIP Shares, the subsequent sale of shares of Common Stock acquired upon the settlement of the APIP Shares and the receipt of any dividends; and (ii) do not commit to and are under no obligation to structure the terms of the grant or any aspect of the APIP Shares to reduce or eliminate the Employee’s liability for Tax-Related Items or to achieve any particular tax result. Further, if the Employee is subject to Tax-Related Items in more than one jurisdiction, the Employee acknowledges that the Company and/or the Employer (or former employer, as applicable) may be required to withhold or account for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6"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140" w:hanging="484"/>
        <w:spacing w:after="0" w:line="253" w:lineRule="auto"/>
        <w:tabs>
          <w:tab w:leader="none" w:pos="1130" w:val="left"/>
        </w:tabs>
        <w:numPr>
          <w:ilvl w:val="1"/>
          <w:numId w:val="63"/>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the Employee agrees to make adequate arrangements satisfactory to the Company and/or the Employer to satisfy all Tax-Related Items. In this regard, the Employee authorizes the Company and/or the Employer, or their respective agents, at their discretion, to satisfy any applicable withholding obligations with regard to all Tax-Related Items by one or a combination of the following: (i) requiring the Employee to make a payment in a form acceptable to the Company, (ii) withholding from the Employee’s wages or other compensation payable to the Employee, (iii) withholding from proceeds of the sale of the shares of Common Stock acquired upon the settlement of the APIP Shares either through a voluntary sale or through a mandatory sale arranged by the Company (on the Employee’s behalf pursuant to this authorization without further consent), (iv) withholding from the shares of Common Stock otherwise issuable at vesting of the APIP Shares, provided, however, that if the Employee is subject to the reporting and other provisions of Section 16 of the Exchange Act, the Company shall affirmatively approve, by Board action, any such withholding of shares of Common Stock as contemplated in the immediately preceding proviso, or (v) any other method of withholding determined by the Company and, to the extent required by applicable law or the Plan, approved by the Committee.</w:t>
      </w:r>
    </w:p>
    <w:p>
      <w:pPr>
        <w:spacing w:after="0" w:line="216" w:lineRule="exact"/>
        <w:rPr>
          <w:rFonts w:ascii="Arial" w:cs="Arial" w:eastAsia="Arial" w:hAnsi="Arial"/>
          <w:sz w:val="18"/>
          <w:szCs w:val="18"/>
          <w:color w:val="auto"/>
        </w:rPr>
      </w:pPr>
    </w:p>
    <w:p>
      <w:pPr>
        <w:jc w:val="both"/>
        <w:ind w:left="1140" w:hanging="484"/>
        <w:spacing w:after="0" w:line="255" w:lineRule="auto"/>
        <w:tabs>
          <w:tab w:leader="none" w:pos="113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Company and/or the Employer may withhold or account for Tax-Related Items by considering statutory withholding rates or other withholding rates, including maximum rates applicable in the Employee’s jurisdiction(s). In the event of over-withholding, the Employee may receive a refund of any over-withheld amount in cash (with no entitlement to the equivalent in shares of Common Stock) or, if not refunded, the Employee may seek a refund from the local tax authorities. In the event of under-withholding, the Employee may be required to pay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subject to the vested APIP Shares, notwithstanding that a number of the shares of Common Stock is held back solely for the purpose of paying the Tax-Related Items.</w:t>
      </w:r>
    </w:p>
    <w:p>
      <w:pPr>
        <w:spacing w:after="0" w:line="207" w:lineRule="exact"/>
        <w:rPr>
          <w:rFonts w:ascii="Arial" w:cs="Arial" w:eastAsia="Arial" w:hAnsi="Arial"/>
          <w:sz w:val="18"/>
          <w:szCs w:val="18"/>
          <w:color w:val="auto"/>
        </w:rPr>
      </w:pPr>
    </w:p>
    <w:p>
      <w:pPr>
        <w:jc w:val="both"/>
        <w:ind w:left="1140" w:hanging="484"/>
        <w:spacing w:after="0" w:line="259" w:lineRule="auto"/>
        <w:tabs>
          <w:tab w:leader="none" w:pos="113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Employee agrees to pay to the Company or the Employer any amount of Tax-Related Items that the Company or the Employer may be required to withhold or account for as a result of the Employe’s participation in the Plan that cannot be satisfied by the means previously described. The Company may refuse to issue or deliver the shares of Common Stock or the proceeds of the sale of the shares of Common Stock acquired upon the vesting of the APIP Shares, if the Employee fails to comply with the Employee's obligations in connection with the Tax-Related Items.</w:t>
      </w:r>
    </w:p>
    <w:p>
      <w:pPr>
        <w:spacing w:after="0" w:line="206" w:lineRule="exact"/>
        <w:rPr>
          <w:rFonts w:ascii="Arial" w:cs="Arial" w:eastAsia="Arial" w:hAnsi="Arial"/>
          <w:sz w:val="18"/>
          <w:szCs w:val="18"/>
          <w:color w:val="auto"/>
        </w:rPr>
      </w:pPr>
    </w:p>
    <w:p>
      <w:pPr>
        <w:ind w:left="640" w:hanging="632"/>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252" w:lineRule="exact"/>
        <w:rPr>
          <w:rFonts w:ascii="Arial" w:cs="Arial" w:eastAsia="Arial" w:hAnsi="Arial"/>
          <w:sz w:val="18"/>
          <w:szCs w:val="18"/>
          <w:color w:val="auto"/>
        </w:rPr>
      </w:pPr>
    </w:p>
    <w:p>
      <w:pPr>
        <w:jc w:val="both"/>
        <w:ind w:left="1140" w:hanging="484"/>
        <w:spacing w:after="0" w:line="268" w:lineRule="auto"/>
        <w:tabs>
          <w:tab w:leader="none" w:pos="113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terms of the Plan regarding Plan amendment and termination and, in addition, the APIP Shares are subject to modification and adjustment per the terms of the Plan;</w:t>
      </w:r>
    </w:p>
    <w:p>
      <w:pPr>
        <w:spacing w:after="0" w:line="197" w:lineRule="exact"/>
        <w:rPr>
          <w:rFonts w:ascii="Arial" w:cs="Arial" w:eastAsia="Arial" w:hAnsi="Arial"/>
          <w:sz w:val="18"/>
          <w:szCs w:val="18"/>
          <w:color w:val="auto"/>
        </w:rPr>
      </w:pPr>
    </w:p>
    <w:p>
      <w:pPr>
        <w:ind w:left="1140" w:hanging="484"/>
        <w:spacing w:after="0" w:line="287" w:lineRule="auto"/>
        <w:tabs>
          <w:tab w:leader="none" w:pos="113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award of the APIP Shares is voluntary and occasional and does not create any contractual or other right to receive future grants of APIP Shares, or benefits in lieu of APIP Shares, even if APIP Shares have been granted repeatedly in the past;</w:t>
      </w:r>
    </w:p>
    <w:p>
      <w:pPr>
        <w:spacing w:after="0" w:line="179" w:lineRule="exact"/>
        <w:rPr>
          <w:rFonts w:ascii="Arial" w:cs="Arial" w:eastAsia="Arial" w:hAnsi="Arial"/>
          <w:sz w:val="18"/>
          <w:szCs w:val="18"/>
          <w:color w:val="auto"/>
        </w:rPr>
      </w:pPr>
    </w:p>
    <w:p>
      <w:pPr>
        <w:ind w:left="1140" w:hanging="484"/>
        <w:spacing w:after="0" w:line="287" w:lineRule="auto"/>
        <w:tabs>
          <w:tab w:leader="none" w:pos="1134"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decisions with respect to future APIP Share awards, if any, will be at the sole discretion of the Committee or its authorized delegate,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6"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140" w:hanging="484"/>
        <w:spacing w:after="0" w:line="262" w:lineRule="auto"/>
        <w:tabs>
          <w:tab w:leader="none" w:pos="113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APIP Share award and the Employee’s participation in the Plan will not be interpreted to form an employment contract or relationship with the Employer;</w:t>
      </w:r>
    </w:p>
    <w:p>
      <w:pPr>
        <w:spacing w:after="0" w:line="203" w:lineRule="exact"/>
        <w:rPr>
          <w:rFonts w:ascii="Arial" w:cs="Arial" w:eastAsia="Arial" w:hAnsi="Arial"/>
          <w:sz w:val="18"/>
          <w:szCs w:val="18"/>
          <w:color w:val="auto"/>
        </w:rPr>
      </w:pPr>
    </w:p>
    <w:p>
      <w:pPr>
        <w:ind w:left="1140" w:hanging="484"/>
        <w:spacing w:after="0"/>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252" w:lineRule="exact"/>
        <w:rPr>
          <w:rFonts w:ascii="Arial" w:cs="Arial" w:eastAsia="Arial" w:hAnsi="Arial"/>
          <w:sz w:val="18"/>
          <w:szCs w:val="18"/>
          <w:color w:val="auto"/>
        </w:rPr>
      </w:pPr>
    </w:p>
    <w:p>
      <w:pPr>
        <w:jc w:val="both"/>
        <w:ind w:left="1140" w:right="20" w:hanging="484"/>
        <w:spacing w:after="0" w:line="257" w:lineRule="auto"/>
        <w:tabs>
          <w:tab w:leader="none" w:pos="1134"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APIP Shares and the shares of Common Stock subject to the APIP Shares are an extraordinary item that does not constitute compensation of any kind for services of any kind rendered to the Employer, and which is outside the scope of the Employee’s employment contract, if any;</w:t>
      </w:r>
    </w:p>
    <w:p>
      <w:pPr>
        <w:spacing w:after="0" w:line="1" w:lineRule="exact"/>
        <w:rPr>
          <w:rFonts w:ascii="Arial" w:cs="Arial" w:eastAsia="Arial" w:hAnsi="Arial"/>
          <w:sz w:val="18"/>
          <w:szCs w:val="18"/>
          <w:color w:val="auto"/>
        </w:rPr>
      </w:pPr>
    </w:p>
    <w:p>
      <w:pPr>
        <w:ind w:left="1140" w:hanging="484"/>
        <w:spacing w:after="0" w:line="266" w:lineRule="auto"/>
        <w:tabs>
          <w:tab w:leader="none" w:pos="113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APIP Shares and the shares of Common Stock subject to the APIP Shares are not intended to replace any pension rights or compensation;</w:t>
      </w:r>
    </w:p>
    <w:p>
      <w:pPr>
        <w:spacing w:after="0" w:line="198" w:lineRule="exact"/>
        <w:rPr>
          <w:rFonts w:ascii="Arial" w:cs="Arial" w:eastAsia="Arial" w:hAnsi="Arial"/>
          <w:sz w:val="18"/>
          <w:szCs w:val="18"/>
          <w:color w:val="auto"/>
        </w:rPr>
      </w:pPr>
    </w:p>
    <w:p>
      <w:pPr>
        <w:jc w:val="both"/>
        <w:ind w:left="1140" w:hanging="484"/>
        <w:spacing w:after="0" w:line="259" w:lineRule="auto"/>
        <w:tabs>
          <w:tab w:leader="none" w:pos="113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APIP Shares and the shares of Common Stock subject to the APIP Shares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206" w:lineRule="exact"/>
        <w:rPr>
          <w:rFonts w:ascii="Arial" w:cs="Arial" w:eastAsia="Arial" w:hAnsi="Arial"/>
          <w:sz w:val="18"/>
          <w:szCs w:val="18"/>
          <w:color w:val="auto"/>
        </w:rPr>
      </w:pPr>
    </w:p>
    <w:p>
      <w:pPr>
        <w:ind w:left="1140" w:hanging="484"/>
        <w:spacing w:after="0"/>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252" w:lineRule="exact"/>
        <w:rPr>
          <w:rFonts w:ascii="Arial" w:cs="Arial" w:eastAsia="Arial" w:hAnsi="Arial"/>
          <w:sz w:val="18"/>
          <w:szCs w:val="18"/>
          <w:color w:val="auto"/>
        </w:rPr>
      </w:pPr>
    </w:p>
    <w:p>
      <w:pPr>
        <w:jc w:val="both"/>
        <w:ind w:left="1140" w:hanging="484"/>
        <w:spacing w:after="0" w:line="257" w:lineRule="auto"/>
        <w:tabs>
          <w:tab w:leader="none" w:pos="1138"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consideration of the award of the APIP Shares, no claim or entitlement to compensation or damages shall arise from forfeiture of the APIP Shares, including, but not limited to, forfeiture resulting from termination of the Employee’s employment with or services to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209" w:lineRule="exact"/>
        <w:rPr>
          <w:rFonts w:ascii="Arial" w:cs="Arial" w:eastAsia="Arial" w:hAnsi="Arial"/>
          <w:sz w:val="18"/>
          <w:szCs w:val="18"/>
          <w:color w:val="auto"/>
        </w:rPr>
      </w:pPr>
    </w:p>
    <w:p>
      <w:pPr>
        <w:ind w:left="1140" w:hanging="484"/>
        <w:spacing w:after="0" w:line="287" w:lineRule="auto"/>
        <w:tabs>
          <w:tab w:leader="none" w:pos="1134" w:val="left"/>
        </w:tabs>
        <w:numPr>
          <w:ilvl w:val="1"/>
          <w:numId w:val="65"/>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APIP Shares and the benefits under the Plan, if any, will not automatically transfer to another company in the case of a merger, take-over or transfer of liability.</w:t>
      </w:r>
    </w:p>
    <w:p>
      <w:pPr>
        <w:spacing w:after="0" w:line="179" w:lineRule="exact"/>
        <w:rPr>
          <w:rFonts w:ascii="Arial" w:cs="Arial" w:eastAsia="Arial" w:hAnsi="Arial"/>
          <w:sz w:val="18"/>
          <w:szCs w:val="18"/>
          <w:color w:val="auto"/>
        </w:rPr>
      </w:pPr>
    </w:p>
    <w:p>
      <w:pPr>
        <w:jc w:val="both"/>
        <w:ind w:firstLine="8"/>
        <w:spacing w:after="0" w:line="262" w:lineRule="auto"/>
        <w:tabs>
          <w:tab w:leader="none" w:pos="64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the Employee’s own personal tax, legal and financial advisors regarding the Employee’s participation in the Plan before taking any action related to the Plan.</w:t>
      </w:r>
    </w:p>
    <w:p>
      <w:pPr>
        <w:spacing w:after="0" w:line="203" w:lineRule="exact"/>
        <w:rPr>
          <w:rFonts w:ascii="Arial" w:cs="Arial" w:eastAsia="Arial" w:hAnsi="Arial"/>
          <w:sz w:val="18"/>
          <w:szCs w:val="18"/>
          <w:color w:val="auto"/>
        </w:rPr>
      </w:pPr>
    </w:p>
    <w:p>
      <w:pPr>
        <w:jc w:val="both"/>
        <w:ind w:firstLine="8"/>
        <w:spacing w:after="0" w:line="256" w:lineRule="auto"/>
        <w:tabs>
          <w:tab w:leader="none" w:pos="64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settlement of the APIP Shares prior to the completion of any registration or qualification of the Common Stock under any U.S. or non-U.S. local, state or federal securities or other applicable law or under rulings or regulations of the U.S.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of any other U.S. or non-U.S. governmental regulatory body, or prior to obtaining any approval or other clearance from any U.S. or non-U.S. local, state or federal governmental agency, which registration, qualification or approval the Company shall, in its absolute discretion, deem necessary or advisable.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understands that the Company is under no obligation to register or qualify the shares of Common Stock subject to the APIP Shares with the SEC or any U.S. state or non-U.S. securities commission or to seek approval or clearance from any governmental authority for the issuance or sale of the Common Stock. Further, the Employee agrees that the Company shall have unilateral authority to amend the Plan and this Agreement without the Employee’s consent to the extent necessary to comply with securities or other laws applicable to the issuance of the shares of Common Stock.</w:t>
      </w:r>
    </w:p>
    <w:p>
      <w:pPr>
        <w:spacing w:after="0" w:line="206" w:lineRule="exact"/>
        <w:rPr>
          <w:sz w:val="20"/>
          <w:szCs w:val="20"/>
          <w:color w:val="auto"/>
        </w:rPr>
      </w:pPr>
    </w:p>
    <w:p>
      <w:pPr>
        <w:ind w:firstLine="8"/>
        <w:spacing w:after="0" w:line="287" w:lineRule="auto"/>
        <w:tabs>
          <w:tab w:leader="none" w:pos="64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179" w:lineRule="exact"/>
        <w:rPr>
          <w:rFonts w:ascii="Arial" w:cs="Arial" w:eastAsia="Arial" w:hAnsi="Arial"/>
          <w:sz w:val="18"/>
          <w:szCs w:val="18"/>
          <w:color w:val="auto"/>
        </w:rPr>
      </w:pPr>
    </w:p>
    <w:p>
      <w:pPr>
        <w:jc w:val="both"/>
        <w:ind w:firstLine="8"/>
        <w:spacing w:after="0" w:line="256" w:lineRule="auto"/>
        <w:tabs>
          <w:tab w:leader="none" w:pos="64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Except where otherwise prohibited under applicable law, by executing this Agreement and accepting the APIP Shares and the delivery of any shares of Common Stock or cash hereunder, the Employee expressly acknowledges and agrees to continue to be bound by and to comply with all of the terms and conditions contained in the Non-Competition and Non-Solicitation Agreement and any other restrictive covenant agreement or obligations (e.g. confidentiality, non-competition, non-solicitation, trade secrets, etc.) previously entered or executed by the Employee and incorporated herein by reference (collectively, the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 By executing this Agreement, the Employee agrees that the APIP Shares and delivery of any shares of Common Stock or cash hereunder serve as additional consideration for any such Restrictive Covenants.</w:t>
      </w:r>
    </w:p>
    <w:p>
      <w:pPr>
        <w:spacing w:after="0" w:line="209" w:lineRule="exact"/>
        <w:rPr>
          <w:rFonts w:ascii="Arial" w:cs="Arial" w:eastAsia="Arial" w:hAnsi="Arial"/>
          <w:sz w:val="18"/>
          <w:szCs w:val="18"/>
          <w:color w:val="auto"/>
        </w:rPr>
      </w:pPr>
    </w:p>
    <w:p>
      <w:pPr>
        <w:jc w:val="both"/>
        <w:ind w:firstLine="8"/>
        <w:spacing w:after="0" w:line="259" w:lineRule="auto"/>
        <w:tabs>
          <w:tab w:leader="none" w:pos="64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This Award shall be subject to (i) the Conduent Incorporated Compensation Recoupment Policy, as may be amended from time to time, or any successor policy and (ii) any other compensation recovery policy adopted after the APIP Shares are granted to facilitate compliance with applicable law, including in response to the requirements of Section 10D of the Exchange Act, the U.S. Securities and Exchange Commission’s final rules thereunder, and any applicable listing rules or other rules and regulations implementing the foregoing.</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this Section 16, the Employee expressly and explicitly authorizes the Company to issue instructions, on the Employee's behalf, to any brokerage firm and/or third party administrator engaged by the Company to hold any shares of Common Stock and other amounts acquired pursuant to the APIP Shares to re-convey, transfer or otherwise return such shares of Common Stock and/or other amounts to the Company upon the Company’s enforcement of the Company’s recoupment policy, the Company’s clawback policy, if any, and any other compensation recovery policy adopted by the Board or the Committee.</w:t>
      </w:r>
    </w:p>
    <w:p>
      <w:pPr>
        <w:spacing w:after="0" w:line="71" w:lineRule="exact"/>
        <w:rPr>
          <w:sz w:val="20"/>
          <w:szCs w:val="20"/>
          <w:color w:val="auto"/>
        </w:rPr>
      </w:pPr>
    </w:p>
    <w:p>
      <w:pPr>
        <w:ind w:firstLine="8"/>
        <w:spacing w:after="0" w:line="287" w:lineRule="auto"/>
        <w:tabs>
          <w:tab w:leader="none" w:pos="64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16, the Company may cancel any award provided hereunder if the Employee is not in compliance with all of the following conditions:</w:t>
      </w:r>
    </w:p>
    <w:p>
      <w:pPr>
        <w:spacing w:after="0" w:line="179" w:lineRule="exact"/>
        <w:rPr>
          <w:rFonts w:ascii="Arial" w:cs="Arial" w:eastAsia="Arial" w:hAnsi="Arial"/>
          <w:sz w:val="18"/>
          <w:szCs w:val="18"/>
          <w:color w:val="auto"/>
        </w:rPr>
      </w:pPr>
    </w:p>
    <w:p>
      <w:pPr>
        <w:jc w:val="both"/>
        <w:ind w:left="1140" w:hanging="484"/>
        <w:spacing w:after="0" w:line="268" w:lineRule="auto"/>
        <w:tabs>
          <w:tab w:leader="none" w:pos="113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97" w:lineRule="exact"/>
        <w:rPr>
          <w:rFonts w:ascii="Arial" w:cs="Arial" w:eastAsia="Arial" w:hAnsi="Arial"/>
          <w:sz w:val="18"/>
          <w:szCs w:val="18"/>
          <w:color w:val="auto"/>
        </w:rPr>
      </w:pPr>
    </w:p>
    <w:p>
      <w:pPr>
        <w:jc w:val="both"/>
        <w:ind w:left="1140" w:hanging="484"/>
        <w:spacing w:after="0" w:line="262" w:lineRule="auto"/>
        <w:tabs>
          <w:tab w:leader="none" w:pos="113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76" w:lineRule="exact"/>
        <w:rPr>
          <w:rFonts w:ascii="Arial" w:cs="Arial" w:eastAsia="Arial" w:hAnsi="Arial"/>
          <w:sz w:val="18"/>
          <w:szCs w:val="18"/>
          <w:color w:val="auto"/>
        </w:rPr>
      </w:pPr>
    </w:p>
    <w:p>
      <w:pPr>
        <w:jc w:val="both"/>
        <w:ind w:left="1140"/>
        <w:spacing w:after="0" w:line="268" w:lineRule="auto"/>
        <w:rPr>
          <w:rFonts w:ascii="Arial" w:cs="Arial" w:eastAsia="Arial" w:hAnsi="Arial"/>
          <w:sz w:val="18"/>
          <w:szCs w:val="18"/>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6"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140"/>
        <w:spacing w:after="0" w:line="259" w:lineRule="auto"/>
        <w:rPr>
          <w:sz w:val="20"/>
          <w:szCs w:val="20"/>
          <w:color w:val="auto"/>
        </w:rPr>
      </w:pPr>
      <w:r>
        <w:rPr>
          <w:rFonts w:ascii="Arial" w:cs="Arial" w:eastAsia="Arial" w:hAnsi="Arial"/>
          <w:sz w:val="18"/>
          <w:szCs w:val="18"/>
          <w:color w:val="auto"/>
        </w:rPr>
        <w:t>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the Employee has made such report or disclosure, or of the Employee’s participation in an agency investigation or proceeding.</w:t>
      </w:r>
    </w:p>
    <w:p>
      <w:pPr>
        <w:spacing w:after="0" w:line="206" w:lineRule="exact"/>
        <w:rPr>
          <w:sz w:val="20"/>
          <w:szCs w:val="20"/>
          <w:color w:val="auto"/>
        </w:rPr>
      </w:pPr>
    </w:p>
    <w:p>
      <w:pPr>
        <w:jc w:val="both"/>
        <w:ind w:left="1140" w:hanging="484"/>
        <w:spacing w:after="0" w:line="259" w:lineRule="auto"/>
        <w:tabs>
          <w:tab w:leader="none" w:pos="113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206" w:lineRule="exact"/>
        <w:rPr>
          <w:rFonts w:ascii="Arial" w:cs="Arial" w:eastAsia="Arial" w:hAnsi="Arial"/>
          <w:sz w:val="18"/>
          <w:szCs w:val="18"/>
          <w:color w:val="auto"/>
        </w:rPr>
      </w:pPr>
    </w:p>
    <w:p>
      <w:pPr>
        <w:jc w:val="both"/>
        <w:ind w:left="1140" w:hanging="484"/>
        <w:spacing w:after="0" w:line="256" w:lineRule="auto"/>
        <w:tabs>
          <w:tab w:leader="none" w:pos="1130" w:val="left"/>
        </w:tabs>
        <w:numPr>
          <w:ilvl w:val="1"/>
          <w:numId w:val="69"/>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209" w:lineRule="exact"/>
        <w:rPr>
          <w:rFonts w:ascii="Arial" w:cs="Arial" w:eastAsia="Arial" w:hAnsi="Arial"/>
          <w:sz w:val="18"/>
          <w:szCs w:val="18"/>
          <w:color w:val="auto"/>
        </w:rPr>
      </w:pPr>
    </w:p>
    <w:p>
      <w:pPr>
        <w:jc w:val="both"/>
        <w:ind w:firstLine="8"/>
        <w:spacing w:after="0" w:line="268" w:lineRule="auto"/>
        <w:tabs>
          <w:tab w:leader="none" w:pos="64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the Chief Human Resources Officer of the Company, and if to the Employee shall be delivered personally or mailed to the Employee at his address as the same appears on the records of the Company.</w:t>
      </w:r>
    </w:p>
    <w:p>
      <w:pPr>
        <w:spacing w:after="0" w:line="197" w:lineRule="exact"/>
        <w:rPr>
          <w:rFonts w:ascii="Arial" w:cs="Arial" w:eastAsia="Arial" w:hAnsi="Arial"/>
          <w:sz w:val="18"/>
          <w:szCs w:val="18"/>
          <w:color w:val="auto"/>
        </w:rPr>
      </w:pPr>
    </w:p>
    <w:p>
      <w:pPr>
        <w:ind w:firstLine="8"/>
        <w:spacing w:after="0" w:line="287" w:lineRule="auto"/>
        <w:tabs>
          <w:tab w:leader="none" w:pos="64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179" w:lineRule="exact"/>
        <w:rPr>
          <w:rFonts w:ascii="Arial" w:cs="Arial" w:eastAsia="Arial" w:hAnsi="Arial"/>
          <w:sz w:val="18"/>
          <w:szCs w:val="18"/>
          <w:color w:val="auto"/>
        </w:rPr>
      </w:pPr>
    </w:p>
    <w:p>
      <w:pPr>
        <w:jc w:val="both"/>
        <w:ind w:firstLine="8"/>
        <w:spacing w:after="0" w:line="259" w:lineRule="auto"/>
        <w:tabs>
          <w:tab w:leader="none" w:pos="64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206" w:lineRule="exact"/>
        <w:rPr>
          <w:rFonts w:ascii="Arial" w:cs="Arial" w:eastAsia="Arial" w:hAnsi="Arial"/>
          <w:sz w:val="18"/>
          <w:szCs w:val="18"/>
          <w:color w:val="auto"/>
        </w:rPr>
      </w:pPr>
    </w:p>
    <w:p>
      <w:pPr>
        <w:jc w:val="both"/>
        <w:ind w:firstLine="8"/>
        <w:spacing w:after="0" w:line="257" w:lineRule="auto"/>
        <w:tabs>
          <w:tab w:leader="none" w:pos="64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209" w:lineRule="exact"/>
        <w:rPr>
          <w:rFonts w:ascii="Arial" w:cs="Arial" w:eastAsia="Arial" w:hAnsi="Arial"/>
          <w:sz w:val="18"/>
          <w:szCs w:val="18"/>
          <w:color w:val="auto"/>
        </w:rPr>
      </w:pPr>
    </w:p>
    <w:p>
      <w:pPr>
        <w:ind w:firstLine="8"/>
        <w:spacing w:after="0" w:line="287" w:lineRule="auto"/>
        <w:tabs>
          <w:tab w:leader="none" w:pos="64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the Plan to the Beneficiary(ies) or transferee of the Employee.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6"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8"/>
        <w:spacing w:after="0" w:line="255" w:lineRule="auto"/>
        <w:tabs>
          <w:tab w:leader="none" w:pos="64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any actions taken under or relating to this Agreement, and any disputes arising out of or related to this Agreement, shall be governed by and construed in accordance with the laws of the United States and the laws of the State of Delaware without giving effect to any choice or conflict of law provision or rule (whether of the State of Delaware or any other jurisdiction) that would cause the application of the laws of any jurisdiction other than the United States and the State or Delaware. This grant is made and/or administered in the United States. For purposes of litigating any dispute that arises under this grant or the Agreement the parties hereby submit to and consent to the jurisdiction of the State of Delaware, and agree that such litigation shall only be conducted in the state or federal courts located in Delaware to the exclusion of all other courts and fora. By accepting the APIP Shares, the Employee irrevocably consents to the jurisdiction of, and venue in, such courts and waives any objection that such courts are an inconvenient forum.</w:t>
      </w:r>
    </w:p>
    <w:p>
      <w:pPr>
        <w:spacing w:after="0" w:line="207" w:lineRule="exact"/>
        <w:rPr>
          <w:rFonts w:ascii="Arial" w:cs="Arial" w:eastAsia="Arial" w:hAnsi="Arial"/>
          <w:sz w:val="18"/>
          <w:szCs w:val="18"/>
          <w:color w:val="auto"/>
        </w:rPr>
      </w:pPr>
    </w:p>
    <w:p>
      <w:pPr>
        <w:jc w:val="both"/>
        <w:ind w:right="20" w:firstLine="8"/>
        <w:spacing w:after="0" w:line="268" w:lineRule="auto"/>
        <w:tabs>
          <w:tab w:leader="none" w:pos="64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APIP Shares, and any dividends with respect thereto, that are settled within such 60-day period in accordance with this Agreement shall be settled in the second calendar year. Each payment hereunder is treated as a separate payment for purposes of Section 409A.</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 (b)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74" w:lineRule="exact"/>
        <w:rPr>
          <w:sz w:val="20"/>
          <w:szCs w:val="20"/>
          <w:color w:val="auto"/>
        </w:rPr>
      </w:pPr>
    </w:p>
    <w:p>
      <w:pPr>
        <w:ind w:left="640" w:hanging="632"/>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140" w:hanging="484"/>
        <w:spacing w:after="0" w:line="256" w:lineRule="auto"/>
        <w:tabs>
          <w:tab w:leader="none" w:pos="113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Data Collection and Usage</w:t>
      </w:r>
      <w:r>
        <w:rPr>
          <w:rFonts w:ascii="Arial" w:cs="Arial" w:eastAsia="Arial" w:hAnsi="Arial"/>
          <w:sz w:val="18"/>
          <w:szCs w:val="18"/>
          <w:color w:val="auto"/>
        </w:rPr>
        <w:t>. The Company and the Employer collect, process and use certain personal information about the Employee, including, but not limited to, the Employee’s name, home address and telephone number, email address, date of birth, social insurance, passport or other identification number, salary, nationality, job title, any shares of Common Stock or directorships held in the Company, details of all APIP Shares or any other entitlement to shares or equivalent benefits awarded, canceled, exercised, vested, unvested or outstanding in the Employee’s favor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for the purposes of implementing, administering and managing the Plan. The legal basis, where required, for the processing of Data is the Employee’s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6"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140" w:hanging="484"/>
        <w:spacing w:after="0" w:line="259" w:lineRule="auto"/>
        <w:tabs>
          <w:tab w:leader="none" w:pos="113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It may be necessary for Data to be transferred to, and processed in, the U.S. If the Employee is outside of the U.S., the Employee should note that the Employee's country has enacted data privacy laws that are different from the U.S. As a result, in the absence of appropriate safeguards, the transfer of Data to the U.S. or, as the case may be, other countries might not be subject to substantive data processing principles or supervision by data protection authorities. The Company’s legal basis, where required, for the transfer of Data is the Employee’s consent.</w:t>
      </w:r>
    </w:p>
    <w:p>
      <w:pPr>
        <w:spacing w:after="0" w:line="206" w:lineRule="exact"/>
        <w:rPr>
          <w:rFonts w:ascii="Arial" w:cs="Arial" w:eastAsia="Arial" w:hAnsi="Arial"/>
          <w:sz w:val="18"/>
          <w:szCs w:val="18"/>
          <w:color w:val="auto"/>
        </w:rPr>
      </w:pPr>
    </w:p>
    <w:p>
      <w:pPr>
        <w:jc w:val="both"/>
        <w:ind w:left="1140" w:hanging="484"/>
        <w:spacing w:after="0" w:line="268" w:lineRule="auto"/>
        <w:tabs>
          <w:tab w:leader="none" w:pos="1134"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the Employee’s participation in the Plan, or as required to comply with legal or regulatory obligations, including under tax, exchange control, labor and securities laws.</w:t>
      </w:r>
    </w:p>
    <w:p>
      <w:pPr>
        <w:spacing w:after="0" w:line="197" w:lineRule="exact"/>
        <w:rPr>
          <w:rFonts w:ascii="Arial" w:cs="Arial" w:eastAsia="Arial" w:hAnsi="Arial"/>
          <w:sz w:val="18"/>
          <w:szCs w:val="18"/>
          <w:color w:val="auto"/>
        </w:rPr>
      </w:pPr>
    </w:p>
    <w:p>
      <w:pPr>
        <w:jc w:val="both"/>
        <w:ind w:left="1140" w:hanging="484"/>
        <w:spacing w:after="0" w:line="259" w:lineRule="auto"/>
        <w:tabs>
          <w:tab w:leader="none" w:pos="113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Voluntariness and Consequences of Consent Denial or Withdrawal</w:t>
      </w:r>
      <w:r>
        <w:rPr>
          <w:rFonts w:ascii="Arial" w:cs="Arial" w:eastAsia="Arial" w:hAnsi="Arial"/>
          <w:sz w:val="18"/>
          <w:szCs w:val="18"/>
          <w:color w:val="auto"/>
        </w:rPr>
        <w:t>. Participation in the Plan is voluntary, and the Employee is providing the consents herein on a purely voluntary basis. If the Employee does not consent, or if the Employee later seeks to revoke the Employee's consent, the Employee’s salary from or employment and career with the Employer will not be affected; the only consequence of refusing or withdrawing consent is that the Company would not be able to grant the APIP Shares or other equity awards to the Employee or administer or maintain such awards.</w:t>
      </w:r>
    </w:p>
    <w:p>
      <w:pPr>
        <w:spacing w:after="0" w:line="71" w:lineRule="exact"/>
        <w:rPr>
          <w:rFonts w:ascii="Arial" w:cs="Arial" w:eastAsia="Arial" w:hAnsi="Arial"/>
          <w:sz w:val="18"/>
          <w:szCs w:val="18"/>
          <w:color w:val="auto"/>
        </w:rPr>
      </w:pPr>
    </w:p>
    <w:p>
      <w:pPr>
        <w:jc w:val="both"/>
        <w:ind w:left="1140" w:hanging="484"/>
        <w:spacing w:after="0" w:line="257" w:lineRule="auto"/>
        <w:tabs>
          <w:tab w:leader="none" w:pos="113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privacy laws in the Employee’s jurisdiction. Depending on where the Employee is based, such rights may include the right to (i) request access or copies of Data the Company processes, (ii) rectification of incorrect Data, (iii) deletion of Data, (iv) restrictions on processing of Data, (v) portability of Data, (vi) lodge complaints with competent authorities in the Employee’s jurisdiction, and/or (vii) receive a list with the names and addresses of any potential recipients of Data. To receive clarification regarding these rights or to exercise these rights, the Employee can contact the local human resources representative.</w:t>
      </w:r>
    </w:p>
    <w:p>
      <w:pPr>
        <w:spacing w:after="0" w:line="182" w:lineRule="exact"/>
        <w:rPr>
          <w:rFonts w:ascii="Arial" w:cs="Arial" w:eastAsia="Arial" w:hAnsi="Arial"/>
          <w:sz w:val="18"/>
          <w:szCs w:val="18"/>
          <w:color w:val="auto"/>
        </w:rPr>
      </w:pPr>
    </w:p>
    <w:p>
      <w:pPr>
        <w:jc w:val="both"/>
        <w:ind w:left="1140"/>
        <w:spacing w:after="0" w:line="254" w:lineRule="auto"/>
        <w:rPr>
          <w:rFonts w:ascii="Arial" w:cs="Arial" w:eastAsia="Arial" w:hAnsi="Arial"/>
          <w:sz w:val="18"/>
          <w:szCs w:val="18"/>
          <w:color w:val="auto"/>
        </w:rPr>
      </w:pPr>
      <w:r>
        <w:rPr>
          <w:rFonts w:ascii="Arial" w:cs="Arial" w:eastAsia="Arial" w:hAnsi="Arial"/>
          <w:sz w:val="18"/>
          <w:szCs w:val="18"/>
          <w:color w:val="auto"/>
        </w:rPr>
        <w:t>By accepting the APIP Shares and indicating consent via the Company’s acceptance procedure, the Employee is declaring agreement with the data processing practices described herein and consents to the collection, processing and use of Data by the Company and the transfer of Data to the recipients mentioned above, including recipients located in countries which to not adduce an adequate level of protection from a European (or other non-U.S.) data protection law perspective, for the purposes described above.</w:t>
      </w:r>
    </w:p>
    <w:p>
      <w:pPr>
        <w:spacing w:after="0" w:line="2" w:lineRule="exact"/>
        <w:rPr>
          <w:rFonts w:ascii="Arial" w:cs="Arial" w:eastAsia="Arial" w:hAnsi="Arial"/>
          <w:sz w:val="18"/>
          <w:szCs w:val="18"/>
          <w:color w:val="auto"/>
        </w:rPr>
      </w:pPr>
    </w:p>
    <w:p>
      <w:pPr>
        <w:jc w:val="both"/>
        <w:ind w:left="1140"/>
        <w:spacing w:after="0" w:line="252" w:lineRule="auto"/>
        <w:rPr>
          <w:rFonts w:ascii="Arial" w:cs="Arial" w:eastAsia="Arial" w:hAnsi="Arial"/>
          <w:sz w:val="18"/>
          <w:szCs w:val="18"/>
          <w:color w:val="auto"/>
        </w:rPr>
      </w:pPr>
      <w:r>
        <w:rPr>
          <w:rFonts w:ascii="Arial" w:cs="Arial" w:eastAsia="Arial" w:hAnsi="Arial"/>
          <w:sz w:val="18"/>
          <w:szCs w:val="18"/>
          <w:color w:val="auto"/>
        </w:rPr>
        <w:t>Finally, the Employee understands that the Company may rely on a different basis for the processing or transfer of Data in the future and/or request that the Employee provide another data privacy consent. If applicable, the Employee agrees that upon request of the Company or the Employer, the Employee will provide an executed acknowledgement or data privacy consent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the Employee will not be able to participate in the Plan if the Employee fails to provide any such consent or agreement requested by the Company and/or the Employer.</w:t>
      </w:r>
    </w:p>
    <w:p>
      <w:pPr>
        <w:spacing w:after="0" w:line="133" w:lineRule="exact"/>
        <w:rPr>
          <w:rFonts w:ascii="Arial" w:cs="Arial" w:eastAsia="Arial" w:hAnsi="Arial"/>
          <w:sz w:val="18"/>
          <w:szCs w:val="18"/>
          <w:color w:val="auto"/>
        </w:rPr>
      </w:pPr>
    </w:p>
    <w:p>
      <w:pPr>
        <w:jc w:val="both"/>
        <w:ind w:firstLine="8"/>
        <w:spacing w:after="0" w:line="268" w:lineRule="auto"/>
        <w:tabs>
          <w:tab w:leader="none" w:pos="64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6"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8"/>
        <w:spacing w:after="0" w:line="287" w:lineRule="auto"/>
        <w:tabs>
          <w:tab w:leader="none" w:pos="64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179" w:lineRule="exact"/>
        <w:rPr>
          <w:rFonts w:ascii="Arial" w:cs="Arial" w:eastAsia="Arial" w:hAnsi="Arial"/>
          <w:sz w:val="18"/>
          <w:szCs w:val="18"/>
          <w:color w:val="auto"/>
        </w:rPr>
      </w:pPr>
    </w:p>
    <w:p>
      <w:pPr>
        <w:jc w:val="both"/>
        <w:ind w:firstLine="8"/>
        <w:spacing w:after="0" w:line="259" w:lineRule="auto"/>
        <w:tabs>
          <w:tab w:leader="none" w:pos="64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APIP Shares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executed this Agreement as of the day and year set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CONDUENT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00225" cy="8572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180022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By: Christopher Kujawa, Chief Human Resources Officer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June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6" w:right="339" w:bottom="1440" w:gutter="0" w:footer="0" w:header="0"/>
        </w:sectPr>
      </w:pPr>
    </w:p>
    <w:bookmarkStart w:id="68" w:name="page69"/>
    <w:bookmarkEnd w:id="68"/>
    <w:p>
      <w:pPr>
        <w:ind w:left="9660"/>
        <w:spacing w:after="0"/>
        <w:rPr>
          <w:sz w:val="20"/>
          <w:szCs w:val="20"/>
          <w:color w:val="auto"/>
        </w:rPr>
      </w:pPr>
      <w:r>
        <w:rPr>
          <w:rFonts w:ascii="Times New Roman" w:cs="Times New Roman" w:eastAsia="Times New Roman" w:hAnsi="Times New Roman"/>
          <w:sz w:val="21"/>
          <w:szCs w:val="21"/>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Conditions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APIP Shares that vest shall be based on the satisfaction of goals and the weighted percentages set forth below. Linear</w:t>
      </w:r>
    </w:p>
    <w:p>
      <w:pPr>
        <w:spacing w:after="0" w:line="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interpolation will be used for results between points. The goals will be adjusted for any dispositions of businesses and asset sales, and may be adjusted for other unanticipated or unbudgeted changes. Numbers set forth herein are denoted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40575" cy="11144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40575" cy="111442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960" w:type="dxa"/>
            <w:vAlign w:val="bottom"/>
            <w:shd w:val="clear" w:color="auto" w:fill="808080"/>
          </w:tcPr>
          <w:p>
            <w:pPr>
              <w:jc w:val="center"/>
              <w:spacing w:after="0"/>
              <w:rPr>
                <w:sz w:val="20"/>
                <w:szCs w:val="20"/>
                <w:color w:val="auto"/>
              </w:rPr>
            </w:pPr>
            <w:r>
              <w:rPr>
                <w:rFonts w:ascii="Arial" w:cs="Arial" w:eastAsia="Arial" w:hAnsi="Arial"/>
                <w:sz w:val="18"/>
                <w:szCs w:val="18"/>
                <w:b w:val="1"/>
                <w:bCs w:val="1"/>
                <w:color w:val="FFFFFF"/>
              </w:rPr>
              <w:t>Metric</w:t>
            </w:r>
          </w:p>
        </w:tc>
        <w:tc>
          <w:tcPr>
            <w:tcW w:w="20" w:type="dxa"/>
            <w:vAlign w:val="bottom"/>
            <w:shd w:val="clear" w:color="auto" w:fill="808080"/>
          </w:tcPr>
          <w:p>
            <w:pPr>
              <w:spacing w:after="0"/>
              <w:rPr>
                <w:sz w:val="23"/>
                <w:szCs w:val="23"/>
                <w:color w:val="auto"/>
              </w:rPr>
            </w:pPr>
          </w:p>
        </w:tc>
        <w:tc>
          <w:tcPr>
            <w:tcW w:w="7320" w:type="dxa"/>
            <w:vAlign w:val="bottom"/>
            <w:shd w:val="clear" w:color="auto" w:fill="808080"/>
          </w:tcPr>
          <w:p>
            <w:pPr>
              <w:ind w:left="3160"/>
              <w:spacing w:after="0"/>
              <w:rPr>
                <w:sz w:val="20"/>
                <w:szCs w:val="20"/>
                <w:color w:val="auto"/>
              </w:rPr>
            </w:pPr>
            <w:r>
              <w:rPr>
                <w:rFonts w:ascii="Arial" w:cs="Arial" w:eastAsia="Arial" w:hAnsi="Arial"/>
                <w:sz w:val="18"/>
                <w:szCs w:val="18"/>
                <w:b w:val="1"/>
                <w:bCs w:val="1"/>
                <w:color w:val="FFFFFF"/>
              </w:rPr>
              <w:t>Description</w:t>
            </w:r>
          </w:p>
        </w:tc>
        <w:tc>
          <w:tcPr>
            <w:tcW w:w="20" w:type="dxa"/>
            <w:vAlign w:val="bottom"/>
            <w:shd w:val="clear" w:color="auto" w:fill="808080"/>
          </w:tcPr>
          <w:p>
            <w:pPr>
              <w:spacing w:after="0"/>
              <w:rPr>
                <w:sz w:val="23"/>
                <w:szCs w:val="23"/>
                <w:color w:val="auto"/>
              </w:rPr>
            </w:pPr>
          </w:p>
        </w:tc>
        <w:tc>
          <w:tcPr>
            <w:tcW w:w="1920" w:type="dxa"/>
            <w:vAlign w:val="bottom"/>
            <w:shd w:val="clear" w:color="auto" w:fill="808080"/>
          </w:tcPr>
          <w:p>
            <w:pPr>
              <w:jc w:val="center"/>
              <w:spacing w:after="0"/>
              <w:rPr>
                <w:sz w:val="20"/>
                <w:szCs w:val="20"/>
                <w:color w:val="auto"/>
              </w:rPr>
            </w:pPr>
            <w:r>
              <w:rPr>
                <w:rFonts w:ascii="Arial" w:cs="Arial" w:eastAsia="Arial" w:hAnsi="Arial"/>
                <w:sz w:val="18"/>
                <w:szCs w:val="18"/>
                <w:b w:val="1"/>
                <w:bCs w:val="1"/>
                <w:color w:val="FFFFFF"/>
                <w:w w:val="99"/>
              </w:rPr>
              <w:t>Weighted %</w:t>
            </w:r>
          </w:p>
        </w:tc>
        <w:tc>
          <w:tcPr>
            <w:tcW w:w="0" w:type="dxa"/>
            <w:vAlign w:val="bottom"/>
          </w:tcPr>
          <w:p>
            <w:pPr>
              <w:spacing w:after="0"/>
              <w:rPr>
                <w:sz w:val="1"/>
                <w:szCs w:val="1"/>
                <w:color w:val="auto"/>
              </w:rPr>
            </w:pPr>
          </w:p>
        </w:tc>
      </w:tr>
      <w:tr>
        <w:trPr>
          <w:trHeight w:val="27"/>
        </w:trPr>
        <w:tc>
          <w:tcPr>
            <w:tcW w:w="19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Adjusted Revenue</w:t>
            </w:r>
          </w:p>
        </w:tc>
        <w:tc>
          <w:tcPr>
            <w:tcW w:w="20" w:type="dxa"/>
            <w:vAlign w:val="bottom"/>
          </w:tcPr>
          <w:p>
            <w:pPr>
              <w:spacing w:after="0"/>
              <w:rPr>
                <w:sz w:val="2"/>
                <w:szCs w:val="2"/>
                <w:color w:val="auto"/>
              </w:rPr>
            </w:pPr>
          </w:p>
        </w:tc>
        <w:tc>
          <w:tcPr>
            <w:tcW w:w="7320" w:type="dxa"/>
            <w:vAlign w:val="bottom"/>
            <w:vMerge w:val="restart"/>
          </w:tcPr>
          <w:p>
            <w:pPr>
              <w:ind w:left="20"/>
              <w:spacing w:after="0"/>
              <w:rPr>
                <w:sz w:val="20"/>
                <w:szCs w:val="20"/>
                <w:color w:val="auto"/>
              </w:rPr>
            </w:pPr>
            <w:r>
              <w:rPr>
                <w:rFonts w:ascii="Arial" w:cs="Arial" w:eastAsia="Arial" w:hAnsi="Arial"/>
                <w:sz w:val="18"/>
                <w:szCs w:val="18"/>
                <w:color w:val="auto"/>
              </w:rPr>
              <w:t>Adjusted Revenue</w:t>
            </w:r>
          </w:p>
        </w:tc>
        <w:tc>
          <w:tcPr>
            <w:tcW w:w="20" w:type="dxa"/>
            <w:vAlign w:val="bottom"/>
          </w:tcPr>
          <w:p>
            <w:pPr>
              <w:spacing w:after="0"/>
              <w:rPr>
                <w:sz w:val="2"/>
                <w:szCs w:val="2"/>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line="20" w:lineRule="exact"/>
              <w:rPr>
                <w:sz w:val="1"/>
                <w:szCs w:val="1"/>
                <w:color w:val="auto"/>
              </w:rPr>
            </w:pPr>
          </w:p>
        </w:tc>
      </w:tr>
      <w:tr>
        <w:trPr>
          <w:trHeight w:val="229"/>
        </w:trPr>
        <w:tc>
          <w:tcPr>
            <w:tcW w:w="19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7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9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Adjusted EBITDA</w:t>
            </w:r>
          </w:p>
        </w:tc>
        <w:tc>
          <w:tcPr>
            <w:tcW w:w="20" w:type="dxa"/>
            <w:vAlign w:val="bottom"/>
            <w:shd w:val="clear" w:color="auto" w:fill="000000"/>
          </w:tcPr>
          <w:p>
            <w:pPr>
              <w:spacing w:after="0"/>
              <w:rPr>
                <w:sz w:val="15"/>
                <w:szCs w:val="15"/>
                <w:color w:val="auto"/>
              </w:rPr>
            </w:pPr>
          </w:p>
        </w:tc>
        <w:tc>
          <w:tcPr>
            <w:tcW w:w="7320" w:type="dxa"/>
            <w:vAlign w:val="bottom"/>
          </w:tcPr>
          <w:p>
            <w:pPr>
              <w:ind w:left="20"/>
              <w:spacing w:after="0" w:line="177" w:lineRule="exact"/>
              <w:rPr>
                <w:sz w:val="20"/>
                <w:szCs w:val="20"/>
                <w:color w:val="auto"/>
              </w:rPr>
            </w:pPr>
            <w:r>
              <w:rPr>
                <w:rFonts w:ascii="Arial" w:cs="Arial" w:eastAsia="Arial" w:hAnsi="Arial"/>
                <w:sz w:val="18"/>
                <w:szCs w:val="18"/>
                <w:color w:val="auto"/>
              </w:rPr>
              <w:t>Income or loss before income taxes, interest, depreciation and amortization and contract</w:t>
            </w:r>
          </w:p>
        </w:tc>
        <w:tc>
          <w:tcPr>
            <w:tcW w:w="20" w:type="dxa"/>
            <w:vAlign w:val="bottom"/>
            <w:shd w:val="clear" w:color="auto" w:fill="000000"/>
          </w:tcPr>
          <w:p>
            <w:pPr>
              <w:spacing w:after="0"/>
              <w:rPr>
                <w:sz w:val="15"/>
                <w:szCs w:val="15"/>
                <w:color w:val="auto"/>
              </w:rPr>
            </w:pPr>
          </w:p>
        </w:tc>
        <w:tc>
          <w:tcPr>
            <w:tcW w:w="1920" w:type="dxa"/>
            <w:vAlign w:val="bottom"/>
          </w:tcPr>
          <w:p>
            <w:pPr>
              <w:jc w:val="center"/>
              <w:spacing w:after="0" w:line="177" w:lineRule="exact"/>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35"/>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0" w:type="dxa"/>
            <w:vAlign w:val="bottom"/>
            <w:tcBorders>
              <w:bottom w:val="single" w:sz="8" w:color="auto"/>
            </w:tcBorders>
            <w:shd w:val="clear" w:color="auto" w:fill="000000"/>
          </w:tcPr>
          <w:p>
            <w:pPr>
              <w:spacing w:after="0"/>
              <w:rPr>
                <w:sz w:val="20"/>
                <w:szCs w:val="20"/>
                <w:color w:val="auto"/>
              </w:rPr>
            </w:pPr>
          </w:p>
        </w:tc>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inducement amortization divided by revenue or adjusted revenue</w:t>
            </w:r>
          </w:p>
        </w:tc>
        <w:tc>
          <w:tcPr>
            <w:tcW w:w="20" w:type="dxa"/>
            <w:vAlign w:val="bottom"/>
            <w:tcBorders>
              <w:bottom w:val="single" w:sz="8" w:color="auto"/>
            </w:tcBorders>
            <w:shd w:val="clear" w:color="auto" w:fill="000000"/>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9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Net ARR Activity</w:t>
            </w:r>
          </w:p>
        </w:tc>
        <w:tc>
          <w:tcPr>
            <w:tcW w:w="20" w:type="dxa"/>
            <w:vAlign w:val="bottom"/>
            <w:shd w:val="clear" w:color="auto" w:fill="000000"/>
          </w:tcPr>
          <w:p>
            <w:pPr>
              <w:spacing w:after="0"/>
              <w:rPr>
                <w:sz w:val="15"/>
                <w:szCs w:val="15"/>
                <w:color w:val="auto"/>
              </w:rPr>
            </w:pPr>
          </w:p>
        </w:tc>
        <w:tc>
          <w:tcPr>
            <w:tcW w:w="7320" w:type="dxa"/>
            <w:vAlign w:val="bottom"/>
          </w:tcPr>
          <w:p>
            <w:pPr>
              <w:ind w:left="20"/>
              <w:spacing w:after="0" w:line="177" w:lineRule="exact"/>
              <w:rPr>
                <w:sz w:val="20"/>
                <w:szCs w:val="20"/>
                <w:color w:val="auto"/>
              </w:rPr>
            </w:pPr>
            <w:r>
              <w:rPr>
                <w:rFonts w:ascii="Arial" w:cs="Arial" w:eastAsia="Arial" w:hAnsi="Arial"/>
                <w:sz w:val="18"/>
                <w:szCs w:val="18"/>
                <w:color w:val="auto"/>
              </w:rPr>
              <w:t>Projected Annual Recurring Revenue for contracts signed in the prior 12 months, less the</w:t>
            </w:r>
          </w:p>
        </w:tc>
        <w:tc>
          <w:tcPr>
            <w:tcW w:w="20" w:type="dxa"/>
            <w:vAlign w:val="bottom"/>
            <w:shd w:val="clear" w:color="auto" w:fill="000000"/>
          </w:tcPr>
          <w:p>
            <w:pPr>
              <w:spacing w:after="0"/>
              <w:rPr>
                <w:sz w:val="15"/>
                <w:szCs w:val="15"/>
                <w:color w:val="auto"/>
              </w:rPr>
            </w:pPr>
          </w:p>
        </w:tc>
        <w:tc>
          <w:tcPr>
            <w:tcW w:w="1920" w:type="dxa"/>
            <w:vAlign w:val="bottom"/>
          </w:tcPr>
          <w:p>
            <w:pPr>
              <w:jc w:val="center"/>
              <w:spacing w:after="0" w:line="177" w:lineRule="exact"/>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181"/>
        </w:trPr>
        <w:tc>
          <w:tcPr>
            <w:tcW w:w="19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320" w:type="dxa"/>
            <w:vAlign w:val="bottom"/>
          </w:tcPr>
          <w:p>
            <w:pPr>
              <w:ind w:left="20"/>
              <w:spacing w:after="0" w:line="181" w:lineRule="exact"/>
              <w:rPr>
                <w:sz w:val="20"/>
                <w:szCs w:val="20"/>
                <w:color w:val="auto"/>
              </w:rPr>
            </w:pPr>
            <w:r>
              <w:rPr>
                <w:rFonts w:ascii="Arial" w:cs="Arial" w:eastAsia="Arial" w:hAnsi="Arial"/>
                <w:sz w:val="18"/>
                <w:szCs w:val="18"/>
                <w:color w:val="auto"/>
              </w:rPr>
              <w:t>annualized impact of any client losses, contractual volume and price changes, and other</w:t>
            </w:r>
          </w:p>
        </w:tc>
        <w:tc>
          <w:tcPr>
            <w:tcW w:w="20" w:type="dxa"/>
            <w:vAlign w:val="bottom"/>
            <w:shd w:val="clear" w:color="auto" w:fill="000000"/>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320" w:type="dxa"/>
            <w:vAlign w:val="bottom"/>
          </w:tcPr>
          <w:p>
            <w:pPr>
              <w:ind w:left="20"/>
              <w:spacing w:after="0" w:line="176" w:lineRule="exact"/>
              <w:rPr>
                <w:sz w:val="20"/>
                <w:szCs w:val="20"/>
                <w:color w:val="auto"/>
              </w:rPr>
            </w:pPr>
            <w:r>
              <w:rPr>
                <w:rFonts w:ascii="Arial" w:cs="Arial" w:eastAsia="Arial" w:hAnsi="Arial"/>
                <w:sz w:val="18"/>
                <w:szCs w:val="18"/>
                <w:color w:val="auto"/>
              </w:rPr>
              <w:t>known impacts for which the company was notified in that same time period, which could</w:t>
            </w:r>
          </w:p>
        </w:tc>
        <w:tc>
          <w:tcPr>
            <w:tcW w:w="20" w:type="dxa"/>
            <w:vAlign w:val="bottom"/>
            <w:shd w:val="clear" w:color="auto" w:fill="000000"/>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positively or negatively impact results.</w:t>
            </w:r>
          </w:p>
        </w:tc>
        <w:tc>
          <w:tcPr>
            <w:tcW w:w="20" w:type="dxa"/>
            <w:vAlign w:val="bottom"/>
            <w:tcBorders>
              <w:bottom w:val="single" w:sz="8" w:color="auto"/>
            </w:tcBorders>
            <w:shd w:val="clear" w:color="auto" w:fill="000000"/>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64"/>
        </w:trPr>
        <w:tc>
          <w:tcPr>
            <w:tcW w:w="31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Threshold</w:t>
            </w:r>
          </w:p>
        </w:tc>
        <w:tc>
          <w:tcPr>
            <w:tcW w:w="1180" w:type="dxa"/>
            <w:vAlign w:val="bottom"/>
            <w:tcBorders>
              <w:bottom w:val="single" w:sz="8" w:color="auto"/>
              <w:right w:val="single" w:sz="8" w:color="auto"/>
            </w:tcBorders>
            <w:shd w:val="clear" w:color="auto" w:fill="7F7F7F"/>
          </w:tcPr>
          <w:p>
            <w:pPr>
              <w:ind w:left="32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2040" w:type="dxa"/>
            <w:vAlign w:val="bottom"/>
            <w:tcBorders>
              <w:bottom w:val="single" w:sz="8" w:color="auto"/>
              <w:right w:val="single" w:sz="8" w:color="auto"/>
            </w:tcBorders>
            <w:shd w:val="clear" w:color="auto" w:fill="7F7F7F"/>
          </w:tcPr>
          <w:p>
            <w:pPr>
              <w:ind w:left="460"/>
              <w:spacing w:after="0"/>
              <w:rPr>
                <w:sz w:val="20"/>
                <w:szCs w:val="20"/>
                <w:color w:val="auto"/>
              </w:rPr>
            </w:pPr>
            <w:r>
              <w:rPr>
                <w:rFonts w:ascii="Times New Roman" w:cs="Times New Roman" w:eastAsia="Times New Roman" w:hAnsi="Times New Roman"/>
                <w:sz w:val="18"/>
                <w:szCs w:val="18"/>
                <w:b w:val="1"/>
                <w:bCs w:val="1"/>
                <w:color w:val="FFFFFF"/>
              </w:rPr>
              <w:t>Stretch Target</w:t>
            </w:r>
          </w:p>
        </w:tc>
        <w:tc>
          <w:tcPr>
            <w:tcW w:w="2680" w:type="dxa"/>
            <w:vAlign w:val="bottom"/>
            <w:tcBorders>
              <w:bottom w:val="single" w:sz="8" w:color="auto"/>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Overachievement (Cap)</w:t>
            </w:r>
          </w:p>
        </w:tc>
      </w:tr>
      <w:tr>
        <w:trPr>
          <w:trHeight w:val="269"/>
        </w:trPr>
        <w:tc>
          <w:tcPr>
            <w:tcW w:w="3180" w:type="dxa"/>
            <w:vAlign w:val="bottom"/>
            <w:tcBorders>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Adjusted Revenue (40%)</w:t>
            </w:r>
          </w:p>
        </w:tc>
        <w:tc>
          <w:tcPr>
            <w:tcW w:w="194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$3,060.4</w:t>
            </w:r>
          </w:p>
        </w:tc>
        <w:tc>
          <w:tcPr>
            <w:tcW w:w="1180" w:type="dxa"/>
            <w:vAlign w:val="bottom"/>
            <w:tcBorders>
              <w:bottom w:val="single" w:sz="8" w:color="DBE5F1"/>
              <w:right w:val="single" w:sz="8" w:color="auto"/>
            </w:tcBorders>
            <w:shd w:val="clear" w:color="auto" w:fill="DBE5F1"/>
          </w:tcPr>
          <w:p>
            <w:pPr>
              <w:jc w:val="right"/>
              <w:ind w:right="190"/>
              <w:spacing w:after="0"/>
              <w:rPr>
                <w:sz w:val="20"/>
                <w:szCs w:val="20"/>
                <w:color w:val="auto"/>
              </w:rPr>
            </w:pPr>
            <w:r>
              <w:rPr>
                <w:rFonts w:ascii="Times New Roman" w:cs="Times New Roman" w:eastAsia="Times New Roman" w:hAnsi="Times New Roman"/>
                <w:sz w:val="18"/>
                <w:szCs w:val="18"/>
                <w:color w:val="auto"/>
              </w:rPr>
              <w:t>$3,155.0</w:t>
            </w:r>
          </w:p>
        </w:tc>
        <w:tc>
          <w:tcPr>
            <w:tcW w:w="2040" w:type="dxa"/>
            <w:vAlign w:val="bottom"/>
            <w:tcBorders>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$3,249.7</w:t>
            </w:r>
          </w:p>
        </w:tc>
        <w:tc>
          <w:tcPr>
            <w:tcW w:w="2680" w:type="dxa"/>
            <w:vAlign w:val="bottom"/>
            <w:tcBorders>
              <w:bottom w:val="single" w:sz="8" w:color="DBE5F1"/>
              <w:right w:val="single" w:sz="8" w:color="auto"/>
            </w:tcBorders>
            <w:shd w:val="clear" w:color="auto" w:fill="DBE5F1"/>
          </w:tcPr>
          <w:p>
            <w:pPr>
              <w:jc w:val="right"/>
              <w:ind w:right="950"/>
              <w:spacing w:after="0"/>
              <w:rPr>
                <w:sz w:val="20"/>
                <w:szCs w:val="20"/>
                <w:color w:val="auto"/>
              </w:rPr>
            </w:pPr>
            <w:r>
              <w:rPr>
                <w:rFonts w:ascii="Times New Roman" w:cs="Times New Roman" w:eastAsia="Times New Roman" w:hAnsi="Times New Roman"/>
                <w:sz w:val="18"/>
                <w:szCs w:val="18"/>
                <w:color w:val="auto"/>
              </w:rPr>
              <w:t>$3,470.5</w:t>
            </w:r>
          </w:p>
        </w:tc>
      </w:tr>
      <w:tr>
        <w:trPr>
          <w:trHeight w:val="264"/>
        </w:trPr>
        <w:tc>
          <w:tcPr>
            <w:tcW w:w="318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Achievement %</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97% of Target</w:t>
            </w:r>
          </w:p>
        </w:tc>
        <w:tc>
          <w:tcPr>
            <w:tcW w:w="1180" w:type="dxa"/>
            <w:vAlign w:val="bottom"/>
            <w:tcBorders>
              <w:top w:val="single" w:sz="8" w:color="auto"/>
              <w:bottom w:val="single" w:sz="8" w:color="DBE5F1"/>
              <w:right w:val="single" w:sz="8" w:color="auto"/>
            </w:tcBorders>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Budget</w:t>
            </w:r>
          </w:p>
        </w:tc>
        <w:tc>
          <w:tcPr>
            <w:tcW w:w="20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103% of Target</w:t>
            </w:r>
          </w:p>
        </w:tc>
        <w:tc>
          <w:tcPr>
            <w:tcW w:w="2680" w:type="dxa"/>
            <w:vAlign w:val="bottom"/>
            <w:tcBorders>
              <w:top w:val="single" w:sz="8" w:color="auto"/>
              <w:bottom w:val="single" w:sz="8" w:color="DBE5F1"/>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7"/>
              </w:rPr>
              <w:t>110% of Target</w:t>
            </w:r>
          </w:p>
        </w:tc>
      </w:tr>
      <w:tr>
        <w:trPr>
          <w:trHeight w:val="243"/>
        </w:trPr>
        <w:tc>
          <w:tcPr>
            <w:tcW w:w="318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8"/>
              </w:rPr>
              <w:t>Payout %</w:t>
            </w:r>
          </w:p>
        </w:tc>
        <w:tc>
          <w:tcPr>
            <w:tcW w:w="1940" w:type="dxa"/>
            <w:vAlign w:val="bottom"/>
            <w:tcBorders>
              <w:top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tcBorders>
              <w:top w:val="single" w:sz="8" w:color="auto"/>
              <w:bottom w:val="single" w:sz="8" w:color="DBE5F1"/>
              <w:right w:val="single" w:sz="8" w:color="auto"/>
            </w:tcBorders>
            <w:shd w:val="clear" w:color="auto" w:fill="DBE5F1"/>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2040" w:type="dxa"/>
            <w:vAlign w:val="bottom"/>
            <w:tcBorders>
              <w:top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150%</w:t>
            </w:r>
          </w:p>
        </w:tc>
        <w:tc>
          <w:tcPr>
            <w:tcW w:w="2680" w:type="dxa"/>
            <w:vAlign w:val="bottom"/>
            <w:tcBorders>
              <w:top w:val="single" w:sz="8" w:color="auto"/>
              <w:bottom w:val="single" w:sz="8" w:color="DBE5F1"/>
              <w:right w:val="single" w:sz="8" w:color="auto"/>
            </w:tcBorders>
            <w:shd w:val="clear" w:color="auto" w:fill="DBE5F1"/>
          </w:tcPr>
          <w:p>
            <w:pPr>
              <w:jc w:val="right"/>
              <w:ind w:right="1050"/>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3180" w:type="dxa"/>
            <w:vAlign w:val="bottom"/>
            <w:tcBorders>
              <w:right w:val="single" w:sz="8" w:color="auto"/>
            </w:tcBorders>
            <w:shd w:val="clear" w:color="auto" w:fill="000000"/>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Borders>
              <w:right w:val="single" w:sz="8" w:color="auto"/>
            </w:tcBorders>
            <w:shd w:val="clear" w:color="auto" w:fill="000000"/>
          </w:tcPr>
          <w:p>
            <w:pPr>
              <w:spacing w:after="0" w:line="20" w:lineRule="exact"/>
              <w:rPr>
                <w:sz w:val="1"/>
                <w:szCs w:val="1"/>
                <w:color w:val="auto"/>
              </w:rPr>
            </w:pPr>
          </w:p>
        </w:tc>
        <w:tc>
          <w:tcPr>
            <w:tcW w:w="2680" w:type="dxa"/>
            <w:vAlign w:val="bottom"/>
            <w:tcBorders>
              <w:right w:val="single" w:sz="8" w:color="auto"/>
            </w:tcBorders>
            <w:shd w:val="clear" w:color="auto" w:fill="000000"/>
          </w:tcPr>
          <w:p>
            <w:pPr>
              <w:spacing w:after="0" w:line="20" w:lineRule="exact"/>
              <w:rPr>
                <w:sz w:val="1"/>
                <w:szCs w:val="1"/>
                <w:color w:val="auto"/>
              </w:rPr>
            </w:pPr>
          </w:p>
        </w:tc>
      </w:tr>
    </w:tbl>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264"/>
        </w:trPr>
        <w:tc>
          <w:tcPr>
            <w:tcW w:w="318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Threshold</w:t>
            </w:r>
          </w:p>
        </w:tc>
        <w:tc>
          <w:tcPr>
            <w:tcW w:w="1180" w:type="dxa"/>
            <w:vAlign w:val="bottom"/>
            <w:tcBorders>
              <w:bottom w:val="single" w:sz="8" w:color="auto"/>
              <w:right w:val="single" w:sz="8" w:color="auto"/>
            </w:tcBorders>
            <w:shd w:val="clear" w:color="auto" w:fill="7F7F7F"/>
          </w:tcPr>
          <w:p>
            <w:pPr>
              <w:ind w:left="32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2040" w:type="dxa"/>
            <w:vAlign w:val="bottom"/>
            <w:tcBorders>
              <w:bottom w:val="single" w:sz="8" w:color="auto"/>
              <w:right w:val="single" w:sz="8" w:color="auto"/>
            </w:tcBorders>
            <w:shd w:val="clear" w:color="auto" w:fill="7F7F7F"/>
          </w:tcPr>
          <w:p>
            <w:pPr>
              <w:ind w:left="460"/>
              <w:spacing w:after="0"/>
              <w:rPr>
                <w:sz w:val="20"/>
                <w:szCs w:val="20"/>
                <w:color w:val="auto"/>
              </w:rPr>
            </w:pPr>
            <w:r>
              <w:rPr>
                <w:rFonts w:ascii="Times New Roman" w:cs="Times New Roman" w:eastAsia="Times New Roman" w:hAnsi="Times New Roman"/>
                <w:sz w:val="18"/>
                <w:szCs w:val="18"/>
                <w:b w:val="1"/>
                <w:bCs w:val="1"/>
                <w:color w:val="FFFFFF"/>
              </w:rPr>
              <w:t>Stretch Target</w:t>
            </w:r>
          </w:p>
        </w:tc>
        <w:tc>
          <w:tcPr>
            <w:tcW w:w="2680" w:type="dxa"/>
            <w:vAlign w:val="bottom"/>
            <w:tcBorders>
              <w:bottom w:val="single" w:sz="8" w:color="auto"/>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Overachievement (Cap)</w:t>
            </w:r>
          </w:p>
        </w:tc>
      </w:tr>
      <w:tr>
        <w:trPr>
          <w:trHeight w:val="269"/>
        </w:trPr>
        <w:tc>
          <w:tcPr>
            <w:tcW w:w="3180" w:type="dxa"/>
            <w:vAlign w:val="bottom"/>
            <w:tcBorders>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Adjusted EBITDA Margin (40%)</w:t>
            </w:r>
          </w:p>
        </w:tc>
        <w:tc>
          <w:tcPr>
            <w:tcW w:w="194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4.66%</w:t>
            </w:r>
          </w:p>
        </w:tc>
        <w:tc>
          <w:tcPr>
            <w:tcW w:w="1180" w:type="dxa"/>
            <w:vAlign w:val="bottom"/>
            <w:tcBorders>
              <w:bottom w:val="single" w:sz="8" w:color="DBE5F1"/>
              <w:right w:val="single" w:sz="8" w:color="auto"/>
            </w:tcBorders>
            <w:shd w:val="clear" w:color="auto" w:fill="DBE5F1"/>
          </w:tcPr>
          <w:p>
            <w:pPr>
              <w:jc w:val="right"/>
              <w:ind w:right="290"/>
              <w:spacing w:after="0"/>
              <w:rPr>
                <w:sz w:val="20"/>
                <w:szCs w:val="20"/>
                <w:color w:val="auto"/>
              </w:rPr>
            </w:pPr>
            <w:r>
              <w:rPr>
                <w:rFonts w:ascii="Times New Roman" w:cs="Times New Roman" w:eastAsia="Times New Roman" w:hAnsi="Times New Roman"/>
                <w:sz w:val="18"/>
                <w:szCs w:val="18"/>
                <w:color w:val="auto"/>
              </w:rPr>
              <w:t>4.91%</w:t>
            </w:r>
          </w:p>
        </w:tc>
        <w:tc>
          <w:tcPr>
            <w:tcW w:w="2040" w:type="dxa"/>
            <w:vAlign w:val="bottom"/>
            <w:tcBorders>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5.16%</w:t>
            </w:r>
          </w:p>
        </w:tc>
        <w:tc>
          <w:tcPr>
            <w:tcW w:w="2680" w:type="dxa"/>
            <w:vAlign w:val="bottom"/>
            <w:tcBorders>
              <w:bottom w:val="single" w:sz="8" w:color="DBE5F1"/>
              <w:right w:val="single" w:sz="8" w:color="auto"/>
            </w:tcBorders>
            <w:shd w:val="clear" w:color="auto" w:fill="DBE5F1"/>
          </w:tcPr>
          <w:p>
            <w:pPr>
              <w:jc w:val="right"/>
              <w:ind w:right="1030"/>
              <w:spacing w:after="0"/>
              <w:rPr>
                <w:sz w:val="20"/>
                <w:szCs w:val="20"/>
                <w:color w:val="auto"/>
              </w:rPr>
            </w:pPr>
            <w:r>
              <w:rPr>
                <w:rFonts w:ascii="Times New Roman" w:cs="Times New Roman" w:eastAsia="Times New Roman" w:hAnsi="Times New Roman"/>
                <w:sz w:val="18"/>
                <w:szCs w:val="18"/>
                <w:color w:val="auto"/>
              </w:rPr>
              <w:t>5.40%</w:t>
            </w:r>
          </w:p>
        </w:tc>
      </w:tr>
      <w:tr>
        <w:trPr>
          <w:trHeight w:val="263"/>
        </w:trPr>
        <w:tc>
          <w:tcPr>
            <w:tcW w:w="318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Achievement %</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95% of Target</w:t>
            </w:r>
          </w:p>
        </w:tc>
        <w:tc>
          <w:tcPr>
            <w:tcW w:w="1180" w:type="dxa"/>
            <w:vAlign w:val="bottom"/>
            <w:tcBorders>
              <w:top w:val="single" w:sz="8" w:color="auto"/>
              <w:bottom w:val="single" w:sz="8" w:color="DBE5F1"/>
              <w:right w:val="single" w:sz="8" w:color="auto"/>
            </w:tcBorders>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Budget</w:t>
            </w:r>
          </w:p>
        </w:tc>
        <w:tc>
          <w:tcPr>
            <w:tcW w:w="20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105% of Target</w:t>
            </w:r>
          </w:p>
        </w:tc>
        <w:tc>
          <w:tcPr>
            <w:tcW w:w="2680" w:type="dxa"/>
            <w:vAlign w:val="bottom"/>
            <w:tcBorders>
              <w:top w:val="single" w:sz="8" w:color="auto"/>
              <w:bottom w:val="single" w:sz="8" w:color="DBE5F1"/>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7"/>
              </w:rPr>
              <w:t>110% of Target</w:t>
            </w:r>
          </w:p>
        </w:tc>
      </w:tr>
      <w:tr>
        <w:trPr>
          <w:trHeight w:val="243"/>
        </w:trPr>
        <w:tc>
          <w:tcPr>
            <w:tcW w:w="318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8"/>
              </w:rPr>
              <w:t>Payout %</w:t>
            </w:r>
          </w:p>
        </w:tc>
        <w:tc>
          <w:tcPr>
            <w:tcW w:w="1940" w:type="dxa"/>
            <w:vAlign w:val="bottom"/>
            <w:tcBorders>
              <w:top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tcBorders>
              <w:top w:val="single" w:sz="8" w:color="auto"/>
              <w:bottom w:val="single" w:sz="8" w:color="DBE5F1"/>
              <w:right w:val="single" w:sz="8" w:color="auto"/>
            </w:tcBorders>
            <w:shd w:val="clear" w:color="auto" w:fill="DBE5F1"/>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2040" w:type="dxa"/>
            <w:vAlign w:val="bottom"/>
            <w:tcBorders>
              <w:top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150%</w:t>
            </w:r>
          </w:p>
        </w:tc>
        <w:tc>
          <w:tcPr>
            <w:tcW w:w="2680" w:type="dxa"/>
            <w:vAlign w:val="bottom"/>
            <w:tcBorders>
              <w:top w:val="single" w:sz="8" w:color="auto"/>
              <w:bottom w:val="single" w:sz="8" w:color="DBE5F1"/>
              <w:right w:val="single" w:sz="8" w:color="auto"/>
            </w:tcBorders>
            <w:shd w:val="clear" w:color="auto" w:fill="DBE5F1"/>
          </w:tcPr>
          <w:p>
            <w:pPr>
              <w:jc w:val="right"/>
              <w:ind w:right="1050"/>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3180" w:type="dxa"/>
            <w:vAlign w:val="bottom"/>
            <w:tcBorders>
              <w:right w:val="single" w:sz="8" w:color="auto"/>
            </w:tcBorders>
            <w:shd w:val="clear" w:color="auto" w:fill="000000"/>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Borders>
              <w:right w:val="single" w:sz="8" w:color="auto"/>
            </w:tcBorders>
            <w:shd w:val="clear" w:color="auto" w:fill="000000"/>
          </w:tcPr>
          <w:p>
            <w:pPr>
              <w:spacing w:after="0" w:line="20" w:lineRule="exact"/>
              <w:rPr>
                <w:sz w:val="1"/>
                <w:szCs w:val="1"/>
                <w:color w:val="auto"/>
              </w:rPr>
            </w:pPr>
          </w:p>
        </w:tc>
        <w:tc>
          <w:tcPr>
            <w:tcW w:w="2680" w:type="dxa"/>
            <w:vAlign w:val="bottom"/>
            <w:tcBorders>
              <w:right w:val="single" w:sz="8" w:color="auto"/>
            </w:tcBorders>
            <w:shd w:val="clear" w:color="auto" w:fill="000000"/>
          </w:tcPr>
          <w:p>
            <w:pPr>
              <w:spacing w:after="0" w:line="20" w:lineRule="exact"/>
              <w:rPr>
                <w:sz w:val="1"/>
                <w:szCs w:val="1"/>
                <w:color w:val="auto"/>
              </w:rPr>
            </w:pPr>
          </w:p>
        </w:tc>
      </w:tr>
    </w:tbl>
    <w:p>
      <w:pPr>
        <w:spacing w:after="0" w:line="351" w:lineRule="exact"/>
        <w:rPr>
          <w:sz w:val="20"/>
          <w:szCs w:val="20"/>
          <w:color w:val="auto"/>
        </w:rPr>
      </w:pPr>
    </w:p>
    <w:tbl>
      <w:tblPr>
        <w:tblLayout w:type="fixed"/>
        <w:tblInd w:w="100" w:type="dxa"/>
        <w:tblCellMar>
          <w:top w:w="0" w:type="dxa"/>
          <w:left w:w="0" w:type="dxa"/>
          <w:bottom w:w="0" w:type="dxa"/>
          <w:right w:w="0" w:type="dxa"/>
        </w:tblCellMar>
      </w:tblPr>
      <w:tr>
        <w:trPr>
          <w:trHeight w:val="221"/>
        </w:trPr>
        <w:tc>
          <w:tcPr>
            <w:tcW w:w="32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rPr>
              <w:t>Threshold</w:t>
            </w:r>
          </w:p>
        </w:tc>
        <w:tc>
          <w:tcPr>
            <w:tcW w:w="1180" w:type="dxa"/>
            <w:vAlign w:val="bottom"/>
            <w:tcBorders>
              <w:right w:val="single" w:sz="8" w:color="auto"/>
            </w:tcBorders>
            <w:shd w:val="clear" w:color="auto" w:fill="7F7F7F"/>
          </w:tcPr>
          <w:p>
            <w:pPr>
              <w:ind w:left="32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2560" w:type="dxa"/>
            <w:vAlign w:val="bottom"/>
            <w:tcBorders>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Maximum</w:t>
            </w:r>
          </w:p>
        </w:tc>
      </w:tr>
      <w:tr>
        <w:trPr>
          <w:trHeight w:val="265"/>
        </w:trPr>
        <w:tc>
          <w:tcPr>
            <w:tcW w:w="3200" w:type="dxa"/>
            <w:vAlign w:val="bottom"/>
            <w:tcBorders>
              <w:right w:val="single" w:sz="8" w:color="auto"/>
            </w:tcBorders>
          </w:tcPr>
          <w:p>
            <w:pPr>
              <w:spacing w:after="0"/>
              <w:rPr>
                <w:sz w:val="23"/>
                <w:szCs w:val="23"/>
                <w:color w:val="auto"/>
              </w:rPr>
            </w:pPr>
          </w:p>
        </w:tc>
        <w:tc>
          <w:tcPr>
            <w:tcW w:w="1940" w:type="dxa"/>
            <w:vAlign w:val="bottom"/>
            <w:tcBorders>
              <w:bottom w:val="single" w:sz="8" w:color="7F7F7F"/>
              <w:right w:val="single" w:sz="8" w:color="auto"/>
            </w:tcBorders>
            <w:shd w:val="clear" w:color="auto" w:fill="7F7F7F"/>
          </w:tcPr>
          <w:p>
            <w:pPr>
              <w:spacing w:after="0"/>
              <w:rPr>
                <w:sz w:val="23"/>
                <w:szCs w:val="23"/>
                <w:color w:val="auto"/>
              </w:rPr>
            </w:pPr>
          </w:p>
        </w:tc>
        <w:tc>
          <w:tcPr>
            <w:tcW w:w="1180" w:type="dxa"/>
            <w:vAlign w:val="bottom"/>
            <w:tcBorders>
              <w:bottom w:val="single" w:sz="8" w:color="7F7F7F"/>
              <w:right w:val="single" w:sz="8" w:color="auto"/>
            </w:tcBorders>
            <w:shd w:val="clear" w:color="auto" w:fill="7F7F7F"/>
          </w:tcPr>
          <w:p>
            <w:pPr>
              <w:spacing w:after="0"/>
              <w:rPr>
                <w:sz w:val="23"/>
                <w:szCs w:val="23"/>
                <w:color w:val="auto"/>
              </w:rPr>
            </w:pPr>
          </w:p>
        </w:tc>
        <w:tc>
          <w:tcPr>
            <w:tcW w:w="2560" w:type="dxa"/>
            <w:vAlign w:val="bottom"/>
            <w:tcBorders>
              <w:bottom w:val="single" w:sz="8" w:color="7F7F7F"/>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(Cap)</w:t>
            </w:r>
          </w:p>
        </w:tc>
      </w:tr>
      <w:tr>
        <w:trPr>
          <w:trHeight w:val="263"/>
        </w:trPr>
        <w:tc>
          <w:tcPr>
            <w:tcW w:w="320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Net ARR (20%)</w:t>
            </w:r>
          </w:p>
        </w:tc>
        <w:tc>
          <w:tcPr>
            <w:tcW w:w="1940" w:type="dxa"/>
            <w:vAlign w:val="bottom"/>
            <w:tcBorders>
              <w:top w:val="single" w:sz="8" w:color="auto"/>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$125</w:t>
            </w:r>
          </w:p>
        </w:tc>
        <w:tc>
          <w:tcPr>
            <w:tcW w:w="1180" w:type="dxa"/>
            <w:vAlign w:val="bottom"/>
            <w:tcBorders>
              <w:top w:val="single" w:sz="8" w:color="auto"/>
              <w:bottom w:val="single" w:sz="8" w:color="DBE5F1"/>
              <w:right w:val="single" w:sz="8" w:color="auto"/>
            </w:tcBorders>
            <w:shd w:val="clear" w:color="auto" w:fill="DBE5F1"/>
          </w:tcPr>
          <w:p>
            <w:pPr>
              <w:jc w:val="right"/>
              <w:ind w:right="330"/>
              <w:spacing w:after="0"/>
              <w:rPr>
                <w:sz w:val="20"/>
                <w:szCs w:val="20"/>
                <w:color w:val="auto"/>
              </w:rPr>
            </w:pPr>
            <w:r>
              <w:rPr>
                <w:rFonts w:ascii="Times New Roman" w:cs="Times New Roman" w:eastAsia="Times New Roman" w:hAnsi="Times New Roman"/>
                <w:sz w:val="18"/>
                <w:szCs w:val="18"/>
                <w:color w:val="auto"/>
              </w:rPr>
              <w:t>$147</w:t>
            </w:r>
          </w:p>
        </w:tc>
        <w:tc>
          <w:tcPr>
            <w:tcW w:w="2560" w:type="dxa"/>
            <w:vAlign w:val="bottom"/>
            <w:tcBorders>
              <w:top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$169</w:t>
            </w:r>
          </w:p>
        </w:tc>
      </w:tr>
      <w:tr>
        <w:trPr>
          <w:trHeight w:val="263"/>
        </w:trPr>
        <w:tc>
          <w:tcPr>
            <w:tcW w:w="320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Net ARR %</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85% of Target</w:t>
            </w:r>
          </w:p>
        </w:tc>
        <w:tc>
          <w:tcPr>
            <w:tcW w:w="1180" w:type="dxa"/>
            <w:vAlign w:val="bottom"/>
            <w:tcBorders>
              <w:top w:val="single" w:sz="8" w:color="auto"/>
              <w:bottom w:val="single" w:sz="8" w:color="DBE5F1"/>
              <w:right w:val="single" w:sz="8" w:color="auto"/>
            </w:tcBorders>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Budget</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115% of Target</w:t>
            </w:r>
          </w:p>
        </w:tc>
      </w:tr>
      <w:tr>
        <w:trPr>
          <w:trHeight w:val="244"/>
        </w:trPr>
        <w:tc>
          <w:tcPr>
            <w:tcW w:w="3200" w:type="dxa"/>
            <w:vAlign w:val="bottom"/>
            <w:tcBorders>
              <w:top w:val="single" w:sz="8" w:color="auto"/>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8"/>
              </w:rPr>
              <w:t>Payout %</w:t>
            </w:r>
          </w:p>
        </w:tc>
        <w:tc>
          <w:tcPr>
            <w:tcW w:w="1940" w:type="dxa"/>
            <w:vAlign w:val="bottom"/>
            <w:tcBorders>
              <w:top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tcBorders>
              <w:top w:val="single" w:sz="8" w:color="auto"/>
              <w:bottom w:val="single" w:sz="8" w:color="DBE5F1"/>
              <w:right w:val="single" w:sz="8" w:color="auto"/>
            </w:tcBorders>
            <w:shd w:val="clear" w:color="auto" w:fill="DBE5F1"/>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2560" w:type="dxa"/>
            <w:vAlign w:val="bottom"/>
            <w:tcBorders>
              <w:top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3200" w:type="dxa"/>
            <w:vAlign w:val="bottom"/>
            <w:tcBorders>
              <w:right w:val="single" w:sz="8" w:color="auto"/>
            </w:tcBorders>
            <w:shd w:val="clear" w:color="auto" w:fill="000000"/>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5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6" w:right="339" w:bottom="1440" w:gutter="0" w:footer="0" w:header="0"/>
        </w:sectPr>
      </w:pPr>
    </w:p>
    <w:bookmarkStart w:id="69" w:name="page70"/>
    <w:bookmarkEnd w:id="69"/>
    <w:p>
      <w:pPr>
        <w:ind w:left="9660"/>
        <w:spacing w:after="0"/>
        <w:rPr>
          <w:sz w:val="20"/>
          <w:szCs w:val="20"/>
          <w:color w:val="auto"/>
        </w:rPr>
      </w:pPr>
      <w:r>
        <w:rPr>
          <w:rFonts w:ascii="Times New Roman" w:cs="Times New Roman" w:eastAsia="Times New Roman" w:hAnsi="Times New Roman"/>
          <w:sz w:val="21"/>
          <w:szCs w:val="21"/>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order to calculate the overall percentage of APIP Shares that may become vested, the performance for each metric will be calculated and then multiplied by the metric’s applicable weighted percentage as shown in the charts above. With respect to the APIP Shares, the aggregate performance vesting percentage across all metrics is capped at 100%. The following table sets forth several examples of calculation of the aggregate performance vesting percentage based on different levels of achievement of each metric.</w:t>
      </w:r>
    </w:p>
    <w:p>
      <w:pPr>
        <w:spacing w:after="0" w:line="200" w:lineRule="exact"/>
        <w:rPr>
          <w:sz w:val="20"/>
          <w:szCs w:val="20"/>
          <w:color w:val="auto"/>
        </w:rPr>
      </w:pPr>
    </w:p>
    <w:p>
      <w:pPr>
        <w:spacing w:after="0" w:line="272" w:lineRule="exact"/>
        <w:rPr>
          <w:sz w:val="20"/>
          <w:szCs w:val="20"/>
          <w:color w:val="auto"/>
        </w:rPr>
      </w:pPr>
    </w:p>
    <w:tbl>
      <w:tblPr>
        <w:tblLayout w:type="fixed"/>
        <w:tblInd w:w="110" w:type="dxa"/>
        <w:tblCellMar>
          <w:top w:w="0" w:type="dxa"/>
          <w:left w:w="0" w:type="dxa"/>
          <w:bottom w:w="0" w:type="dxa"/>
          <w:right w:w="0" w:type="dxa"/>
        </w:tblCellMar>
      </w:tblPr>
      <w:tr>
        <w:trPr>
          <w:trHeight w:val="289"/>
        </w:trPr>
        <w:tc>
          <w:tcPr>
            <w:tcW w:w="3280" w:type="dxa"/>
            <w:vAlign w:val="bottom"/>
            <w:tcBorders>
              <w:top w:val="single" w:sz="8" w:color="auto"/>
              <w:left w:val="single" w:sz="8" w:color="auto"/>
              <w:bottom w:val="single" w:sz="8" w:color="7F7F7F"/>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Metric</w:t>
            </w:r>
          </w:p>
        </w:tc>
        <w:tc>
          <w:tcPr>
            <w:tcW w:w="2300" w:type="dxa"/>
            <w:vAlign w:val="bottom"/>
            <w:tcBorders>
              <w:top w:val="single" w:sz="8" w:color="auto"/>
              <w:bottom w:val="single" w:sz="8" w:color="7F7F7F"/>
              <w:right w:val="single" w:sz="8" w:color="auto"/>
            </w:tcBorders>
            <w:shd w:val="clear" w:color="auto" w:fill="7F7F7F"/>
          </w:tcPr>
          <w:p>
            <w:pPr>
              <w:ind w:left="180"/>
              <w:spacing w:after="0"/>
              <w:rPr>
                <w:sz w:val="20"/>
                <w:szCs w:val="20"/>
                <w:color w:val="auto"/>
              </w:rPr>
            </w:pPr>
            <w:r>
              <w:rPr>
                <w:rFonts w:ascii="Times New Roman" w:cs="Times New Roman" w:eastAsia="Times New Roman" w:hAnsi="Times New Roman"/>
                <w:sz w:val="18"/>
                <w:szCs w:val="18"/>
                <w:b w:val="1"/>
                <w:bCs w:val="1"/>
                <w:color w:val="FFFFFF"/>
              </w:rPr>
              <w:t>Performance (example 1)</w:t>
            </w:r>
          </w:p>
        </w:tc>
        <w:tc>
          <w:tcPr>
            <w:tcW w:w="2780" w:type="dxa"/>
            <w:vAlign w:val="bottom"/>
            <w:tcBorders>
              <w:top w:val="single" w:sz="8" w:color="auto"/>
              <w:bottom w:val="single" w:sz="8" w:color="7F7F7F"/>
              <w:right w:val="single" w:sz="8" w:color="auto"/>
            </w:tcBorders>
            <w:shd w:val="clear" w:color="auto" w:fill="7F7F7F"/>
          </w:tcPr>
          <w:p>
            <w:pPr>
              <w:ind w:left="420"/>
              <w:spacing w:after="0"/>
              <w:rPr>
                <w:sz w:val="20"/>
                <w:szCs w:val="20"/>
                <w:color w:val="auto"/>
              </w:rPr>
            </w:pPr>
            <w:r>
              <w:rPr>
                <w:rFonts w:ascii="Times New Roman" w:cs="Times New Roman" w:eastAsia="Times New Roman" w:hAnsi="Times New Roman"/>
                <w:sz w:val="18"/>
                <w:szCs w:val="18"/>
                <w:b w:val="1"/>
                <w:bCs w:val="1"/>
                <w:color w:val="FFFFFF"/>
              </w:rPr>
              <w:t>Performance (example 2)</w:t>
            </w:r>
          </w:p>
        </w:tc>
        <w:tc>
          <w:tcPr>
            <w:tcW w:w="2780" w:type="dxa"/>
            <w:vAlign w:val="bottom"/>
            <w:tcBorders>
              <w:top w:val="single" w:sz="8" w:color="auto"/>
              <w:bottom w:val="single" w:sz="8" w:color="7F7F7F"/>
              <w:right w:val="single" w:sz="8" w:color="auto"/>
            </w:tcBorders>
            <w:shd w:val="clear" w:color="auto" w:fill="7F7F7F"/>
          </w:tcPr>
          <w:p>
            <w:pPr>
              <w:ind w:left="420"/>
              <w:spacing w:after="0"/>
              <w:rPr>
                <w:sz w:val="20"/>
                <w:szCs w:val="20"/>
                <w:color w:val="auto"/>
              </w:rPr>
            </w:pPr>
            <w:r>
              <w:rPr>
                <w:rFonts w:ascii="Times New Roman" w:cs="Times New Roman" w:eastAsia="Times New Roman" w:hAnsi="Times New Roman"/>
                <w:sz w:val="18"/>
                <w:szCs w:val="18"/>
                <w:b w:val="1"/>
                <w:bCs w:val="1"/>
                <w:color w:val="FFFFFF"/>
              </w:rPr>
              <w:t>Performance (example 3)</w:t>
            </w:r>
          </w:p>
        </w:tc>
      </w:tr>
      <w:tr>
        <w:trPr>
          <w:trHeight w:val="182"/>
        </w:trPr>
        <w:tc>
          <w:tcPr>
            <w:tcW w:w="3280" w:type="dxa"/>
            <w:vAlign w:val="bottom"/>
            <w:tcBorders>
              <w:top w:val="single" w:sz="8" w:color="auto"/>
              <w:left w:val="single" w:sz="8" w:color="auto"/>
              <w:right w:val="single" w:sz="8" w:color="auto"/>
            </w:tcBorders>
            <w:shd w:val="clear" w:color="auto" w:fill="7F7F7F"/>
          </w:tcPr>
          <w:p>
            <w:pPr>
              <w:jc w:val="center"/>
              <w:spacing w:after="0" w:line="182" w:lineRule="exact"/>
              <w:rPr>
                <w:sz w:val="20"/>
                <w:szCs w:val="20"/>
                <w:color w:val="auto"/>
              </w:rPr>
            </w:pPr>
            <w:r>
              <w:rPr>
                <w:rFonts w:ascii="Arial" w:cs="Arial" w:eastAsia="Arial" w:hAnsi="Arial"/>
                <w:sz w:val="18"/>
                <w:szCs w:val="18"/>
                <w:color w:val="FFFFFF"/>
                <w:w w:val="99"/>
              </w:rPr>
              <w:t>Adjusted Revenue metric (weighted</w:t>
            </w:r>
          </w:p>
        </w:tc>
        <w:tc>
          <w:tcPr>
            <w:tcW w:w="2300" w:type="dxa"/>
            <w:vAlign w:val="bottom"/>
            <w:tcBorders>
              <w:top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125%</w:t>
            </w:r>
          </w:p>
        </w:tc>
        <w:tc>
          <w:tcPr>
            <w:tcW w:w="2780" w:type="dxa"/>
            <w:vAlign w:val="bottom"/>
            <w:tcBorders>
              <w:top w:val="single" w:sz="8" w:color="auto"/>
              <w:right w:val="single" w:sz="8" w:color="auto"/>
            </w:tcBorders>
            <w:shd w:val="clear" w:color="auto" w:fill="DBE5F1"/>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25%</w:t>
            </w:r>
          </w:p>
        </w:tc>
        <w:tc>
          <w:tcPr>
            <w:tcW w:w="2780" w:type="dxa"/>
            <w:vAlign w:val="bottom"/>
            <w:tcBorders>
              <w:top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105%</w:t>
            </w:r>
          </w:p>
        </w:tc>
      </w:tr>
      <w:tr>
        <w:trPr>
          <w:trHeight w:val="230"/>
        </w:trPr>
        <w:tc>
          <w:tcPr>
            <w:tcW w:w="3280" w:type="dxa"/>
            <w:vAlign w:val="bottom"/>
            <w:tcBorders>
              <w:left w:val="single" w:sz="8" w:color="auto"/>
              <w:bottom w:val="single" w:sz="8" w:color="auto"/>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40%)</w:t>
            </w:r>
          </w:p>
        </w:tc>
        <w:tc>
          <w:tcPr>
            <w:tcW w:w="230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shd w:val="clear" w:color="auto" w:fill="DBE5F1"/>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r>
      <w:tr>
        <w:trPr>
          <w:trHeight w:val="182"/>
        </w:trPr>
        <w:tc>
          <w:tcPr>
            <w:tcW w:w="3280" w:type="dxa"/>
            <w:vAlign w:val="bottom"/>
            <w:tcBorders>
              <w:left w:val="single" w:sz="8" w:color="auto"/>
              <w:right w:val="single" w:sz="8" w:color="auto"/>
            </w:tcBorders>
            <w:shd w:val="clear" w:color="auto" w:fill="7F7F7F"/>
          </w:tcPr>
          <w:p>
            <w:pPr>
              <w:jc w:val="center"/>
              <w:spacing w:after="0" w:line="182" w:lineRule="exact"/>
              <w:rPr>
                <w:sz w:val="20"/>
                <w:szCs w:val="20"/>
                <w:color w:val="auto"/>
              </w:rPr>
            </w:pPr>
            <w:r>
              <w:rPr>
                <w:rFonts w:ascii="Arial" w:cs="Arial" w:eastAsia="Arial" w:hAnsi="Arial"/>
                <w:sz w:val="18"/>
                <w:szCs w:val="18"/>
                <w:color w:val="FFFFFF"/>
                <w:w w:val="99"/>
              </w:rPr>
              <w:t>Adjusted EBITDA Margin metric</w:t>
            </w:r>
          </w:p>
        </w:tc>
        <w:tc>
          <w:tcPr>
            <w:tcW w:w="23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75%</w:t>
            </w:r>
          </w:p>
        </w:tc>
        <w:tc>
          <w:tcPr>
            <w:tcW w:w="2780" w:type="dxa"/>
            <w:vAlign w:val="bottom"/>
            <w:tcBorders>
              <w:right w:val="single" w:sz="8" w:color="auto"/>
            </w:tcBorders>
            <w:shd w:val="clear" w:color="auto" w:fill="DBE5F1"/>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100%</w:t>
            </w:r>
          </w:p>
        </w:tc>
        <w:tc>
          <w:tcPr>
            <w:tcW w:w="27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3280" w:type="dxa"/>
            <w:vAlign w:val="bottom"/>
            <w:tcBorders>
              <w:left w:val="single" w:sz="8" w:color="auto"/>
              <w:bottom w:val="single" w:sz="8" w:color="auto"/>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achievement (weighted 40%)</w:t>
            </w:r>
          </w:p>
        </w:tc>
        <w:tc>
          <w:tcPr>
            <w:tcW w:w="230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shd w:val="clear" w:color="auto" w:fill="DBE5F1"/>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r>
      <w:tr>
        <w:trPr>
          <w:trHeight w:val="183"/>
        </w:trPr>
        <w:tc>
          <w:tcPr>
            <w:tcW w:w="3280" w:type="dxa"/>
            <w:vAlign w:val="bottom"/>
            <w:tcBorders>
              <w:left w:val="single" w:sz="8" w:color="auto"/>
              <w:right w:val="single" w:sz="8" w:color="auto"/>
            </w:tcBorders>
            <w:shd w:val="clear" w:color="auto" w:fill="7F7F7F"/>
          </w:tcPr>
          <w:p>
            <w:pPr>
              <w:jc w:val="center"/>
              <w:spacing w:after="0" w:line="182" w:lineRule="exact"/>
              <w:rPr>
                <w:sz w:val="20"/>
                <w:szCs w:val="20"/>
                <w:color w:val="auto"/>
              </w:rPr>
            </w:pPr>
            <w:r>
              <w:rPr>
                <w:rFonts w:ascii="Arial" w:cs="Arial" w:eastAsia="Arial" w:hAnsi="Arial"/>
                <w:sz w:val="18"/>
                <w:szCs w:val="18"/>
                <w:color w:val="FFFFFF"/>
              </w:rPr>
              <w:t>Net ARR Activity metric: 100%</w:t>
            </w:r>
          </w:p>
        </w:tc>
        <w:tc>
          <w:tcPr>
            <w:tcW w:w="23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100%</w:t>
            </w:r>
          </w:p>
        </w:tc>
        <w:tc>
          <w:tcPr>
            <w:tcW w:w="2780" w:type="dxa"/>
            <w:vAlign w:val="bottom"/>
            <w:tcBorders>
              <w:right w:val="single" w:sz="8" w:color="auto"/>
            </w:tcBorders>
            <w:shd w:val="clear" w:color="auto" w:fill="DBE5F1"/>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100%</w:t>
            </w:r>
          </w:p>
        </w:tc>
        <w:tc>
          <w:tcPr>
            <w:tcW w:w="27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110%</w:t>
            </w:r>
          </w:p>
        </w:tc>
      </w:tr>
      <w:tr>
        <w:trPr>
          <w:trHeight w:val="229"/>
        </w:trPr>
        <w:tc>
          <w:tcPr>
            <w:tcW w:w="3280" w:type="dxa"/>
            <w:vAlign w:val="bottom"/>
            <w:tcBorders>
              <w:left w:val="single" w:sz="8" w:color="auto"/>
              <w:bottom w:val="single" w:sz="8" w:color="auto"/>
              <w:right w:val="single" w:sz="8" w:color="auto"/>
            </w:tcBorders>
            <w:shd w:val="clear" w:color="auto" w:fill="7F7F7F"/>
          </w:tcPr>
          <w:p>
            <w:pPr>
              <w:jc w:val="center"/>
              <w:spacing w:after="0"/>
              <w:rPr>
                <w:sz w:val="20"/>
                <w:szCs w:val="20"/>
                <w:color w:val="auto"/>
              </w:rPr>
            </w:pPr>
            <w:r>
              <w:rPr>
                <w:rFonts w:ascii="Arial" w:cs="Arial" w:eastAsia="Arial" w:hAnsi="Arial"/>
                <w:sz w:val="18"/>
                <w:szCs w:val="18"/>
                <w:color w:val="FFFFFF"/>
                <w:w w:val="99"/>
              </w:rPr>
              <w:t>(weighted 20%)</w:t>
            </w:r>
          </w:p>
        </w:tc>
        <w:tc>
          <w:tcPr>
            <w:tcW w:w="230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shd w:val="clear" w:color="auto" w:fill="DBE5F1"/>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r>
      <w:tr>
        <w:trPr>
          <w:trHeight w:val="412"/>
        </w:trPr>
        <w:tc>
          <w:tcPr>
            <w:tcW w:w="3280" w:type="dxa"/>
            <w:vAlign w:val="bottom"/>
            <w:tcBorders>
              <w:left w:val="single" w:sz="8" w:color="auto"/>
              <w:bottom w:val="single" w:sz="8" w:color="auto"/>
              <w:right w:val="single" w:sz="8" w:color="auto"/>
            </w:tcBorders>
            <w:shd w:val="clear" w:color="auto" w:fill="7F7F7F"/>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shd w:val="clear" w:color="auto" w:fill="DBE5F1"/>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r>
      <w:tr>
        <w:trPr>
          <w:trHeight w:val="243"/>
        </w:trPr>
        <w:tc>
          <w:tcPr>
            <w:tcW w:w="3280" w:type="dxa"/>
            <w:vAlign w:val="bottom"/>
            <w:tcBorders>
              <w:left w:val="single" w:sz="8" w:color="auto"/>
              <w:bottom w:val="single" w:sz="8" w:color="7F7F7F"/>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Aggregate Performance Vesting %</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780" w:type="dxa"/>
            <w:vAlign w:val="bottom"/>
            <w:tcBorders>
              <w:bottom w:val="single" w:sz="8" w:color="DBE5F1"/>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w:t>
            </w:r>
          </w:p>
        </w:tc>
      </w:tr>
      <w:tr>
        <w:trPr>
          <w:trHeight w:val="20"/>
        </w:trPr>
        <w:tc>
          <w:tcPr>
            <w:tcW w:w="3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300" w:type="dxa"/>
            <w:vAlign w:val="bottom"/>
            <w:tcBorders>
              <w:right w:val="single" w:sz="8" w:color="auto"/>
            </w:tcBorders>
            <w:shd w:val="clear" w:color="auto" w:fill="000000"/>
          </w:tcPr>
          <w:p>
            <w:pPr>
              <w:spacing w:after="0" w:line="20" w:lineRule="exact"/>
              <w:rPr>
                <w:sz w:val="1"/>
                <w:szCs w:val="1"/>
                <w:color w:val="auto"/>
              </w:rPr>
            </w:pPr>
          </w:p>
        </w:tc>
        <w:tc>
          <w:tcPr>
            <w:tcW w:w="2780" w:type="dxa"/>
            <w:vAlign w:val="bottom"/>
            <w:tcBorders>
              <w:right w:val="single" w:sz="8" w:color="auto"/>
            </w:tcBorders>
            <w:shd w:val="clear" w:color="auto" w:fill="000000"/>
          </w:tcPr>
          <w:p>
            <w:pPr>
              <w:spacing w:after="0" w:line="20" w:lineRule="exact"/>
              <w:rPr>
                <w:sz w:val="1"/>
                <w:szCs w:val="1"/>
                <w:color w:val="auto"/>
              </w:rPr>
            </w:pPr>
          </w:p>
        </w:tc>
        <w:tc>
          <w:tcPr>
            <w:tcW w:w="2780" w:type="dxa"/>
            <w:vAlign w:val="bottom"/>
            <w:tcBorders>
              <w:right w:val="single" w:sz="8" w:color="auto"/>
            </w:tcBorders>
            <w:shd w:val="clear" w:color="auto" w:fill="000000"/>
          </w:tcPr>
          <w:p>
            <w:pPr>
              <w:spacing w:after="0" w:line="20" w:lineRule="exact"/>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*Note that the aggregate performance vesting percentage is capped at 100% even though the weighted average of the three metrics exceeded 100%.</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6"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August 6, 2025</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18859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2"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Giles Goodburn, certify that:</w:t>
      </w:r>
    </w:p>
    <w:p>
      <w:pPr>
        <w:spacing w:after="0" w:line="198"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GILES GOODBURN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632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Giles Goodburn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2"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5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the Quarterly Report on Form 10-Q of Conduent Incorporated, a New York corporation (the “Company”), for the quarter ended June 30, 2025, as filed with the Securities and Exchange Commission on the date hereof (the “Report”), Clifford Skelton, Chief Executive Officer of the Company, and Giles Goodburn, Chief Financial Officer of the Company, each hereby certifies, pursuant to 18 U.S.C. § 1350, as adopted pursuant to § 906 of the Sarbanes-Oxley Act of 2002, to the best of his/her knowledge, that:</w:t>
      </w:r>
    </w:p>
    <w:p>
      <w:pPr>
        <w:spacing w:after="0" w:line="149"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340" w:right="340" w:hanging="332"/>
        <w:spacing w:after="0" w:line="266" w:lineRule="auto"/>
        <w:tabs>
          <w:tab w:leader="none" w:pos="3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August 6, 2025</w:t>
      </w: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GILES GOODBURN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Giles Goodburn</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August 6, 2025</w:t>
      </w:r>
    </w:p>
    <w:p>
      <w:pPr>
        <w:spacing w:after="0" w:line="34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1)"/>
      <w:numFmt w:val="decimal"/>
      <w:start w:val="1"/>
    </w:lvl>
  </w:abstractNum>
  <w:abstractNum w:abstractNumId="10">
    <w:nsid w:val="2CD89A32"/>
    <w:multiLevelType w:val="hybridMultilevel"/>
    <w:lvl w:ilvl="0">
      <w:lvlJc w:val="left"/>
      <w:lvlText w:val="(%1)"/>
      <w:numFmt w:val="decimal"/>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endash "/>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1)"/>
      <w:numFmt w:val="lowerLetter"/>
      <w:start w:val="1"/>
    </w:lvl>
  </w:abstractNum>
  <w:abstractNum w:abstractNumId="19">
    <w:nsid w:val="684A481A"/>
    <w:multiLevelType w:val="hybridMultilevel"/>
    <w:lvl w:ilvl="0">
      <w:lvlJc w:val="left"/>
      <w:lvlText w:val="(%1)"/>
      <w:numFmt w:val="lowerLetter"/>
      <w:start w:val="2"/>
    </w:lvl>
  </w:abstractNum>
  <w:abstractNum w:abstractNumId="20">
    <w:nsid w:val="579478FE"/>
    <w:multiLevelType w:val="hybridMultilevel"/>
    <w:lvl w:ilvl="0">
      <w:lvlJc w:val="left"/>
      <w:lvlText w:val="(%1)"/>
      <w:numFmt w:val="lowerLetter"/>
      <w:start w:val="1"/>
    </w:lvl>
  </w:abstractNum>
  <w:abstractNum w:abstractNumId="21">
    <w:nsid w:val="749ABB43"/>
    <w:multiLevelType w:val="hybridMultilevel"/>
    <w:lvl w:ilvl="0">
      <w:lvlJc w:val="left"/>
      <w:lvlText w:val="(%1)"/>
      <w:numFmt w:val="lowerLetter"/>
      <w:start w:val="2"/>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101"/>
    </w:lvl>
  </w:abstractNum>
  <w:abstractNum w:abstractNumId="24">
    <w:nsid w:val="79A1DEAA"/>
    <w:multiLevelType w:val="hybridMultilevel"/>
    <w:lvl w:ilvl="0">
      <w:lvlJc w:val="left"/>
      <w:lvlText w:val="%1"/>
      <w:numFmt w:val="decimal"/>
      <w:start w:val="104"/>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2"/>
    </w:lvl>
  </w:abstractNum>
  <w:abstractNum w:abstractNumId="29">
    <w:nsid w:val="374A3FE6"/>
    <w:multiLevelType w:val="hybridMultilevel"/>
    <w:lvl w:ilvl="0">
      <w:lvlJc w:val="left"/>
      <w:lvlText w:val="%1."/>
      <w:numFmt w:val="decimal"/>
      <w:start w:val="4"/>
    </w:lvl>
  </w:abstractNum>
  <w:abstractNum w:abstractNumId="30">
    <w:nsid w:val="4F4EF00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1">
    <w:nsid w:val="23F9C13C"/>
    <w:multiLevelType w:val="hybridMultilevel"/>
    <w:lvl w:ilvl="0">
      <w:lvlJc w:val="left"/>
      <w:lvlText w:val="(%1)"/>
      <w:numFmt w:val="lowerRoman"/>
      <w:start w:val="2"/>
    </w:lvl>
  </w:abstractNum>
  <w:abstractNum w:abstractNumId="32">
    <w:nsid w:val="649BB77C"/>
    <w:multiLevelType w:val="hybridMultilevel"/>
    <w:lvl w:ilvl="0">
      <w:lvlJc w:val="left"/>
      <w:lvlText w:val="%1"/>
      <w:numFmt w:val="lowerLetter"/>
      <w:start w:val="1"/>
    </w:lvl>
    <w:lvl w:ilvl="1">
      <w:lvlJc w:val="left"/>
      <w:lvlText w:val="(%2)"/>
      <w:numFmt w:val="lowerRoman"/>
      <w:start w:val="6"/>
    </w:lvl>
  </w:abstractNum>
  <w:abstractNum w:abstractNumId="33">
    <w:nsid w:val="275AC794"/>
    <w:multiLevelType w:val="hybridMultilevel"/>
    <w:lvl w:ilvl="0">
      <w:lvlJc w:val="left"/>
      <w:lvlText w:val="(%1)"/>
      <w:numFmt w:val="lowerLetter"/>
      <w:start w:val="2"/>
    </w:lvl>
    <w:lvl w:ilvl="1">
      <w:lvlJc w:val="left"/>
      <w:lvlText w:val="%2"/>
      <w:numFmt w:val="lowerRoman"/>
      <w:start w:val="1"/>
    </w:lvl>
  </w:abstractNum>
  <w:abstractNum w:abstractNumId="34">
    <w:nsid w:val="39386575"/>
    <w:multiLevelType w:val="hybridMultilevel"/>
    <w:lvl w:ilvl="0">
      <w:lvlJc w:val="left"/>
      <w:lvlText w:val="(%1)"/>
      <w:numFmt w:val="lowerRoman"/>
      <w:start w:val="2"/>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1"/>
    </w:lvl>
    <w:lvl w:ilvl="1">
      <w:lvlJc w:val="left"/>
      <w:lvlText w:val="(%2)"/>
      <w:numFmt w:val="lowerLetter"/>
      <w:start w:val="3"/>
    </w:lvl>
  </w:abstractNum>
  <w:abstractNum w:abstractNumId="37">
    <w:nsid w:val="235BA861"/>
    <w:multiLevelType w:val="hybridMultilevel"/>
    <w:lvl w:ilvl="0">
      <w:lvlJc w:val="left"/>
      <w:lvlText w:val="%1."/>
      <w:numFmt w:val="decimal"/>
      <w:start w:val="9"/>
    </w:lvl>
    <w:lvl w:ilvl="1">
      <w:lvlJc w:val="left"/>
      <w:lvlText w:val="(%2)"/>
      <w:numFmt w:val="lowerLetter"/>
      <w:start w:val="1"/>
    </w:lvl>
  </w:abstractNum>
  <w:abstractNum w:abstractNumId="38">
    <w:nsid w:val="47398C89"/>
    <w:multiLevelType w:val="hybridMultilevel"/>
    <w:lvl w:ilvl="0">
      <w:lvlJc w:val="left"/>
      <w:lvlText w:val="%1"/>
      <w:numFmt w:val="decimal"/>
      <w:start w:val="1"/>
    </w:lvl>
    <w:lvl w:ilvl="1">
      <w:lvlJc w:val="left"/>
      <w:lvlText w:val="(%2)"/>
      <w:numFmt w:val="lowerLetter"/>
      <w:start w:val="2"/>
    </w:lvl>
  </w:abstractNum>
  <w:abstractNum w:abstractNumId="39">
    <w:nsid w:val="354FE9F9"/>
    <w:multiLevelType w:val="hybridMultilevel"/>
    <w:lvl w:ilvl="0">
      <w:lvlJc w:val="left"/>
      <w:lvlText w:val="%1."/>
      <w:numFmt w:val="decimal"/>
      <w:start w:val="11"/>
    </w:lvl>
    <w:lvl w:ilvl="1">
      <w:lvlJc w:val="left"/>
      <w:lvlText w:val="(%2)"/>
      <w:numFmt w:val="lowerLetter"/>
      <w:start w:val="1"/>
    </w:lvl>
  </w:abstractNum>
  <w:abstractNum w:abstractNumId="40">
    <w:nsid w:val="15B5AF5C"/>
    <w:multiLevelType w:val="hybridMultilevel"/>
    <w:lvl w:ilvl="0">
      <w:lvlJc w:val="left"/>
      <w:lvlText w:val="%1"/>
      <w:numFmt w:val="decimal"/>
      <w:start w:val="1"/>
    </w:lvl>
    <w:lvl w:ilvl="1">
      <w:lvlJc w:val="left"/>
      <w:lvlText w:val="(%2)"/>
      <w:numFmt w:val="lowerLetter"/>
      <w:start w:val="4"/>
    </w:lvl>
  </w:abstractNum>
  <w:abstractNum w:abstractNumId="41">
    <w:nsid w:val="741226BB"/>
    <w:multiLevelType w:val="hybridMultilevel"/>
    <w:lvl w:ilvl="0">
      <w:lvlJc w:val="left"/>
      <w:lvlText w:val="%1."/>
      <w:numFmt w:val="decimal"/>
      <w:start w:val="12"/>
    </w:lvl>
    <w:lvl w:ilvl="1">
      <w:lvlJc w:val="left"/>
      <w:lvlText w:val="%2"/>
      <w:numFmt w:val="lowerLetter"/>
      <w:start w:val="1"/>
    </w:lvl>
  </w:abstractNum>
  <w:abstractNum w:abstractNumId="42">
    <w:nsid w:val="D34B6A8"/>
    <w:multiLevelType w:val="hybridMultilevel"/>
    <w:lvl w:ilvl="0">
      <w:lvlJc w:val="left"/>
      <w:lvlText w:val="%1."/>
      <w:numFmt w:val="decimal"/>
      <w:start w:val="14"/>
    </w:lvl>
  </w:abstractNum>
  <w:abstractNum w:abstractNumId="43">
    <w:nsid w:val="10233C99"/>
    <w:multiLevelType w:val="hybridMultilevel"/>
    <w:lvl w:ilvl="0">
      <w:lvlJc w:val="left"/>
      <w:lvlText w:val="%1."/>
      <w:numFmt w:val="decimal"/>
      <w:start w:val="17"/>
    </w:lvl>
    <w:lvl w:ilvl="1">
      <w:lvlJc w:val="left"/>
      <w:lvlText w:val="(%2)"/>
      <w:numFmt w:val="lowerLetter"/>
      <w:start w:val="1"/>
    </w:lvl>
  </w:abstractNum>
  <w:abstractNum w:abstractNumId="44">
    <w:nsid w:val="3F6AB60F"/>
    <w:multiLevelType w:val="hybridMultilevel"/>
    <w:lvl w:ilvl="0">
      <w:lvlJc w:val="left"/>
      <w:lvlText w:val="%1"/>
      <w:numFmt w:val="decimal"/>
      <w:start w:val="1"/>
    </w:lvl>
    <w:lvl w:ilvl="1">
      <w:lvlJc w:val="left"/>
      <w:lvlText w:val="(%2)"/>
      <w:numFmt w:val="lowerLetter"/>
      <w:start w:val="3"/>
    </w:lvl>
  </w:abstractNum>
  <w:abstractNum w:abstractNumId="45">
    <w:nsid w:val="61574095"/>
    <w:multiLevelType w:val="hybridMultilevel"/>
    <w:lvl w:ilvl="0">
      <w:lvlJc w:val="left"/>
      <w:lvlText w:val="%1."/>
      <w:numFmt w:val="decimal"/>
      <w:start w:val="18"/>
    </w:lvl>
    <w:lvl w:ilvl="1">
      <w:lvlJc w:val="left"/>
      <w:lvlText w:val="%2"/>
      <w:numFmt w:val="lowerLetter"/>
      <w:start w:val="1"/>
    </w:lvl>
  </w:abstractNum>
  <w:abstractNum w:abstractNumId="46">
    <w:nsid w:val="7E0C57B1"/>
    <w:multiLevelType w:val="hybridMultilevel"/>
    <w:lvl w:ilvl="0">
      <w:lvlJc w:val="left"/>
      <w:lvlText w:val="%1."/>
      <w:numFmt w:val="decimal"/>
      <w:start w:val="23"/>
    </w:lvl>
  </w:abstractNum>
  <w:abstractNum w:abstractNumId="47">
    <w:nsid w:val="77AE35EB"/>
    <w:multiLevelType w:val="hybridMultilevel"/>
    <w:lvl w:ilvl="0">
      <w:lvlJc w:val="left"/>
      <w:lvlText w:val="%1."/>
      <w:numFmt w:val="decimal"/>
      <w:start w:val="25"/>
    </w:lvl>
    <w:lvl w:ilvl="1">
      <w:lvlJc w:val="left"/>
      <w:lvlText w:val="(%2)"/>
      <w:numFmt w:val="lowerLetter"/>
      <w:start w:val="1"/>
    </w:lvl>
  </w:abstractNum>
  <w:abstractNum w:abstractNumId="48">
    <w:nsid w:val="579BE4F1"/>
    <w:multiLevelType w:val="hybridMultilevel"/>
    <w:lvl w:ilvl="0">
      <w:lvlJc w:val="left"/>
      <w:lvlText w:val="%1"/>
      <w:numFmt w:val="decimal"/>
      <w:start w:val="1"/>
    </w:lvl>
    <w:lvl w:ilvl="1">
      <w:lvlJc w:val="left"/>
      <w:lvlText w:val="(%2)"/>
      <w:numFmt w:val="lowerLetter"/>
      <w:start w:val="2"/>
    </w:lvl>
  </w:abstractNum>
  <w:abstractNum w:abstractNumId="49">
    <w:nsid w:val="310C50B3"/>
    <w:multiLevelType w:val="hybridMultilevel"/>
    <w:lvl w:ilvl="0">
      <w:lvlJc w:val="left"/>
      <w:lvlText w:val="%1."/>
      <w:numFmt w:val="decimal"/>
      <w:start w:val="26"/>
    </w:lvl>
    <w:lvl w:ilvl="1">
      <w:lvlJc w:val="left"/>
      <w:lvlText w:val="%2"/>
      <w:numFmt w:val="lowerLetter"/>
      <w:start w:val="1"/>
    </w:lvl>
  </w:abstractNum>
  <w:abstractNum w:abstractNumId="50">
    <w:nsid w:val="5FF87E05"/>
    <w:multiLevelType w:val="hybridMultilevel"/>
    <w:lvl w:ilvl="0">
      <w:lvlJc w:val="left"/>
      <w:lvlText w:val="%1."/>
      <w:numFmt w:val="decimal"/>
      <w:start w:val="27"/>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1."/>
      <w:numFmt w:val="decimal"/>
      <w:start w:val="2"/>
    </w:lvl>
  </w:abstractNum>
  <w:abstractNum w:abstractNumId="53">
    <w:nsid w:val="1DBABF00"/>
    <w:multiLevelType w:val="hybridMultilevel"/>
    <w:lvl w:ilvl="0">
      <w:lvlJc w:val="left"/>
      <w:lvlText w:val="%1."/>
      <w:numFmt w:val="decimal"/>
      <w:start w:val="4"/>
    </w:lvl>
  </w:abstractNum>
  <w:abstractNum w:abstractNumId="54">
    <w:nsid w:val="4AD084E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55">
    <w:nsid w:val="1F48EAA1"/>
    <w:multiLevelType w:val="hybridMultilevel"/>
    <w:lvl w:ilvl="0">
      <w:lvlJc w:val="left"/>
      <w:lvlText w:val="(%1)"/>
      <w:numFmt w:val="lowerRoman"/>
      <w:start w:val="2"/>
    </w:lvl>
  </w:abstractNum>
  <w:abstractNum w:abstractNumId="56">
    <w:nsid w:val="1381823A"/>
    <w:multiLevelType w:val="hybridMultilevel"/>
    <w:lvl w:ilvl="0">
      <w:lvlJc w:val="left"/>
      <w:lvlText w:val="%1"/>
      <w:numFmt w:val="lowerLetter"/>
      <w:start w:val="1"/>
    </w:lvl>
    <w:lvl w:ilvl="1">
      <w:lvlJc w:val="left"/>
      <w:lvlText w:val="(%2)"/>
      <w:numFmt w:val="lowerRoman"/>
      <w:start w:val="6"/>
    </w:lvl>
  </w:abstractNum>
  <w:abstractNum w:abstractNumId="57">
    <w:nsid w:val="5DB70AE5"/>
    <w:multiLevelType w:val="hybridMultilevel"/>
    <w:lvl w:ilvl="0">
      <w:lvlJc w:val="left"/>
      <w:lvlText w:val="(%1)"/>
      <w:numFmt w:val="lowerLetter"/>
      <w:start w:val="2"/>
    </w:lvl>
    <w:lvl w:ilvl="1">
      <w:lvlJc w:val="left"/>
      <w:lvlText w:val="%2"/>
      <w:numFmt w:val="lowerRoman"/>
      <w:start w:val="1"/>
    </w:lvl>
  </w:abstractNum>
  <w:abstractNum w:abstractNumId="58">
    <w:nsid w:val="100F8FCA"/>
    <w:multiLevelType w:val="hybridMultilevel"/>
    <w:lvl w:ilvl="0">
      <w:lvlJc w:val="left"/>
      <w:lvlText w:val="(%1)"/>
      <w:numFmt w:val="lowerRoman"/>
      <w:start w:val="2"/>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1"/>
    </w:lvl>
    <w:lvl w:ilvl="1">
      <w:lvlJc w:val="left"/>
      <w:lvlText w:val="(%2)"/>
      <w:numFmt w:val="lowerLetter"/>
      <w:start w:val="3"/>
    </w:lvl>
  </w:abstractNum>
  <w:abstractNum w:abstractNumId="61">
    <w:nsid w:val="5F5E7FD0"/>
    <w:multiLevelType w:val="hybridMultilevel"/>
    <w:lvl w:ilvl="0">
      <w:lvlJc w:val="left"/>
      <w:lvlText w:val="%1."/>
      <w:numFmt w:val="decimal"/>
      <w:start w:val="9"/>
    </w:lvl>
    <w:lvl w:ilvl="1">
      <w:lvlJc w:val="left"/>
      <w:lvlText w:val="(%2)"/>
      <w:numFmt w:val="lowerLetter"/>
      <w:start w:val="1"/>
    </w:lvl>
  </w:abstractNum>
  <w:abstractNum w:abstractNumId="62">
    <w:nsid w:val="98A3148"/>
    <w:multiLevelType w:val="hybridMultilevel"/>
    <w:lvl w:ilvl="0">
      <w:lvlJc w:val="left"/>
      <w:lvlText w:val="%1"/>
      <w:numFmt w:val="decimal"/>
      <w:start w:val="1"/>
    </w:lvl>
    <w:lvl w:ilvl="1">
      <w:lvlJc w:val="left"/>
      <w:lvlText w:val="(%2)"/>
      <w:numFmt w:val="lowerLetter"/>
      <w:start w:val="2"/>
    </w:lvl>
  </w:abstractNum>
  <w:abstractNum w:abstractNumId="63">
    <w:nsid w:val="799D0247"/>
    <w:multiLevelType w:val="hybridMultilevel"/>
    <w:lvl w:ilvl="0">
      <w:lvlJc w:val="left"/>
      <w:lvlText w:val="%1."/>
      <w:numFmt w:val="decimal"/>
      <w:start w:val="11"/>
    </w:lvl>
    <w:lvl w:ilvl="1">
      <w:lvlJc w:val="left"/>
      <w:lvlText w:val="(%2)"/>
      <w:numFmt w:val="lowerLetter"/>
      <w:start w:val="1"/>
    </w:lvl>
  </w:abstractNum>
  <w:abstractNum w:abstractNumId="64">
    <w:nsid w:val="6B94764"/>
    <w:multiLevelType w:val="hybridMultilevel"/>
    <w:lvl w:ilvl="0">
      <w:lvlJc w:val="left"/>
      <w:lvlText w:val="%1"/>
      <w:numFmt w:val="decimal"/>
      <w:start w:val="1"/>
    </w:lvl>
    <w:lvl w:ilvl="1">
      <w:lvlJc w:val="left"/>
      <w:lvlText w:val="(%2)"/>
      <w:numFmt w:val="lowerLetter"/>
      <w:start w:val="4"/>
    </w:lvl>
  </w:abstractNum>
  <w:abstractNum w:abstractNumId="65">
    <w:nsid w:val="42C296BD"/>
    <w:multiLevelType w:val="hybridMultilevel"/>
    <w:lvl w:ilvl="0">
      <w:lvlJc w:val="left"/>
      <w:lvlText w:val="%1."/>
      <w:numFmt w:val="decimal"/>
      <w:start w:val="12"/>
    </w:lvl>
    <w:lvl w:ilvl="1">
      <w:lvlJc w:val="left"/>
      <w:lvlText w:val="%2"/>
      <w:numFmt w:val="lowerLetter"/>
      <w:start w:val="1"/>
    </w:lvl>
  </w:abstractNum>
  <w:abstractNum w:abstractNumId="66">
    <w:nsid w:val="168E121F"/>
    <w:multiLevelType w:val="hybridMultilevel"/>
    <w:lvl w:ilvl="0">
      <w:lvlJc w:val="left"/>
      <w:lvlText w:val="%1."/>
      <w:numFmt w:val="decimal"/>
      <w:start w:val="14"/>
    </w:lvl>
  </w:abstractNum>
  <w:abstractNum w:abstractNumId="67">
    <w:nsid w:val="1EBA5D23"/>
    <w:multiLevelType w:val="hybridMultilevel"/>
    <w:lvl w:ilvl="0">
      <w:lvlJc w:val="left"/>
      <w:lvlText w:val="%1."/>
      <w:numFmt w:val="decimal"/>
      <w:start w:val="17"/>
    </w:lvl>
    <w:lvl w:ilvl="1">
      <w:lvlJc w:val="left"/>
      <w:lvlText w:val="(%2)"/>
      <w:numFmt w:val="lowerLetter"/>
      <w:start w:val="1"/>
    </w:lvl>
  </w:abstractNum>
  <w:abstractNum w:abstractNumId="68">
    <w:nsid w:val="661E3F1E"/>
    <w:multiLevelType w:val="hybridMultilevel"/>
    <w:lvl w:ilvl="0">
      <w:lvlJc w:val="left"/>
      <w:lvlText w:val="%1"/>
      <w:numFmt w:val="decimal"/>
      <w:start w:val="1"/>
    </w:lvl>
    <w:lvl w:ilvl="1">
      <w:lvlJc w:val="left"/>
      <w:lvlText w:val="(%2)"/>
      <w:numFmt w:val="lowerLetter"/>
      <w:start w:val="3"/>
    </w:lvl>
  </w:abstractNum>
  <w:abstractNum w:abstractNumId="69">
    <w:nsid w:val="5DC79EA8"/>
    <w:multiLevelType w:val="hybridMultilevel"/>
    <w:lvl w:ilvl="0">
      <w:lvlJc w:val="left"/>
      <w:lvlText w:val="%1."/>
      <w:numFmt w:val="decimal"/>
      <w:start w:val="18"/>
    </w:lvl>
    <w:lvl w:ilvl="1">
      <w:lvlJc w:val="left"/>
      <w:lvlText w:val="%2"/>
      <w:numFmt w:val="lowerLetter"/>
      <w:start w:val="1"/>
    </w:lvl>
  </w:abstractNum>
  <w:abstractNum w:abstractNumId="70">
    <w:nsid w:val="540A471C"/>
    <w:multiLevelType w:val="hybridMultilevel"/>
    <w:lvl w:ilvl="0">
      <w:lvlJc w:val="left"/>
      <w:lvlText w:val="%1."/>
      <w:numFmt w:val="decimal"/>
      <w:start w:val="23"/>
    </w:lvl>
  </w:abstractNum>
  <w:abstractNum w:abstractNumId="71">
    <w:nsid w:val="7BD3EE7B"/>
    <w:multiLevelType w:val="hybridMultilevel"/>
    <w:lvl w:ilvl="0">
      <w:lvlJc w:val="left"/>
      <w:lvlText w:val="%1."/>
      <w:numFmt w:val="decimal"/>
      <w:start w:val="25"/>
    </w:lvl>
    <w:lvl w:ilvl="1">
      <w:lvlJc w:val="left"/>
      <w:lvlText w:val="(%2)"/>
      <w:numFmt w:val="lowerLetter"/>
      <w:start w:val="1"/>
    </w:lvl>
  </w:abstractNum>
  <w:abstractNum w:abstractNumId="72">
    <w:nsid w:val="51D9C564"/>
    <w:multiLevelType w:val="hybridMultilevel"/>
    <w:lvl w:ilvl="0">
      <w:lvlJc w:val="left"/>
      <w:lvlText w:val="%1"/>
      <w:numFmt w:val="decimal"/>
      <w:start w:val="1"/>
    </w:lvl>
    <w:lvl w:ilvl="1">
      <w:lvlJc w:val="left"/>
      <w:lvlText w:val="(%2)"/>
      <w:numFmt w:val="lowerLetter"/>
      <w:start w:val="2"/>
    </w:lvl>
  </w:abstractNum>
  <w:abstractNum w:abstractNumId="73">
    <w:nsid w:val="613EFDC5"/>
    <w:multiLevelType w:val="hybridMultilevel"/>
    <w:lvl w:ilvl="0">
      <w:lvlJc w:val="left"/>
      <w:lvlText w:val="%1."/>
      <w:numFmt w:val="decimal"/>
      <w:start w:val="26"/>
    </w:lvl>
    <w:lvl w:ilvl="1">
      <w:lvlJc w:val="left"/>
      <w:lvlText w:val="%2"/>
      <w:numFmt w:val="lowerLetter"/>
      <w:start w:val="1"/>
    </w:lvl>
  </w:abstractNum>
  <w:abstractNum w:abstractNumId="74">
    <w:nsid w:val="BF72B14"/>
    <w:multiLevelType w:val="hybridMultilevel"/>
    <w:lvl w:ilvl="0">
      <w:lvlJc w:val="left"/>
      <w:lvlText w:val="%1."/>
      <w:numFmt w:val="decimal"/>
      <w:start w:val="27"/>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jpeg"/><Relationship Id="rId57" Type="http://schemas.openxmlformats.org/officeDocument/2006/relationships/image" Target="media/image46.png"/><Relationship Id="rId58" Type="http://schemas.openxmlformats.org/officeDocument/2006/relationships/image" Target="media/image47.jpe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49" Type="http://schemas.openxmlformats.org/officeDocument/2006/relationships/hyperlink" Target="https://www.sec.gov/Archives/edgar/data/1677703/000167770323000054/ex21-assetpurchaseagreement.htm" TargetMode="External"/><Relationship Id="rId50" Type="http://schemas.openxmlformats.org/officeDocument/2006/relationships/hyperlink" Target="https://www.sec.gov/Archives/edgar/data/1677703/000167770324000116/exhibit22-projectbeijingxf.htm" TargetMode="External"/><Relationship Id="rId51" Type="http://schemas.openxmlformats.org/officeDocument/2006/relationships/hyperlink" Target="https://www.sec.gov/Archives/edgar/data/1677703/000119312516803247/d275811dex31.htm" TargetMode="External"/><Relationship Id="rId52" Type="http://schemas.openxmlformats.org/officeDocument/2006/relationships/hyperlink" Target="https://www.sec.gov/Archives/edgar/data/1677703/000167770323000065/cndt-ex32amendedbyx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2025-08-06T07:09:10Z</dcterms:created>
  <dcterms:modified xsi:type="dcterms:W3CDTF">2025-08-06T07:09:10Z</dcterms:modified>
</cp:coreProperties>
</file>