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9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March 31, 2024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85"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120650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4" w:right="339" w:bottom="1440" w:gutter="0" w:footer="0" w:header="0"/>
        </w:sectPr>
      </w:pPr>
    </w:p>
    <w:p>
      <w:pPr>
        <w:spacing w:after="0" w:line="31"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81-2983623</w:t>
      </w:r>
    </w:p>
    <w:p>
      <w:pPr>
        <w:spacing w:after="0" w:line="32" w:lineRule="exact"/>
        <w:rPr>
          <w:sz w:val="24"/>
          <w:szCs w:val="24"/>
          <w:color w:val="auto"/>
        </w:rPr>
      </w:pPr>
    </w:p>
    <w:p>
      <w:pPr>
        <w:sectPr>
          <w:pgSz w:w="11900" w:h="16838" w:orient="portrait"/>
          <w:cols w:equalWidth="0" w:num="2">
            <w:col w:w="7940" w:space="720"/>
            <w:col w:w="2580"/>
          </w:cols>
          <w:pgMar w:left="320" w:top="264"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112" w:lineRule="exact"/>
        <w:rPr>
          <w:sz w:val="24"/>
          <w:szCs w:val="24"/>
          <w:color w:val="auto"/>
        </w:rPr>
      </w:pPr>
    </w:p>
    <w:p>
      <w:pPr>
        <w:sectPr>
          <w:pgSz w:w="11900" w:h="16838" w:orient="portrait"/>
          <w:cols w:equalWidth="0" w:num="2">
            <w:col w:w="7800" w:space="720"/>
            <w:col w:w="2720"/>
          </w:cols>
          <w:pgMar w:left="320" w:top="264" w:right="339" w:bottom="1440" w:gutter="0" w:footer="0" w:header="0"/>
          <w:type w:val="continuous"/>
        </w:sectPr>
      </w:pPr>
    </w:p>
    <w:p>
      <w:pPr>
        <w:ind w:left="920" w:hanging="323"/>
        <w:spacing w:after="0" w:line="292"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51" w:lineRule="exact"/>
        <w:rPr>
          <w:sz w:val="24"/>
          <w:szCs w:val="24"/>
          <w:color w:val="auto"/>
        </w:rPr>
      </w:pPr>
    </w:p>
    <w:p>
      <w:pPr>
        <w:sectPr>
          <w:pgSz w:w="11900" w:h="16838" w:orient="portrait"/>
          <w:cols w:equalWidth="0" w:num="3">
            <w:col w:w="2200" w:space="560"/>
            <w:col w:w="5400" w:space="720"/>
            <w:col w:w="2360"/>
          </w:cols>
          <w:pgMar w:left="320" w:top="264"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6" w:lineRule="exact"/>
        <w:rPr>
          <w:sz w:val="24"/>
          <w:szCs w:val="24"/>
          <w:color w:val="auto"/>
        </w:rPr>
      </w:pPr>
    </w:p>
    <w:p>
      <w:pPr>
        <w:sectPr>
          <w:pgSz w:w="11900" w:h="16838" w:orient="portrait"/>
          <w:cols w:equalWidth="0" w:num="2">
            <w:col w:w="8060" w:space="720"/>
            <w:col w:w="2460"/>
          </w:cols>
          <w:pgMar w:left="320" w:top="26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ectPr>
          <w:pgSz w:w="11900" w:h="16838" w:orient="portrait"/>
          <w:cols w:equalWidth="0" w:num="1">
            <w:col w:w="11240"/>
          </w:cols>
          <w:pgMar w:left="320" w:top="264" w:right="339" w:bottom="1440" w:gutter="0" w:footer="0" w:header="0"/>
          <w:type w:val="continuous"/>
        </w:sectPr>
      </w:pPr>
    </w:p>
    <w:p>
      <w:pPr>
        <w:spacing w:after="0" w:line="3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4" w:right="33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4040" w:space="720"/>
            <w:col w:w="1960" w:space="720"/>
            <w:col w:w="3800"/>
          </w:cols>
          <w:pgMar w:left="320" w:top="264"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00" w:lineRule="exact"/>
        <w:rPr>
          <w:sz w:val="24"/>
          <w:szCs w:val="24"/>
          <w:color w:val="auto"/>
        </w:rPr>
      </w:pPr>
    </w:p>
    <w:p>
      <w:pPr>
        <w:sectPr>
          <w:pgSz w:w="11900" w:h="16838" w:orient="portrait"/>
          <w:cols w:equalWidth="0" w:num="3">
            <w:col w:w="4380" w:space="720"/>
            <w:col w:w="1760" w:space="720"/>
            <w:col w:w="3660"/>
          </w:cols>
          <w:pgMar w:left="320" w:top="264" w:right="339" w:bottom="1440" w:gutter="0" w:footer="0" w:header="0"/>
          <w:type w:val="continuous"/>
        </w:sectPr>
      </w:pPr>
    </w:p>
    <w:p>
      <w:pPr>
        <w:ind w:right="300" w:firstLine="162"/>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320" w:firstLine="162"/>
        <w:spacing w:after="0" w:line="266"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3" w:lineRule="exact"/>
        <w:rPr>
          <w:sz w:val="24"/>
          <w:szCs w:val="24"/>
          <w:color w:val="auto"/>
        </w:rPr>
      </w:pPr>
    </w:p>
    <w:p>
      <w:pPr>
        <w:ind w:right="20"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0"/>
        <w:spacing w:after="0" w:line="181" w:lineRule="exact"/>
        <w:tabs>
          <w:tab w:leader="none" w:pos="1960" w:val="left"/>
          <w:tab w:leader="none" w:pos="2420" w:val="left"/>
          <w:tab w:leader="none" w:pos="3740" w:val="left"/>
          <w:tab w:leader="none" w:pos="4220" w:val="left"/>
          <w:tab w:leader="none" w:pos="5880" w:val="left"/>
          <w:tab w:leader="none" w:pos="6380" w:val="left"/>
          <w:tab w:leader="none" w:pos="8340" w:val="left"/>
          <w:tab w:leader="none" w:pos="8860" w:val="left"/>
          <w:tab w:leader="none" w:pos="109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9" w:lineRule="exact"/>
        <w:rPr>
          <w:sz w:val="24"/>
          <w:szCs w:val="24"/>
          <w:color w:val="auto"/>
        </w:rPr>
      </w:pPr>
    </w:p>
    <w:p>
      <w:pPr>
        <w:ind w:right="160" w:firstLine="162"/>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tabs>
          <w:tab w:leader="none" w:pos="9100" w:val="left"/>
        </w:tabs>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76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w w:val="98"/>
              </w:rPr>
              <w:t>Class</w:t>
            </w:r>
          </w:p>
        </w:tc>
        <w:tc>
          <w:tcPr>
            <w:tcW w:w="132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at April 30, 2024</w:t>
            </w:r>
          </w:p>
        </w:tc>
      </w:tr>
      <w:tr>
        <w:trPr>
          <w:trHeight w:val="208"/>
        </w:trPr>
        <w:tc>
          <w:tcPr>
            <w:tcW w:w="17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320" w:type="dxa"/>
            <w:vAlign w:val="bottom"/>
          </w:tcPr>
          <w:p>
            <w:pPr>
              <w:spacing w:after="0"/>
              <w:rPr>
                <w:sz w:val="20"/>
                <w:szCs w:val="20"/>
                <w:color w:val="auto"/>
              </w:rPr>
            </w:pPr>
            <w:r>
              <w:rPr>
                <w:rFonts w:ascii="Arial" w:cs="Arial" w:eastAsia="Arial" w:hAnsi="Arial"/>
                <w:sz w:val="16"/>
                <w:szCs w:val="16"/>
                <w:color w:val="auto"/>
              </w:rPr>
              <w:t>$0.01 par value</w:t>
            </w:r>
          </w:p>
        </w:tc>
        <w:tc>
          <w:tcPr>
            <w:tcW w:w="4660" w:type="dxa"/>
            <w:vAlign w:val="bottom"/>
          </w:tcPr>
          <w:p>
            <w:pPr>
              <w:spacing w:after="0"/>
              <w:rPr>
                <w:sz w:val="18"/>
                <w:szCs w:val="18"/>
                <w:color w:val="auto"/>
              </w:rPr>
            </w:pPr>
          </w:p>
        </w:tc>
        <w:tc>
          <w:tcPr>
            <w:tcW w:w="3500" w:type="dxa"/>
            <w:vAlign w:val="bottom"/>
          </w:tcPr>
          <w:p>
            <w:pPr>
              <w:jc w:val="right"/>
              <w:ind w:right="1222"/>
              <w:spacing w:after="0"/>
              <w:rPr>
                <w:sz w:val="20"/>
                <w:szCs w:val="20"/>
                <w:color w:val="auto"/>
              </w:rPr>
            </w:pPr>
            <w:r>
              <w:rPr>
                <w:rFonts w:ascii="Arial" w:cs="Arial" w:eastAsia="Arial" w:hAnsi="Arial"/>
                <w:sz w:val="16"/>
                <w:szCs w:val="16"/>
                <w:color w:val="auto"/>
              </w:rPr>
              <w:t>204,583,488</w:t>
            </w:r>
          </w:p>
        </w:tc>
      </w:tr>
      <w:tr>
        <w:trPr>
          <w:trHeight w:val="398"/>
        </w:trPr>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Q1 2024 Form 10-Q</w:t>
            </w:r>
          </w:p>
        </w:tc>
      </w:tr>
      <w:tr>
        <w:trPr>
          <w:trHeight w:val="690"/>
        </w:trPr>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"Litigation Reform Act"). These forward-looking statements and other information are based on our beliefs as well as assumptions made by us using information currently available.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and could materially adversely affect our business, financial condition, results of operations, cash flows and liquidity.</w:t>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Important factors and uncertainties that could cause our actual results to differ materially from those in our forward-looking statements include, but are not limited to: risks related to pending dispositions, including the transfer of the Company’s BenefitWallet’s HSA, MSA and flexible spending account portfolio (the “BenefitWallet Transfer”) and the sale of the Company’s Curbside Management and Public Safety Solutions businesses, including but not limited to the Company’s ability to realize the benefits anticipated from such transactions, unexpected costs, liabilities or delays in connection with such transactions, and the significant transaction costs associated with such transactions; government appropriations and termination rights contained in our government contracts; the competitiveness of the markets in which we operate and our ability to renew commercial and government contracts, including contracts awarded through competitive bidding processes; our ability to recover capital and other investments in connection with our contracts; risk and impact of geopolitical events and increasing geopolitical tensions (such as the wars in the Ukraine and Israel), macroeconomic conditions, natural disasters and other factors in a particular country or region on our workforce, customers and vendors; our reliance on third-party providers; our ability to deliver on our contractual obligations properly and on time; changes in interest in outsourced business process services;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developments in various contingent liabilities that are not reflected on our balance sheet, including those arising as a result of being involved in a variety of claims, lawsuits, investigations and proceedings; risks related to divestitures and acquisitions; risk and impact of potential goodwill and other asset impairments;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and other payments from our subsidiaries; and other factors that are set forth in the “Risk Factors” section, the “Legal Proceedings” section, the “Management's Discussion and Analysis of Financial Condition and Results of Operations” section and other sections of this Form 10-Q as well as in our 2023 Annual Report on Form 10-K and any subsequent Quarterly Report on Form 10-Q and Current Report on Form 8-K filed (or furnished) with the Securities and Exchange Commission (the "SEC"). Any forward-looking statements made by us in this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35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2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5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1269BC"/>
              </w:rPr>
              <w:t>March 31, 2024</w:t>
            </w:r>
          </w:p>
        </w:tc>
        <w:tc>
          <w:tcPr>
            <w:tcW w:w="8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320" w:type="dxa"/>
            <w:vAlign w:val="bottom"/>
          </w:tcPr>
          <w:p>
            <w:pPr>
              <w:spacing w:after="0"/>
              <w:rPr>
                <w:sz w:val="24"/>
                <w:szCs w:val="24"/>
                <w:color w:val="auto"/>
              </w:rPr>
            </w:pPr>
          </w:p>
        </w:tc>
        <w:tc>
          <w:tcPr>
            <w:tcW w:w="8560" w:type="dxa"/>
            <w:vAlign w:val="bottom"/>
          </w:tcPr>
          <w:p>
            <w:pPr>
              <w:ind w:left="334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61"/>
        </w:trPr>
        <w:tc>
          <w:tcPr>
            <w:tcW w:w="1320" w:type="dxa"/>
            <w:vAlign w:val="bottom"/>
            <w:tcBorders>
              <w:bottom w:val="single" w:sz="8" w:color="CCEEFF"/>
            </w:tcBorders>
          </w:tcPr>
          <w:p>
            <w:pPr>
              <w:spacing w:after="0"/>
              <w:rPr>
                <w:sz w:val="24"/>
                <w:szCs w:val="24"/>
                <w:color w:val="auto"/>
              </w:rPr>
            </w:pPr>
          </w:p>
        </w:tc>
        <w:tc>
          <w:tcPr>
            <w:tcW w:w="856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1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 — Financial Information</w:t>
            </w:r>
          </w:p>
        </w:tc>
        <w:tc>
          <w:tcPr>
            <w:tcW w:w="1340" w:type="dxa"/>
            <w:vAlign w:val="bottom"/>
            <w:shd w:val="clear" w:color="auto" w:fill="CCEEFF"/>
          </w:tcPr>
          <w:p>
            <w:pPr>
              <w:spacing w:after="0"/>
              <w:rPr>
                <w:sz w:val="18"/>
                <w:szCs w:val="18"/>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0000FF"/>
              </w:rPr>
              <w:t>Item 1.</w:t>
            </w:r>
          </w:p>
        </w:tc>
        <w:tc>
          <w:tcPr>
            <w:tcW w:w="8560" w:type="dxa"/>
            <w:vAlign w:val="bottom"/>
          </w:tcPr>
          <w:p>
            <w:pPr>
              <w:ind w:left="20"/>
              <w:spacing w:after="0"/>
              <w:rPr>
                <w:sz w:val="20"/>
                <w:szCs w:val="20"/>
                <w:color w:val="auto"/>
              </w:rPr>
            </w:pPr>
            <w:r>
              <w:rPr>
                <w:rFonts w:ascii="Arial" w:cs="Arial" w:eastAsia="Arial" w:hAnsi="Arial"/>
                <w:sz w:val="18"/>
                <w:szCs w:val="18"/>
                <w:color w:val="0000FF"/>
              </w:rPr>
              <w:t>Financial Statements (Unaudited)</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w:t>
            </w:r>
          </w:p>
        </w:tc>
      </w:tr>
      <w:tr>
        <w:trPr>
          <w:trHeight w:val="229"/>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Condensed Consolidated Statements of Income (Loss)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w:t>
            </w:r>
          </w:p>
        </w:tc>
      </w:tr>
      <w:tr>
        <w:trPr>
          <w:trHeight w:val="230"/>
        </w:trPr>
        <w:tc>
          <w:tcPr>
            <w:tcW w:w="1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0000FF"/>
              </w:rPr>
              <w:t>Condensed Consolidated Statements of Comprehensive Income (Loss)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4</w:t>
            </w:r>
          </w:p>
        </w:tc>
      </w:tr>
      <w:tr>
        <w:trPr>
          <w:trHeight w:val="229"/>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Condensed Consolidated Balance Sheets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5</w:t>
            </w:r>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0000FF"/>
              </w:rPr>
              <w:t>Condensed Consolidated Statements of Cash Flows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6</w:t>
            </w:r>
          </w:p>
        </w:tc>
      </w:tr>
      <w:tr>
        <w:trPr>
          <w:trHeight w:val="230"/>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Condensed Consolidated Statements of Shareholders' Equity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7</w:t>
            </w:r>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0000FF"/>
              </w:rPr>
              <w:t>Notes to the Condensed Consolidated Financial Statements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8</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20</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0000FF"/>
              </w:rPr>
              <w:t>Item 3.</w:t>
            </w:r>
          </w:p>
        </w:tc>
        <w:tc>
          <w:tcPr>
            <w:tcW w:w="8560" w:type="dxa"/>
            <w:vAlign w:val="bottom"/>
          </w:tcPr>
          <w:p>
            <w:pPr>
              <w:ind w:left="20"/>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29</w:t>
            </w:r>
          </w:p>
        </w:tc>
      </w:tr>
      <w:tr>
        <w:trPr>
          <w:trHeight w:val="229"/>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Controls and Procedures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30</w:t>
            </w:r>
          </w:p>
        </w:tc>
      </w:tr>
      <w:tr>
        <w:trPr>
          <w:trHeight w:val="148"/>
        </w:trPr>
        <w:tc>
          <w:tcPr>
            <w:tcW w:w="13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0000FF"/>
              </w:rPr>
              <w:t>Part II — Other</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0000FF"/>
              </w:rPr>
              <w:t>Information</w:t>
            </w:r>
          </w:p>
        </w:tc>
        <w:tc>
          <w:tcPr>
            <w:tcW w:w="1340" w:type="dxa"/>
            <w:vAlign w:val="bottom"/>
            <w:shd w:val="clear" w:color="auto" w:fill="CCEEFF"/>
          </w:tcPr>
          <w:p>
            <w:pPr>
              <w:spacing w:after="0"/>
              <w:rPr>
                <w:sz w:val="19"/>
                <w:szCs w:val="19"/>
                <w:color w:val="auto"/>
              </w:rPr>
            </w:pPr>
          </w:p>
        </w:tc>
      </w:tr>
      <w:tr>
        <w:trPr>
          <w:trHeight w:val="162"/>
        </w:trPr>
        <w:tc>
          <w:tcPr>
            <w:tcW w:w="13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Legal Proceedings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30</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0000FF"/>
              </w:rPr>
              <w:t>Item 1A.</w:t>
            </w:r>
          </w:p>
        </w:tc>
        <w:tc>
          <w:tcPr>
            <w:tcW w:w="8560" w:type="dxa"/>
            <w:vAlign w:val="bottom"/>
          </w:tcPr>
          <w:p>
            <w:pPr>
              <w:ind w:left="20"/>
              <w:spacing w:after="0"/>
              <w:rPr>
                <w:sz w:val="20"/>
                <w:szCs w:val="20"/>
                <w:color w:val="auto"/>
              </w:rPr>
            </w:pPr>
            <w:r>
              <w:rPr>
                <w:rFonts w:ascii="Arial" w:cs="Arial" w:eastAsia="Arial" w:hAnsi="Arial"/>
                <w:sz w:val="18"/>
                <w:szCs w:val="18"/>
                <w:color w:val="0000FF"/>
              </w:rPr>
              <w:t>Risk Factors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30</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Unregistered Sales of Equity Securities and Use of Proceeds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30</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0000FF"/>
              </w:rPr>
              <w:t>Item 3.</w:t>
            </w:r>
          </w:p>
        </w:tc>
        <w:tc>
          <w:tcPr>
            <w:tcW w:w="8560" w:type="dxa"/>
            <w:vAlign w:val="bottom"/>
          </w:tcPr>
          <w:p>
            <w:pPr>
              <w:ind w:left="20"/>
              <w:spacing w:after="0"/>
              <w:rPr>
                <w:sz w:val="20"/>
                <w:szCs w:val="20"/>
                <w:color w:val="auto"/>
              </w:rPr>
            </w:pPr>
            <w:r>
              <w:rPr>
                <w:rFonts w:ascii="Arial" w:cs="Arial" w:eastAsia="Arial" w:hAnsi="Arial"/>
                <w:sz w:val="18"/>
                <w:szCs w:val="18"/>
                <w:color w:val="0000FF"/>
              </w:rPr>
              <w:t>Defaults Upon Senior Securities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31</w:t>
            </w:r>
          </w:p>
        </w:tc>
      </w:tr>
      <w:tr>
        <w:trPr>
          <w:trHeight w:val="229"/>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Mine Safety Disclosures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31</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0000FF"/>
              </w:rPr>
              <w:t>Item 5.</w:t>
            </w:r>
          </w:p>
        </w:tc>
        <w:tc>
          <w:tcPr>
            <w:tcW w:w="8560" w:type="dxa"/>
            <w:vAlign w:val="bottom"/>
          </w:tcPr>
          <w:p>
            <w:pPr>
              <w:ind w:left="20"/>
              <w:spacing w:after="0"/>
              <w:rPr>
                <w:sz w:val="20"/>
                <w:szCs w:val="20"/>
                <w:color w:val="auto"/>
              </w:rPr>
            </w:pPr>
            <w:r>
              <w:rPr>
                <w:rFonts w:ascii="Arial" w:cs="Arial" w:eastAsia="Arial" w:hAnsi="Arial"/>
                <w:sz w:val="18"/>
                <w:szCs w:val="18"/>
                <w:color w:val="0000FF"/>
              </w:rPr>
              <w:t>Other Information</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31</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6.</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Exhibits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32</w:t>
            </w:r>
          </w:p>
        </w:tc>
      </w:tr>
      <w:tr>
        <w:trPr>
          <w:trHeight w:val="247"/>
        </w:trPr>
        <w:tc>
          <w:tcPr>
            <w:tcW w:w="1320" w:type="dxa"/>
            <w:vAlign w:val="bottom"/>
          </w:tcPr>
          <w:p>
            <w:pPr>
              <w:ind w:left="20"/>
              <w:spacing w:after="0"/>
              <w:rPr>
                <w:sz w:val="20"/>
                <w:szCs w:val="20"/>
                <w:color w:val="auto"/>
              </w:rPr>
            </w:pPr>
            <w:r>
              <w:rPr>
                <w:rFonts w:ascii="Arial" w:cs="Arial" w:eastAsia="Arial" w:hAnsi="Arial"/>
                <w:sz w:val="18"/>
                <w:szCs w:val="18"/>
                <w:b w:val="1"/>
                <w:bCs w:val="1"/>
                <w:color w:val="0000FF"/>
              </w:rPr>
              <w:t>Signatures</w:t>
            </w:r>
          </w:p>
        </w:tc>
        <w:tc>
          <w:tcPr>
            <w:tcW w:w="85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33</w:t>
            </w:r>
          </w:p>
        </w:tc>
      </w:tr>
    </w:tbl>
    <w:p>
      <w:pPr>
        <w:spacing w:after="0" w:line="30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 w:name="page4"/>
    <w:bookmarkEnd w:id="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PART I — 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41"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ind w:left="974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88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720</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5"/>
        </w:trPr>
        <w:tc>
          <w:tcPr>
            <w:tcW w:w="20" w:type="dxa"/>
            <w:vAlign w:val="bottom"/>
            <w:tcBorders>
              <w:bottom w:val="single" w:sz="8" w:color="CCEEFF"/>
            </w:tcBorders>
          </w:tcPr>
          <w:p>
            <w:pPr>
              <w:spacing w:after="0"/>
              <w:rPr>
                <w:sz w:val="16"/>
                <w:szCs w:val="16"/>
                <w:color w:val="auto"/>
              </w:rPr>
            </w:pPr>
          </w:p>
        </w:tc>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w:t>
            </w:r>
          </w:p>
        </w:tc>
      </w:tr>
      <w:tr>
        <w:trPr>
          <w:trHeight w:val="143"/>
        </w:trPr>
        <w:tc>
          <w:tcPr>
            <w:tcW w:w="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6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63"/>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6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8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Borders>
              <w:bottom w:val="single" w:sz="8" w:color="CCEEFF"/>
            </w:tcBorders>
            <w:shd w:val="clear" w:color="auto" w:fill="CCEEFF"/>
          </w:tcPr>
          <w:p>
            <w:pPr>
              <w:spacing w:after="0"/>
              <w:rPr>
                <w:sz w:val="16"/>
                <w:szCs w:val="16"/>
                <w:color w:val="auto"/>
              </w:rPr>
            </w:pPr>
          </w:p>
        </w:tc>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03"/>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 per Share: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9"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Three Months Ended</w:t>
      </w:r>
    </w:p>
    <w:p>
      <w:pPr>
        <w:ind w:left="962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86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 w:type="dxa"/>
            <w:vAlign w:val="bottom"/>
            <w:tcBorders>
              <w:right w:val="single" w:sz="8" w:color="CCEEFF"/>
            </w:tcBorders>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60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CCEEFF"/>
            </w:tcBorders>
          </w:tcPr>
          <w:p>
            <w:pPr>
              <w:spacing w:after="0"/>
              <w:rPr>
                <w:sz w:val="17"/>
                <w:szCs w:val="17"/>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w w:val="96"/>
              </w:rPr>
              <w:t>(11)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8600" w:type="dxa"/>
            <w:vAlign w:val="bottom"/>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6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80" w:type="dxa"/>
            <w:vAlign w:val="bottom"/>
            <w:tcBorders>
              <w:right w:val="single" w:sz="8" w:color="CCEEFF"/>
            </w:tcBorders>
          </w:tcPr>
          <w:p>
            <w:pPr>
              <w:spacing w:after="0"/>
              <w:rPr>
                <w:sz w:val="17"/>
                <w:szCs w:val="17"/>
                <w:color w:val="auto"/>
              </w:rPr>
            </w:pPr>
          </w:p>
        </w:tc>
        <w:tc>
          <w:tcPr>
            <w:tcW w:w="8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center"/>
              <w:ind w:left="548"/>
              <w:spacing w:after="0"/>
              <w:rPr>
                <w:sz w:val="20"/>
                <w:szCs w:val="20"/>
                <w:color w:val="auto"/>
              </w:rPr>
            </w:pPr>
            <w:r>
              <w:rPr>
                <w:rFonts w:ascii="Arial" w:cs="Arial" w:eastAsia="Arial" w:hAnsi="Arial"/>
                <w:sz w:val="14"/>
                <w:szCs w:val="14"/>
                <w:color w:val="auto"/>
                <w:w w:val="96"/>
              </w:rPr>
              <w:t>(11)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CCEEFF"/>
            </w:tcBorders>
          </w:tcPr>
          <w:p>
            <w:pPr>
              <w:spacing w:after="0"/>
              <w:rPr>
                <w:sz w:val="17"/>
                <w:szCs w:val="17"/>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 Net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center"/>
              <w:ind w:left="548"/>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80" w:type="dxa"/>
            <w:vAlign w:val="bottom"/>
            <w:tcBorders>
              <w:right w:val="single" w:sz="8" w:color="CCEEFF"/>
            </w:tcBorders>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Arial" w:cs="Arial" w:eastAsia="Arial" w:hAnsi="Arial"/>
                <w:sz w:val="14"/>
                <w:szCs w:val="14"/>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24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March 31, 2024</w:t>
            </w:r>
          </w:p>
        </w:tc>
        <w:tc>
          <w:tcPr>
            <w:tcW w:w="180" w:type="dxa"/>
            <w:vAlign w:val="bottom"/>
          </w:tcPr>
          <w:p>
            <w:pPr>
              <w:spacing w:after="0"/>
              <w:rPr>
                <w:sz w:val="14"/>
                <w:szCs w:val="14"/>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Assets held for sale</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Contract assets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Land, buildings and equipment, net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portion of long-term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compensation and benefits costs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Unearned income</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 held for sale</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12)</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Treasury stock, at cost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Retained earnings (deficit)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(2,849)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Conduent Inc. Equity</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Equity</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issued and outstanding</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211,509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held in treasury</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8,841</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894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0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3"/>
                <w:szCs w:val="13"/>
                <w:color w:val="auto"/>
              </w:rPr>
            </w:pPr>
          </w:p>
        </w:tc>
        <w:tc>
          <w:tcPr>
            <w:tcW w:w="118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61</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on divestitures and sales of fixed assets, net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42</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r>
      <w:tr>
        <w:trPr>
          <w:trHeight w:val="200"/>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2"/>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187"/>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Treasury stock purchases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00"/>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r>
      <w:tr>
        <w:trPr>
          <w:trHeight w:val="200"/>
        </w:trPr>
        <w:tc>
          <w:tcPr>
            <w:tcW w:w="20" w:type="dxa"/>
            <w:vAlign w:val="bottom"/>
          </w:tcPr>
          <w:p>
            <w:pPr>
              <w:spacing w:after="0"/>
              <w:rPr>
                <w:sz w:val="17"/>
                <w:szCs w:val="17"/>
                <w:color w:val="auto"/>
              </w:rPr>
            </w:pPr>
          </w:p>
        </w:tc>
        <w:tc>
          <w:tcPr>
            <w:tcW w:w="8040" w:type="dxa"/>
            <w:vAlign w:val="bottom"/>
            <w:gridSpan w:val="2"/>
          </w:tcPr>
          <w:p>
            <w:pPr>
              <w:spacing w:after="0" w:line="200"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547</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40" w:right="760" w:hanging="332"/>
        <w:spacing w:after="0" w:line="302"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$9 million and $21 million of restricted cash as of March 31, 2024 and 2023, respectively, that were included in Other current assets on their respective Condensed Consolidated Balance Sheets.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ind w:left="440"/>
              <w:spacing w:after="0"/>
              <w:rPr>
                <w:sz w:val="20"/>
                <w:szCs w:val="20"/>
                <w:color w:val="auto"/>
              </w:rPr>
            </w:pPr>
            <w:r>
              <w:rPr>
                <w:rFonts w:ascii="Arial" w:cs="Arial" w:eastAsia="Arial" w:hAnsi="Arial"/>
                <w:sz w:val="13"/>
                <w:szCs w:val="13"/>
                <w:color w:val="auto"/>
              </w:rPr>
              <w:t>Three Months Ended March 31, 2024</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2023</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center"/>
              <w:ind w:left="617"/>
              <w:spacing w:after="0"/>
              <w:rPr>
                <w:sz w:val="20"/>
                <w:szCs w:val="20"/>
                <w:color w:val="auto"/>
              </w:rPr>
            </w:pPr>
            <w:r>
              <w:rPr>
                <w:rFonts w:ascii="Arial" w:cs="Arial" w:eastAsia="Arial" w:hAnsi="Arial"/>
                <w:sz w:val="13"/>
                <w:szCs w:val="13"/>
                <w:color w:val="auto"/>
                <w:w w:val="94"/>
              </w:rPr>
              <w:t>(27)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center"/>
              <w:ind w:left="537"/>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537"/>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center"/>
              <w:ind w:left="617"/>
              <w:spacing w:after="0"/>
              <w:rPr>
                <w:sz w:val="20"/>
                <w:szCs w:val="20"/>
                <w:color w:val="auto"/>
              </w:rPr>
            </w:pPr>
            <w:r>
              <w:rPr>
                <w:rFonts w:ascii="Arial" w:cs="Arial" w:eastAsia="Arial" w:hAnsi="Arial"/>
                <w:sz w:val="13"/>
                <w:szCs w:val="13"/>
                <w:color w:val="auto"/>
                <w:w w:val="94"/>
              </w:rPr>
              <w:t>(17)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center"/>
              <w:ind w:left="537"/>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537"/>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center"/>
              <w:ind w:left="637"/>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2024</w:t>
            </w: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center"/>
              <w:ind w:left="617"/>
              <w:spacing w:after="0"/>
              <w:rPr>
                <w:sz w:val="20"/>
                <w:szCs w:val="20"/>
                <w:color w:val="auto"/>
              </w:rPr>
            </w:pPr>
            <w:r>
              <w:rPr>
                <w:rFonts w:ascii="Arial" w:cs="Arial" w:eastAsia="Arial" w:hAnsi="Arial"/>
                <w:sz w:val="13"/>
                <w:szCs w:val="13"/>
                <w:color w:val="auto"/>
                <w:w w:val="94"/>
              </w:rPr>
              <w:t>(44)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ind w:left="440"/>
              <w:spacing w:after="0"/>
              <w:rPr>
                <w:sz w:val="20"/>
                <w:szCs w:val="20"/>
                <w:color w:val="auto"/>
              </w:rPr>
            </w:pPr>
            <w:r>
              <w:rPr>
                <w:rFonts w:ascii="Arial" w:cs="Arial" w:eastAsia="Arial" w:hAnsi="Arial"/>
                <w:sz w:val="13"/>
                <w:szCs w:val="13"/>
                <w:color w:val="auto"/>
              </w:rPr>
              <w:t>Three Months Ended March 31, 2023</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1"/>
                <w:szCs w:val="11"/>
                <w:color w:val="auto"/>
              </w:rPr>
            </w:pPr>
          </w:p>
        </w:tc>
        <w:tc>
          <w:tcPr>
            <w:tcW w:w="960" w:type="dxa"/>
            <w:vAlign w:val="bottom"/>
            <w:gridSpan w:val="2"/>
          </w:tcPr>
          <w:p>
            <w:pPr>
              <w:ind w:left="100"/>
              <w:spacing w:after="0" w:line="131"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1"/>
                <w:szCs w:val="11"/>
                <w:color w:val="auto"/>
              </w:rPr>
            </w:pPr>
          </w:p>
        </w:tc>
        <w:tc>
          <w:tcPr>
            <w:tcW w:w="980" w:type="dxa"/>
            <w:vAlign w:val="bottom"/>
          </w:tcPr>
          <w:p>
            <w:pPr>
              <w:jc w:val="center"/>
              <w:ind w:right="57"/>
              <w:spacing w:after="0" w:line="131"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20" w:type="dxa"/>
            <w:vAlign w:val="bottom"/>
            <w:gridSpan w:val="2"/>
          </w:tcPr>
          <w:p>
            <w:pPr>
              <w:spacing w:after="0" w:line="139" w:lineRule="exact"/>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line="139" w:lineRule="exact"/>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line="139" w:lineRule="exact"/>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line="139" w:lineRule="exact"/>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39" w:lineRule="exact"/>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line="139" w:lineRule="exact"/>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2022</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center"/>
              <w:ind w:left="63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center"/>
              <w:ind w:left="537"/>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537"/>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center"/>
              <w:ind w:left="537"/>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center"/>
              <w:ind w:left="537"/>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537"/>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center"/>
              <w:ind w:left="637"/>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2023</w:t>
            </w: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center"/>
              <w:ind w:left="637"/>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jc w:val="right"/>
        <w:ind w:left="2700" w:right="2040" w:hanging="2692"/>
        <w:spacing w:after="0" w:line="382" w:lineRule="auto"/>
        <w:tabs>
          <w:tab w:leader="none" w:pos="314"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11 – Accumulated Other Comprehensive Loss for the components of AOCL. The accompanying notes are an integral part of these Condensed Consolidated Financial Statements.</w:t>
      </w:r>
    </w:p>
    <w:p>
      <w:pPr>
        <w:spacing w:after="0" w:line="1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6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7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Conduent Incorporated is a New York corporation, organized in 2016. As a global technology-led company, Conduent delivers digital business solutions and services to streamline and manage enterprise processes on behalf of commercial, government and transportation organizations – creating valuable outcomes for its clients and the millions of people who count on them. Conduent’s solutions combine innovative technology platforms with automation, artificial intelligence, process expertise and services that improve quality, efficiency and</w:t>
      </w:r>
    </w:p>
    <w:p>
      <w:pPr>
        <w:spacing w:after="0" w:line="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productivity. With a dedicated global team of approximately 57,000 associates, Conduent solutions span customer service, business administration and operations, healthcare administration and payment management. Across many industries and government agencies, Conduent reduces costs, improves end-user experiences and enables digital transformation for its global clients.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71" w:lineRule="exact"/>
        <w:rPr>
          <w:sz w:val="20"/>
          <w:szCs w:val="20"/>
          <w:color w:val="auto"/>
        </w:rPr>
      </w:pPr>
    </w:p>
    <w:p>
      <w:pPr>
        <w:jc w:val="both"/>
        <w:ind w:right="640"/>
        <w:spacing w:after="0" w:line="257"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(the "SEC").</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Accordingly, they do not include all of the information and notes required by U.S. GAAP for complete financial statements. The year-end Condensed Consolidated Balance Sheet was derived from the audited Consolidated Financial Statements included in the Company's Annual Report on Form 10-K for the year ended December 31, 2023.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2023.</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quarter of 2023, the Company identified an error and recorded an out-of-period adjustment to correct the recognition of revenue on a Government segment contract that originated in 2020 and impacted all quarterly periods through December 31, 2022. This adjustment resulted in a reduction to revenue and income (loss) before income taxes of $ 7 million and a corresponding decrease to accounts receivable of $1 million and an increase to other current liabilities of $6 million in the first quarter of 2023. The Company evaluated the impact of the out-of-period adjustment and concluded it was not material to any previously issued interim or annual consolidated financial statements and the adjustment is not material to the year ending December 31, 2023.</w:t>
      </w:r>
    </w:p>
    <w:p>
      <w:pPr>
        <w:spacing w:after="0" w:line="12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Company has evaluated subsequent events through May 2, 2024, and apart from the matters disclosed in Note 5 – Assets/Liabilities Held for Sale and Divestitures, Note 7 – Debt and Note 16 - Subsequent Event, no material subsequent events were identified.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Summary of Significant Accounting Policies</w:t>
      </w:r>
    </w:p>
    <w:p>
      <w:pPr>
        <w:spacing w:after="0" w:line="171" w:lineRule="exact"/>
        <w:rPr>
          <w:sz w:val="20"/>
          <w:szCs w:val="20"/>
          <w:color w:val="auto"/>
        </w:rPr>
      </w:pPr>
    </w:p>
    <w:p>
      <w:pPr>
        <w:ind w:right="680"/>
        <w:spacing w:after="0" w:line="301" w:lineRule="auto"/>
        <w:rPr>
          <w:sz w:val="20"/>
          <w:szCs w:val="20"/>
          <w:color w:val="auto"/>
        </w:rPr>
      </w:pPr>
      <w:r>
        <w:rPr>
          <w:rFonts w:ascii="Arial" w:cs="Arial" w:eastAsia="Arial" w:hAnsi="Arial"/>
          <w:sz w:val="17"/>
          <w:szCs w:val="17"/>
          <w:color w:val="auto"/>
        </w:rPr>
        <w:t>There have been no changes to the Company's significant accounting policies as described in the Note 1 - Basis of Presentation and Summary of Significant Accounting Policies in the Company's Annual Report on Form 10-K for the year ended December 31, 2023.</w:t>
      </w:r>
    </w:p>
    <w:p>
      <w:pPr>
        <w:spacing w:after="0" w:line="32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6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Company's significant accounting policies are described in Note 1 – Basis of Presentation and Summary of Significant Accounting Policies in the Company's Annual Report on Form 10-K for the year ended December 31,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adopted any new accounting standards in 2024 that had a material impact on its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In November 2023, the Financial Accounting Standards Board ("FASB") issued final guidance that expands reportable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disclosures, particularly incremental segment expense disclosures. This guidance is effective for annual periods beginning after December 15, 2023 and interim periods within fiscal years beginning after December 15, 2024. The Company is not early adopting this guidance. The Company is currently in the process of gathering the data required to be disclosed upon adoption. As the guidance is disclosure related, adoption will not have any impact on the Company's Condensed Consolidated Financial Statements.</w:t>
      </w:r>
    </w:p>
    <w:p>
      <w:pPr>
        <w:spacing w:after="0" w:line="1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 December 2023, the FASB issued final guidance designed to improve income tax disclosures, particularly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around business entities' income tax rate reconciliation and income taxes paid. The guidance requires consistent categories and greater disaggregation of information in the reconciliation of an entity's statutory tax rate to its effective tax rate and information about income taxes paid disaggregated by jurisdiction. This guidance is effective for fiscal years beginning after December 15, 2024. The Company is not early adopting this guidance. The Company is currently in the process of gathering the data required to be disclosed upon adoption. As the guidance is disclosure related, adoption will not have any impact on the Company's Condensed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 provides information about disaggregated revenue by major service offering, the timing of revenue recognition and a reconciliation of the disaggregated revenue by reportable segment. Refer to Note 4 – Segment Reporting for additional information on the Company's reportable segments.</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Three Months Ended</w:t>
      </w:r>
    </w:p>
    <w:p>
      <w:pPr>
        <w:ind w:left="962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6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2024</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gridSpan w:val="2"/>
          </w:tcPr>
          <w:p>
            <w:pPr>
              <w:ind w:left="120"/>
              <w:spacing w:after="0"/>
              <w:rPr>
                <w:sz w:val="20"/>
                <w:szCs w:val="20"/>
                <w:color w:val="auto"/>
              </w:rPr>
            </w:pPr>
            <w:r>
              <w:rPr>
                <w:rFonts w:ascii="Arial" w:cs="Arial" w:eastAsia="Arial" w:hAnsi="Arial"/>
                <w:sz w:val="14"/>
                <w:szCs w:val="14"/>
                <w:color w:val="auto"/>
              </w:rPr>
              <w:t>Business operations solutions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Healthcare claims and administration solutions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8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Human capital solutions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Commercial</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Government: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healthcare solutions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8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Government services solutions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Government</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Road usage charging &amp; management solutions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gridSpan w:val="2"/>
          </w:tcPr>
          <w:p>
            <w:pPr>
              <w:ind w:left="120"/>
              <w:spacing w:after="0"/>
              <w:rPr>
                <w:sz w:val="20"/>
                <w:szCs w:val="20"/>
                <w:color w:val="auto"/>
              </w:rPr>
            </w:pPr>
            <w:r>
              <w:rPr>
                <w:rFonts w:ascii="Arial" w:cs="Arial" w:eastAsia="Arial" w:hAnsi="Arial"/>
                <w:sz w:val="14"/>
                <w:szCs w:val="14"/>
                <w:color w:val="auto"/>
              </w:rPr>
              <w:t>Transit solutions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Curbside management solutions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gridSpan w:val="2"/>
          </w:tcPr>
          <w:p>
            <w:pPr>
              <w:ind w:left="120"/>
              <w:spacing w:after="0"/>
              <w:rPr>
                <w:sz w:val="20"/>
                <w:szCs w:val="20"/>
                <w:color w:val="auto"/>
              </w:rPr>
            </w:pPr>
            <w:r>
              <w:rPr>
                <w:rFonts w:ascii="Arial" w:cs="Arial" w:eastAsia="Arial" w:hAnsi="Arial"/>
                <w:sz w:val="14"/>
                <w:szCs w:val="14"/>
                <w:color w:val="auto"/>
              </w:rPr>
              <w:t>Public safety solutions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vehicles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6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Transportation</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Consolidated Revenue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Timing of Revenue Recognition: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gridSpan w:val="2"/>
          </w:tcPr>
          <w:p>
            <w:pPr>
              <w:spacing w:after="0"/>
              <w:rPr>
                <w:sz w:val="20"/>
                <w:szCs w:val="20"/>
                <w:color w:val="auto"/>
              </w:rPr>
            </w:pPr>
            <w:r>
              <w:rPr>
                <w:rFonts w:ascii="Arial" w:cs="Arial" w:eastAsia="Arial" w:hAnsi="Arial"/>
                <w:sz w:val="14"/>
                <w:szCs w:val="14"/>
                <w:color w:val="auto"/>
              </w:rPr>
              <w:t>Point in time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Over time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128" w:lineRule="exact"/>
        <w:rPr>
          <w:sz w:val="20"/>
          <w:szCs w:val="20"/>
          <w:color w:val="auto"/>
        </w:rPr>
      </w:pPr>
    </w:p>
    <w:p>
      <w:pPr>
        <w:ind w:right="560"/>
        <w:spacing w:after="0" w:line="279" w:lineRule="auto"/>
        <w:rPr>
          <w:sz w:val="20"/>
          <w:szCs w:val="20"/>
          <w:color w:val="auto"/>
        </w:rPr>
      </w:pPr>
      <w:r>
        <w:rPr>
          <w:rFonts w:ascii="Arial" w:cs="Arial" w:eastAsia="Arial" w:hAnsi="Arial"/>
          <w:sz w:val="18"/>
          <w:szCs w:val="18"/>
          <w:color w:val="auto"/>
        </w:rPr>
        <w:t>The following table provides information about the balances of the Company's contract assets, unearned income and receivables from contracts with customers:</w:t>
      </w:r>
    </w:p>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3"/>
                <w:szCs w:val="13"/>
                <w:color w:val="auto"/>
              </w:rPr>
            </w:pPr>
          </w:p>
        </w:tc>
        <w:tc>
          <w:tcPr>
            <w:tcW w:w="16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March 31, 2024</w:t>
            </w:r>
          </w:p>
        </w:tc>
        <w:tc>
          <w:tcPr>
            <w:tcW w:w="180" w:type="dxa"/>
            <w:vAlign w:val="bottom"/>
          </w:tcPr>
          <w:p>
            <w:pPr>
              <w:spacing w:after="0"/>
              <w:rPr>
                <w:sz w:val="13"/>
                <w:szCs w:val="13"/>
                <w:color w:val="auto"/>
              </w:rPr>
            </w:pPr>
          </w:p>
        </w:tc>
        <w:tc>
          <w:tcPr>
            <w:tcW w:w="1600" w:type="dxa"/>
            <w:vAlign w:val="bottom"/>
          </w:tcPr>
          <w:p>
            <w:pPr>
              <w:jc w:val="right"/>
              <w:ind w:right="188"/>
              <w:spacing w:after="0" w:line="159" w:lineRule="exact"/>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Assets (Unearned Income)</w:t>
            </w: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contract assets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Long-term contract assets</w:t>
            </w:r>
            <w:r>
              <w:rPr>
                <w:rFonts w:ascii="Arial" w:cs="Arial" w:eastAsia="Arial" w:hAnsi="Arial"/>
                <w:sz w:val="9"/>
                <w:szCs w:val="9"/>
                <w:color w:val="auto"/>
              </w:rPr>
              <w:t>(1)</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unearned income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Long-term unearned income</w:t>
            </w:r>
            <w:r>
              <w:rPr>
                <w:rFonts w:ascii="Arial" w:cs="Arial" w:eastAsia="Arial" w:hAnsi="Arial"/>
                <w:sz w:val="9"/>
                <w:szCs w:val="9"/>
                <w:color w:val="auto"/>
              </w:rPr>
              <w:t>(2)</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Contract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Accounts receivable, net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84"/>
        </w:trPr>
        <w:tc>
          <w:tcPr>
            <w:tcW w:w="7560" w:type="dxa"/>
            <w:vAlign w:val="bottom"/>
            <w:gridSpan w:val="3"/>
          </w:tcPr>
          <w:p>
            <w:pPr>
              <w:jc w:val="right"/>
              <w:ind w:right="6760"/>
              <w:spacing w:after="0"/>
              <w:rPr>
                <w:sz w:val="20"/>
                <w:szCs w:val="20"/>
                <w:color w:val="auto"/>
              </w:rPr>
            </w:pPr>
            <w:r>
              <w:rPr>
                <w:rFonts w:ascii="Arial" w:cs="Arial" w:eastAsia="Arial" w:hAnsi="Arial"/>
                <w:sz w:val="14"/>
                <w:szCs w:val="14"/>
                <w:color w:val="auto"/>
              </w:rPr>
              <w:t>__________</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assets in the Condensed Consolidated Balance Sheets.</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liabilities in the Condensed Consolidated Balance Sheets.</w:t>
      </w:r>
    </w:p>
    <w:p>
      <w:pPr>
        <w:spacing w:after="0" w:line="151"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Revenues of $ 44 million were recognized during the three months ended March 31, 2024 related to the Company's unearned income at December 31, 2023. Revenues of $29 million were recognized during the three months ended March 31, 2023 related to the Company's unearned income at December 31, 2022.</w:t>
      </w:r>
    </w:p>
    <w:p>
      <w:pPr>
        <w:spacing w:after="0" w:line="200" w:lineRule="exact"/>
        <w:rPr>
          <w:sz w:val="20"/>
          <w:szCs w:val="20"/>
          <w:color w:val="auto"/>
        </w:rPr>
      </w:pPr>
    </w:p>
    <w:p>
      <w:pPr>
        <w:spacing w:after="0" w:line="3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20"/>
        <w:spacing w:after="0" w:line="438" w:lineRule="auto"/>
        <w:rPr>
          <w:sz w:val="20"/>
          <w:szCs w:val="20"/>
          <w:color w:val="auto"/>
        </w:rPr>
      </w:pPr>
      <w:r>
        <w:rPr>
          <w:rFonts w:ascii="Arial" w:cs="Arial" w:eastAsia="Arial" w:hAnsi="Arial"/>
          <w:sz w:val="18"/>
          <w:szCs w:val="18"/>
          <w:color w:val="auto"/>
        </w:rPr>
        <w:t xml:space="preserve">The Company had no material asset impairment charges related to contract assets for the three months ended March 31, 2024 or 2023. </w:t>
      </w:r>
      <w:r>
        <w:rPr>
          <w:rFonts w:ascii="Arial" w:cs="Arial" w:eastAsia="Arial" w:hAnsi="Arial"/>
          <w:sz w:val="18"/>
          <w:szCs w:val="18"/>
          <w:b w:val="1"/>
          <w:bCs w:val="1"/>
          <w:color w:val="auto"/>
        </w:rPr>
        <w:t>Transaction Price Allocated to the Remaining Performance Obligations</w:t>
      </w:r>
    </w:p>
    <w:p>
      <w:pPr>
        <w:spacing w:after="0" w:line="1"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March 31, 2024 was approximately $1.5 billion. The Company expects to recognize approximately 63% of this revenue over the next two years and the remainder thereafter.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6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the Company's Chief Operating Decision Maker (the "CODM"). The Company's segments involve the delivery of business process solutions on behalf of its clients to improve cost, performance, and end-user experiences.</w:t>
      </w:r>
    </w:p>
    <w:p>
      <w:pPr>
        <w:spacing w:after="0" w:line="1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Company's financial performance is based on Segment Profit (Loss) for its three reportable segments (Commercial, Government and Transportation), Divestitures and Unallocated Costs. The Company's CODM does not evaluate operating segments using discrete asset information.</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and customized solutions and services to clients in a variety of</w:t>
      </w:r>
      <w:r>
        <w:rPr>
          <w:rFonts w:ascii="Arial" w:cs="Arial" w:eastAsia="Arial" w:hAnsi="Arial"/>
          <w:sz w:val="18"/>
          <w:szCs w:val="18"/>
          <w:b w:val="1"/>
          <w:bCs w:val="1"/>
          <w:color w:val="0066CC"/>
        </w:rPr>
        <w:t xml:space="preserve"> </w:t>
      </w:r>
      <w:r>
        <w:rPr>
          <w:rFonts w:ascii="Arial" w:cs="Arial" w:eastAsia="Arial" w:hAnsi="Arial"/>
          <w:sz w:val="18"/>
          <w:szCs w:val="18"/>
          <w:color w:val="000000"/>
        </w:rPr>
        <w:t>industries. Across the Commercial segment, the Company operates on its clients’ behalf to deliver mission-critical solutions and services to reduce costs, improve efficiencies and enhance performance for the Company's clients and deliver better experiences for their consumers and employees.</w:t>
      </w:r>
    </w:p>
    <w:p>
      <w:pPr>
        <w:spacing w:after="0" w:line="12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0066CC"/>
        </w:rPr>
        <w:t xml:space="preserve">Government: </w:t>
      </w:r>
      <w:r>
        <w:rPr>
          <w:rFonts w:ascii="Arial" w:cs="Arial" w:eastAsia="Arial" w:hAnsi="Arial"/>
          <w:sz w:val="18"/>
          <w:szCs w:val="18"/>
          <w:color w:val="000000"/>
        </w:rPr>
        <w:t>The Government segment provides government-centric business process services to U.S. federal, state and local government</w:t>
      </w:r>
      <w:r>
        <w:rPr>
          <w:rFonts w:ascii="Arial" w:cs="Arial" w:eastAsia="Arial" w:hAnsi="Arial"/>
          <w:sz w:val="18"/>
          <w:szCs w:val="18"/>
          <w:b w:val="1"/>
          <w:bCs w:val="1"/>
          <w:color w:val="0066CC"/>
        </w:rPr>
        <w:t xml:space="preserve"> </w:t>
      </w:r>
      <w:r>
        <w:rPr>
          <w:rFonts w:ascii="Arial" w:cs="Arial" w:eastAsia="Arial" w:hAnsi="Arial"/>
          <w:sz w:val="18"/>
          <w:szCs w:val="18"/>
          <w:color w:val="000000"/>
        </w:rPr>
        <w:t>agencies and foreign governments for public assistance, healthcare programs and administration, transaction processing and payment services. The solutions in this segment help governments provide constituents access and delivery of benefits, respond to changing rules for eligibility and keep pace with increasing citizen expectations.</w:t>
      </w:r>
    </w:p>
    <w:p>
      <w:pPr>
        <w:spacing w:after="0" w:line="122"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b w:val="1"/>
          <w:bCs w:val="1"/>
          <w:color w:val="0066CC"/>
        </w:rPr>
        <w:t xml:space="preserve">Transportation: </w:t>
      </w:r>
      <w:r>
        <w:rPr>
          <w:rFonts w:ascii="Arial" w:cs="Arial" w:eastAsia="Arial" w:hAnsi="Arial"/>
          <w:sz w:val="17"/>
          <w:szCs w:val="17"/>
          <w:color w:val="000000"/>
        </w:rPr>
        <w:t>The Transportation segment provides systems, support, and revenue-generating solutions, to government transportation</w:t>
      </w:r>
      <w:r>
        <w:rPr>
          <w:rFonts w:ascii="Arial" w:cs="Arial" w:eastAsia="Arial" w:hAnsi="Arial"/>
          <w:sz w:val="17"/>
          <w:szCs w:val="17"/>
          <w:b w:val="1"/>
          <w:bCs w:val="1"/>
          <w:color w:val="0066CC"/>
        </w:rPr>
        <w:t xml:space="preserve"> </w:t>
      </w:r>
      <w:r>
        <w:rPr>
          <w:rFonts w:ascii="Arial" w:cs="Arial" w:eastAsia="Arial" w:hAnsi="Arial"/>
          <w:sz w:val="17"/>
          <w:szCs w:val="17"/>
          <w:color w:val="000000"/>
        </w:rPr>
        <w:t>agencies. The Company delivers mission-critical public safety, mobility and digital payment solutions that streamline operations, increase revenue and reduce congestion while creating safe, seamless travel experiences for consumers while reducing impact on the environment.</w:t>
      </w:r>
    </w:p>
    <w:p>
      <w:pPr>
        <w:spacing w:after="0" w:line="9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reportable segments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color w:val="auto"/>
              </w:rPr>
              <w:t>Three Months Ended</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rPr>
              <w:t>March 31,</w:t>
            </w: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3"/>
                <w:szCs w:val="13"/>
                <w:color w:val="auto"/>
              </w:rPr>
            </w:pPr>
          </w:p>
        </w:tc>
        <w:tc>
          <w:tcPr>
            <w:tcW w:w="110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Government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Transportation</w:t>
            </w:r>
          </w:p>
        </w:tc>
        <w:tc>
          <w:tcPr>
            <w:tcW w:w="140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Unallocated Costs</w:t>
            </w:r>
          </w:p>
        </w:tc>
        <w:tc>
          <w:tcPr>
            <w:tcW w:w="260" w:type="dxa"/>
            <w:vAlign w:val="bottom"/>
          </w:tcPr>
          <w:p>
            <w:pPr>
              <w:spacing w:after="0"/>
              <w:rPr>
                <w:sz w:val="13"/>
                <w:szCs w:val="13"/>
                <w:color w:val="auto"/>
              </w:rPr>
            </w:pPr>
          </w:p>
        </w:tc>
        <w:tc>
          <w:tcPr>
            <w:tcW w:w="84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9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left="28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921</w:t>
            </w:r>
          </w:p>
        </w:tc>
      </w:tr>
      <w:tr>
        <w:trPr>
          <w:trHeight w:val="206"/>
        </w:trPr>
        <w:tc>
          <w:tcPr>
            <w:tcW w:w="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ind w:left="36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0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39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left="28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922</w:t>
            </w:r>
          </w:p>
        </w:tc>
      </w:tr>
      <w:tr>
        <w:trPr>
          <w:trHeight w:val="207"/>
        </w:trPr>
        <w:tc>
          <w:tcPr>
            <w:tcW w:w="20" w:type="dxa"/>
            <w:vAlign w:val="bottom"/>
            <w:shd w:val="clear" w:color="auto" w:fill="CCEEFF"/>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ind w:left="36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740" w:type="dxa"/>
            <w:vAlign w:val="bottom"/>
            <w:gridSpan w:val="4"/>
          </w:tcPr>
          <w:p>
            <w:pPr>
              <w:spacing w:after="0" w:line="144" w:lineRule="exact"/>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2"/>
                <w:szCs w:val="12"/>
                <w:color w:val="auto"/>
              </w:rPr>
            </w:pPr>
          </w:p>
        </w:tc>
        <w:tc>
          <w:tcPr>
            <w:tcW w:w="1380" w:type="dxa"/>
            <w:vAlign w:val="bottom"/>
            <w:gridSpan w:val="3"/>
          </w:tcPr>
          <w:p>
            <w:pPr>
              <w:jc w:val="right"/>
              <w:ind w:right="8"/>
              <w:spacing w:after="0" w:line="144" w:lineRule="exact"/>
              <w:rPr>
                <w:sz w:val="20"/>
                <w:szCs w:val="20"/>
                <w:color w:val="auto"/>
              </w:rPr>
            </w:pPr>
            <w:r>
              <w:rPr>
                <w:rFonts w:ascii="Arial" w:cs="Arial" w:eastAsia="Arial" w:hAnsi="Arial"/>
                <w:sz w:val="14"/>
                <w:szCs w:val="14"/>
                <w:color w:val="auto"/>
              </w:rPr>
              <w:t>March 31,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4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7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4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gridSpan w:val="4"/>
          </w:tcPr>
          <w:p>
            <w:pPr>
              <w:ind w:left="120"/>
              <w:spacing w:after="0"/>
              <w:rPr>
                <w:sz w:val="20"/>
                <w:szCs w:val="20"/>
                <w:color w:val="auto"/>
              </w:rPr>
            </w:pPr>
            <w:r>
              <w:rPr>
                <w:rFonts w:ascii="Arial" w:cs="Arial" w:eastAsia="Arial" w:hAnsi="Arial"/>
                <w:sz w:val="14"/>
                <w:szCs w:val="14"/>
                <w:color w:val="auto"/>
              </w:rPr>
              <w:t>(Gain) loss on divestitures and transaction costs, net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settlements (recoveries),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gridSpan w:val="4"/>
          </w:tcPr>
          <w:p>
            <w:pPr>
              <w:ind w:left="1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40" w:type="dxa"/>
            <w:vAlign w:val="bottom"/>
            <w:gridSpan w:val="4"/>
          </w:tcPr>
          <w:p>
            <w:pPr>
              <w:spacing w:after="0"/>
              <w:rPr>
                <w:sz w:val="20"/>
                <w:szCs w:val="20"/>
                <w:color w:val="auto"/>
              </w:rPr>
            </w:pPr>
            <w:r>
              <w:rPr>
                <w:rFonts w:ascii="Arial" w:cs="Arial" w:eastAsia="Arial" w:hAnsi="Arial"/>
                <w:sz w:val="14"/>
                <w:szCs w:val="14"/>
                <w:b w:val="1"/>
                <w:bCs w:val="1"/>
                <w:color w:val="auto"/>
              </w:rPr>
              <w:t>Segment Profit (Loss)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Note 5 – Assets/Liabilities Held for Sale and Divestitures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Transfer of BenefitWallet Portfolio</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2023, the Company entered into a Custodial Transfer and Asset Purchase Agreement to transfer its BenefitWallet health savings account and medical savings account portfolio (collectively, the "Portfolio") to HealthEquity, Inc. ("HealthEquity") for an aggregate purchase price of $425 million (the "Purchase Price"), subject to customary purchase price adjustments. As of March 31, 2024, there were no asset or liability balances related to the Portfolio that would require disclosure as assets and liabilities held for sale on the Company's Condensed Consolidated Balance Sheet.</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transfer is closing in multiple tranches. The first tranche closed on March 7, 2024 with the Company receiving $164 million as the pro-rata share of the Purchase Price. As there were no assets or liabilities associated with the Portfolio, the Company recorded $164 million of pre-tax gain on this first tranche. During the three months ended March 31, 2024 and 2023, the Portfolio related to this first tranche generated revenue of $8 million and $10 million, respectively. The pre-tax profit, related to this first tranche, excluding unallocated costs, was $6 million and $9 million for the same periods, respectively.</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11, 2024, the second tranche closed and the Company received $85 million as the pro-rata share of the Purchase Price. The Company anticipates the third and final tranche will be completed in the second quarter of 2024. During the three months ended March 31, 2024 and 2023, the Portfolio related to the second and third tranches generated revenue of $18 million and $19 million for the same periods, respectively. The pre-tax profit, related to these two tranches, excluding unallocated costs, was $14 million and $16 million for the three months ended March 31, 2024 and 2023,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 of Curbside Management and Public Safety Solutions Businesses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December 2023, the Company signed a definitive agreement to sell its Curbside Management and Public Safety Solutions businesses for $230 million (plus the assumption of certain indebtedness), subject to customary purchase price adjustments. The assets and liabilities of these businesses (collectively referred to as the "Disposal Group") have been reclassified as held for sale and measured at the lower of carrying value or fair value less costs to sell. The Disposal Group is currently reported in the Transportation segment. The Disposal Group generated revenue of $36 million and $33 million for the three months ended March 31, 2024 and 2023, respectively. The pre-tax profit of the Disposal Group, excluding unallocated costs, was $8 million and $5 million for the three months ended March 31, 2024 and 2023,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On April 30, 2024, Conduent completed the sale. See Note 16 - Subsequent Event for additional information regarding the 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major categories of assets and liabilities that have been reclassified as held for sale:</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color w:val="auto"/>
              </w:rPr>
              <w:t>March 31, 2024</w:t>
            </w:r>
          </w:p>
        </w:tc>
        <w:tc>
          <w:tcPr>
            <w:tcW w:w="1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 and equipment, net</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7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 held for sale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Current portion of long-term debt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gridSpan w:val="2"/>
            <w:vMerge w:val="continue"/>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Unearned income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 held for sale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Restructuring Programs and Related Costs</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engages in a series of restructuring programs related to exiting certain activities, downsizing its employee base,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("ROU") impairments and other related costs. Also included in Restructuring and related costs are incremental, non-recurring costs related to the consolidation of the Company's data centers, and bringing certain technology functions in-house, which totaled $2 million and $6 million for the three months ended March 31, 2024 and 2023,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the Company's real estate footprint include impairment of operating lease ROU assets and associated leasehold improvements.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three months ended March 31, 2024 and 2023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Costs</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2023</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tcPr>
          <w:p>
            <w:pPr>
              <w:spacing w:after="0" w:line="196"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Accrued Balance at March 31, 2024</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4"/>
                <w:szCs w:val="14"/>
                <w:color w:val="auto"/>
              </w:rPr>
              <w:t>Severance and Related</w:t>
            </w:r>
          </w:p>
        </w:tc>
        <w:tc>
          <w:tcPr>
            <w:tcW w:w="10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Costs</w:t>
            </w:r>
          </w:p>
        </w:tc>
        <w:tc>
          <w:tcPr>
            <w:tcW w:w="100" w:type="dxa"/>
            <w:vAlign w:val="bottom"/>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Costs</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2022</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80" w:type="dxa"/>
            <w:vAlign w:val="bottom"/>
            <w:gridSpan w:val="2"/>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tcPr>
          <w:p>
            <w:pPr>
              <w:spacing w:after="0" w:line="196"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Accrued Balance at March 31, 2023</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amounts recognized within the Consolidated Statements of Income (Loss) for the years shown.</w:t>
      </w:r>
    </w:p>
    <w:p>
      <w:pPr>
        <w:spacing w:after="0" w:line="24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reportable and non-reportable segment:</w:t>
      </w:r>
    </w:p>
    <w:p>
      <w:pPr>
        <w:spacing w:after="0" w:line="149"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2024</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8"/>
        </w:trPr>
        <w:tc>
          <w:tcPr>
            <w:tcW w:w="20" w:type="dxa"/>
            <w:vAlign w:val="bottom"/>
          </w:tcPr>
          <w:p>
            <w:pPr>
              <w:spacing w:after="0"/>
              <w:rPr>
                <w:sz w:val="17"/>
                <w:szCs w:val="17"/>
                <w:color w:val="auto"/>
              </w:rPr>
            </w:pPr>
          </w:p>
        </w:tc>
        <w:tc>
          <w:tcPr>
            <w:tcW w:w="8460" w:type="dxa"/>
            <w:vAlign w:val="bottom"/>
            <w:gridSpan w:val="2"/>
          </w:tcPr>
          <w:p>
            <w:pPr>
              <w:spacing w:after="0"/>
              <w:rPr>
                <w:sz w:val="20"/>
                <w:szCs w:val="20"/>
                <w:color w:val="auto"/>
              </w:rPr>
            </w:pPr>
            <w:r>
              <w:rPr>
                <w:rFonts w:ascii="Arial" w:cs="Arial" w:eastAsia="Arial" w:hAnsi="Arial"/>
                <w:sz w:val="14"/>
                <w:szCs w:val="14"/>
                <w:color w:val="auto"/>
              </w:rPr>
              <w:t>Government</w:t>
            </w:r>
          </w:p>
        </w:tc>
        <w:tc>
          <w:tcPr>
            <w:tcW w:w="3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tcBorders>
              <w:bottom w:val="single" w:sz="8" w:color="CCEEFF"/>
            </w:tcBorders>
          </w:tcPr>
          <w:p>
            <w:pPr>
              <w:spacing w:after="0"/>
              <w:rPr>
                <w:sz w:val="17"/>
                <w:szCs w:val="17"/>
                <w:color w:val="auto"/>
              </w:rPr>
            </w:pPr>
          </w:p>
        </w:tc>
        <w:tc>
          <w:tcPr>
            <w:tcW w:w="84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8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Net Restructuring Charges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57" w:lineRule="exact"/>
        <w:rPr>
          <w:sz w:val="20"/>
          <w:szCs w:val="20"/>
          <w:color w:val="auto"/>
        </w:rPr>
      </w:pPr>
    </w:p>
    <w:p>
      <w:pPr>
        <w:ind w:left="340" w:right="360" w:hanging="332"/>
        <w:spacing w:after="0" w:line="302" w:lineRule="auto"/>
        <w:tabs>
          <w:tab w:leader="none" w:pos="32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related to the consolidation of the Company's data centers, operating lease ROU assets impairment, termination and other costs not allocated to the segments.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March 31, 2024</w:t>
            </w:r>
          </w:p>
        </w:tc>
        <w:tc>
          <w:tcPr>
            <w:tcW w:w="180" w:type="dxa"/>
            <w:vAlign w:val="bottom"/>
          </w:tcPr>
          <w:p>
            <w:pPr>
              <w:spacing w:after="0"/>
              <w:rPr>
                <w:sz w:val="14"/>
                <w:szCs w:val="14"/>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2026</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Term loan B due 2028</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505</w:t>
            </w:r>
          </w:p>
        </w:tc>
      </w:tr>
      <w:tr>
        <w:trPr>
          <w:trHeight w:val="20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2029</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w:t>
            </w:r>
          </w:p>
        </w:tc>
      </w:tr>
      <w:tr>
        <w:trPr>
          <w:trHeight w:val="199"/>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Revolving credit facility maturing 2026</w:t>
            </w:r>
          </w:p>
        </w:tc>
        <w:tc>
          <w:tcPr>
            <w:tcW w:w="260" w:type="dxa"/>
            <w:vAlign w:val="bottom"/>
          </w:tcPr>
          <w:p>
            <w:pPr>
              <w:spacing w:after="0"/>
              <w:rPr>
                <w:sz w:val="17"/>
                <w:szCs w:val="17"/>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 obligations</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r>
      <w:tr>
        <w:trPr>
          <w:trHeight w:val="199"/>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r>
      <w:tr>
        <w:trPr>
          <w:trHeight w:val="200"/>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Principal debt balance</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1,300</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Debt issuance costs and unamortized discounts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current maturities</w:t>
            </w: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Long-term Debt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1,248</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2024, the Company had no outstanding borrowings under its revolving credit facility (the "Revolver"). However, the Company utilized $2 million of the Revolver to issue letters of credit as of March 31, 2024. The net Revolver available to be drawn upon as of March 31, 2024 was $548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March 2024, the Company utilized the proceeds from the closing of the first tranche of the BenefitWallet Transfer to voluntarily prepay</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$164 million of principal of the Senior Secured Term Loan B due 2028 ("Term Loan B") and wrote-off related debt issuance costs of $2 million which is included in Loss on extinguishment of debt in the Condensed Consolidated Statements of Income (Loss) for the three months ended March 31, 2024.</w:t>
      </w:r>
    </w:p>
    <w:p>
      <w:pPr>
        <w:spacing w:after="0" w:line="12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In April 2024, the Company voluntarily prepaid $95 million of principal of the Term Loan B and wrote-off related debt issuance costs of $1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2024, the Company was in compliance with all debt covenants related to the borrowings in the table above.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ectPr>
          <w:pgSz w:w="11900" w:h="16838" w:orient="portrait"/>
          <w:cols w:equalWidth="0" w:num="1">
            <w:col w:w="11240"/>
          </w:cols>
          <w:pgMar w:left="320" w:top="156" w:right="3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Financial Instruments</w:t>
      </w:r>
    </w:p>
    <w:p>
      <w:pPr>
        <w:spacing w:after="0" w:line="16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March 31, 2024 and December 31, 2023, the Company had outstanding forward exchange contracts with gross notional values of $135 million and $148 million, respectively. At March 31, 2024, approximately 68% of these contracts mature within three months, 12% in three to six months, 15% in six to twelve months and 5% in greater than twelve months. Most of these foreign currency derivative contracts are designated as cash flow hedges and did not have a material impact on the Company's balance sheet, income statement or cash flows for the periods presented.</w:t>
      </w:r>
    </w:p>
    <w:p>
      <w:pPr>
        <w:spacing w:after="0" w:line="12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Refer to Note 9 – Fair Value of Financial Assets and Liabilities for additional information regarding the fair value of the Company's foreign exchange forward contracts.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Fair Value of Financial Assets and Liabilities</w:t>
      </w:r>
    </w:p>
    <w:p>
      <w:pPr>
        <w:spacing w:after="0" w:line="16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17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March 31, 2024</w:t>
            </w:r>
          </w:p>
        </w:tc>
        <w:tc>
          <w:tcPr>
            <w:tcW w:w="180" w:type="dxa"/>
            <w:vAlign w:val="bottom"/>
          </w:tcPr>
          <w:p>
            <w:pPr>
              <w:spacing w:after="0"/>
              <w:rPr>
                <w:sz w:val="13"/>
                <w:szCs w:val="13"/>
                <w:color w:val="auto"/>
              </w:rPr>
            </w:pPr>
          </w:p>
        </w:tc>
        <w:tc>
          <w:tcPr>
            <w:tcW w:w="1660" w:type="dxa"/>
            <w:vAlign w:val="bottom"/>
          </w:tcPr>
          <w:p>
            <w:pPr>
              <w:jc w:val="right"/>
              <w:ind w:right="228"/>
              <w:spacing w:after="0" w:line="159" w:lineRule="exact"/>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contracts - forward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700" w:type="dxa"/>
            <w:vAlign w:val="bottom"/>
            <w:gridSpan w:val="2"/>
          </w:tcPr>
          <w:p>
            <w:pPr>
              <w:ind w:left="13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color w:val="auto"/>
              </w:rPr>
              <w:t>March 31, 2024</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color w:val="auto"/>
              </w:rPr>
              <w:t>December 31, 2023</w:t>
            </w: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268"/>
              <w:spacing w:after="0" w:line="146" w:lineRule="exact"/>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2"/>
                <w:szCs w:val="12"/>
                <w:color w:val="auto"/>
              </w:rPr>
            </w:pPr>
          </w:p>
        </w:tc>
        <w:tc>
          <w:tcPr>
            <w:tcW w:w="980" w:type="dxa"/>
            <w:vAlign w:val="bottom"/>
            <w:gridSpan w:val="2"/>
          </w:tcPr>
          <w:p>
            <w:pPr>
              <w:jc w:val="center"/>
              <w:ind w:right="340"/>
              <w:spacing w:after="0" w:line="146" w:lineRule="exact"/>
              <w:rPr>
                <w:sz w:val="20"/>
                <w:szCs w:val="20"/>
                <w:color w:val="auto"/>
              </w:rPr>
            </w:pPr>
            <w:r>
              <w:rPr>
                <w:rFonts w:ascii="Arial" w:cs="Arial" w:eastAsia="Arial" w:hAnsi="Arial"/>
                <w:sz w:val="14"/>
                <w:szCs w:val="14"/>
                <w:color w:val="auto"/>
                <w:w w:val="99"/>
              </w:rPr>
              <w:t>Fair</w:t>
            </w:r>
          </w:p>
        </w:tc>
        <w:tc>
          <w:tcPr>
            <w:tcW w:w="200" w:type="dxa"/>
            <w:vAlign w:val="bottom"/>
          </w:tcPr>
          <w:p>
            <w:pPr>
              <w:spacing w:after="0"/>
              <w:rPr>
                <w:sz w:val="12"/>
                <w:szCs w:val="12"/>
                <w:color w:val="auto"/>
              </w:rPr>
            </w:pPr>
          </w:p>
        </w:tc>
        <w:tc>
          <w:tcPr>
            <w:tcW w:w="980" w:type="dxa"/>
            <w:vAlign w:val="bottom"/>
          </w:tcPr>
          <w:p>
            <w:pPr>
              <w:jc w:val="right"/>
              <w:ind w:right="248"/>
              <w:spacing w:after="0" w:line="146" w:lineRule="exact"/>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2"/>
                <w:szCs w:val="12"/>
                <w:color w:val="auto"/>
              </w:rPr>
            </w:pPr>
          </w:p>
        </w:tc>
        <w:tc>
          <w:tcPr>
            <w:tcW w:w="900" w:type="dxa"/>
            <w:vAlign w:val="bottom"/>
          </w:tcPr>
          <w:p>
            <w:pPr>
              <w:jc w:val="right"/>
              <w:ind w:right="388"/>
              <w:spacing w:after="0" w:line="146" w:lineRule="exact"/>
              <w:rPr>
                <w:sz w:val="20"/>
                <w:szCs w:val="20"/>
                <w:color w:val="auto"/>
              </w:rPr>
            </w:pPr>
            <w:r>
              <w:rPr>
                <w:rFonts w:ascii="Arial" w:cs="Arial" w:eastAsia="Arial" w:hAnsi="Arial"/>
                <w:sz w:val="14"/>
                <w:szCs w:val="14"/>
                <w:color w:val="auto"/>
              </w:rPr>
              <w:t>Fair</w:t>
            </w:r>
          </w:p>
        </w:tc>
      </w:tr>
      <w:tr>
        <w:trPr>
          <w:trHeight w:val="148"/>
        </w:trPr>
        <w:tc>
          <w:tcPr>
            <w:tcW w:w="20" w:type="dxa"/>
            <w:vAlign w:val="bottom"/>
          </w:tcPr>
          <w:p>
            <w:pPr>
              <w:spacing w:after="0"/>
              <w:rPr>
                <w:sz w:val="12"/>
                <w:szCs w:val="12"/>
                <w:color w:val="auto"/>
              </w:rPr>
            </w:pPr>
          </w:p>
        </w:tc>
        <w:tc>
          <w:tcPr>
            <w:tcW w:w="49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98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Value</w:t>
            </w:r>
          </w:p>
        </w:tc>
        <w:tc>
          <w:tcPr>
            <w:tcW w:w="200" w:type="dxa"/>
            <w:vAlign w:val="bottom"/>
          </w:tcPr>
          <w:p>
            <w:pPr>
              <w:spacing w:after="0"/>
              <w:rPr>
                <w:sz w:val="12"/>
                <w:szCs w:val="12"/>
                <w:color w:val="auto"/>
              </w:rPr>
            </w:pPr>
          </w:p>
        </w:tc>
        <w:tc>
          <w:tcPr>
            <w:tcW w:w="98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2"/>
                <w:szCs w:val="12"/>
                <w:color w:val="auto"/>
              </w:rPr>
            </w:pPr>
          </w:p>
        </w:tc>
        <w:tc>
          <w:tcPr>
            <w:tcW w:w="90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Value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9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1,083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1,030</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1,248</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1,191</w:t>
            </w:r>
          </w:p>
        </w:tc>
      </w:tr>
      <w:tr>
        <w:trPr>
          <w:trHeight w:val="207"/>
        </w:trPr>
        <w:tc>
          <w:tcPr>
            <w:tcW w:w="20" w:type="dxa"/>
            <w:vAlign w:val="bottom"/>
            <w:shd w:val="clear" w:color="auto" w:fill="CCEEFF"/>
          </w:tcPr>
          <w:p>
            <w:pPr>
              <w:spacing w:after="0"/>
              <w:rPr>
                <w:sz w:val="17"/>
                <w:szCs w:val="17"/>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Liabilities held for sale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r>
    </w:tbl>
    <w:p>
      <w:pPr>
        <w:spacing w:after="0" w:line="22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200" w:lineRule="exact"/>
        <w:rPr>
          <w:sz w:val="20"/>
          <w:szCs w:val="20"/>
          <w:color w:val="auto"/>
        </w:rPr>
      </w:pPr>
    </w:p>
    <w:p>
      <w:pPr>
        <w:spacing w:after="0" w:line="314"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Employee Benefit Plans</w:t>
      </w:r>
    </w:p>
    <w:p>
      <w:pPr>
        <w:spacing w:after="0" w:line="16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has post-retirement pension, savings and investment plans in several countries, including the U.S., India and the Philippines.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2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Company recognized an expense related to its defined contribution plans of $4 million and $3 million for the three months ended March 31, 2024 and 2023, respectively. The balance sheet and income statement impacts of any remaining defined benefit plans are immaterial for all periods presented in these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Accumulated Other Comprehensive Loss (AOCL)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2023</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2024</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21"/>
                <w:szCs w:val="2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2023</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12 – Contingencies and Litigation</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March 31, 2024.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200" w:lineRule="exact"/>
        <w:rPr>
          <w:sz w:val="20"/>
          <w:szCs w:val="20"/>
          <w:color w:val="auto"/>
        </w:rPr>
      </w:pPr>
    </w:p>
    <w:p>
      <w:pPr>
        <w:spacing w:after="0" w:line="33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March 31, 2024, the Company had accrued its estimate of liability incurred under its indemnification arrangements and guarantees.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1269BC"/>
        </w:rPr>
        <w:t xml:space="preserve">Skyview Capital LLC and Continuum Global Solutions, LLC v. Conduent Business Services, LLC: </w:t>
      </w:r>
      <w:r>
        <w:rPr>
          <w:rFonts w:ascii="Arial" w:cs="Arial" w:eastAsia="Arial" w:hAnsi="Arial"/>
          <w:sz w:val="18"/>
          <w:szCs w:val="18"/>
          <w:color w:val="000000"/>
        </w:rPr>
        <w:t>On February 3, 2020, plaintiffs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Skyview LLC ("Skyview") filed a lawsuit in the Superior Court of New York County, New York. The lawsuit relates to the sale of a portion of Conduent Business Service, LLC's ("CBS") select standalone customer care call center business to plaintiffs, which sale closed in February 2019. Under the terms of the sale agreement, CBS received approximately $ 23 million of notes from plaintiffs (the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CBS filed a counterclaim against Skyview seeking the outstanding balance on the Notes, the amounts owed for the Jamaica deferred closing, and other transition services agreement and late rent payment obligations. CBS also moved to dismiss Skyview’s claims in 2020. In May 2021, the court denied the motion and allowed the claims to proceed. Fact and expert discovery has been concluded and the parties filed summary judgment motions on July 24, 2023. On December 5, 2023, the court heard oral argument on the parties’ cross-motions for summary judgment and rendered its decision on December 8, 2023, finding there are certain material issues of fact that require trial, and also entering partial summary judgment for each side. On January 5, 2024, CBS filed its notice of appeal of the portion of the ruling that did not grant its motion for summary judgment in its entirety and that granted certain limited relief in favor of plaintiffs. On January 23, 2024, Skyview filed its own notice of appeal, challenging the decision granting a portion of CBS’s counterclaims. CBS continues to deny all the plaintiffs' allegations, believes that it has strong defenses to all of plaintiffs’ claims and will continue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contracts, primarily in the Company's Government and Transportation segments, require the Company to provide a surety bond or a letter of credit as a guarantee of performance. As of March 31, 2024, the Company had $636 million of outstanding surety bonds issued to secure its performance of contractual obligations with its clients and $180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13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200" w:lineRule="exact"/>
        <w:rPr>
          <w:sz w:val="20"/>
          <w:szCs w:val="20"/>
          <w:color w:val="auto"/>
        </w:rPr>
      </w:pPr>
    </w:p>
    <w:p>
      <w:pPr>
        <w:spacing w:after="0" w:line="39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Earnings (Loss)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5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ind w:left="962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620" w:type="dxa"/>
            <w:vAlign w:val="bottom"/>
            <w:gridSpan w:val="2"/>
          </w:tcPr>
          <w:p>
            <w:pPr>
              <w:spacing w:after="0"/>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2024</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0"/>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4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209,160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218,410</w:t>
            </w:r>
          </w:p>
        </w:tc>
      </w:tr>
      <w:tr>
        <w:trPr>
          <w:trHeight w:val="198"/>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Borders>
              <w:bottom w:val="single" w:sz="8" w:color="CCEEFF"/>
            </w:tcBorders>
          </w:tcPr>
          <w:p>
            <w:pPr>
              <w:spacing w:after="0"/>
              <w:rPr>
                <w:sz w:val="17"/>
                <w:szCs w:val="17"/>
                <w:color w:val="auto"/>
              </w:rPr>
            </w:pPr>
          </w:p>
        </w:tc>
        <w:tc>
          <w:tcPr>
            <w:tcW w:w="8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8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215,747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218,410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02"/>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62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0.46</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206"/>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92" w:lineRule="exact"/>
        <w:rPr>
          <w:sz w:val="20"/>
          <w:szCs w:val="20"/>
          <w:color w:val="auto"/>
        </w:rPr>
      </w:pPr>
    </w:p>
    <w:p>
      <w:pPr>
        <w:ind w:left="20" w:right="340"/>
        <w:spacing w:after="0" w:line="252"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4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40" w:type="dxa"/>
            <w:vAlign w:val="bottom"/>
          </w:tcPr>
          <w:p>
            <w:pPr>
              <w:jc w:val="right"/>
              <w:spacing w:after="0"/>
              <w:rPr>
                <w:sz w:val="20"/>
                <w:szCs w:val="20"/>
                <w:color w:val="auto"/>
              </w:rPr>
            </w:pPr>
            <w:r>
              <w:rPr>
                <w:rFonts w:ascii="Arial" w:cs="Arial" w:eastAsia="Arial" w:hAnsi="Arial"/>
                <w:sz w:val="14"/>
                <w:szCs w:val="14"/>
                <w:color w:val="auto"/>
              </w:rPr>
              <w:t>7,454</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5,574</w:t>
            </w:r>
          </w:p>
        </w:tc>
      </w:tr>
      <w:tr>
        <w:trPr>
          <w:trHeight w:val="20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w:t>
            </w:r>
          </w:p>
        </w:tc>
      </w:tr>
      <w:tr>
        <w:trPr>
          <w:trHeight w:val="200"/>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7,454</w:t>
            </w:r>
          </w:p>
        </w:tc>
        <w:tc>
          <w:tcPr>
            <w:tcW w:w="1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10,967</w:t>
            </w:r>
          </w:p>
        </w:tc>
      </w:tr>
      <w:tr>
        <w:trPr>
          <w:trHeight w:val="21"/>
        </w:trPr>
        <w:tc>
          <w:tcPr>
            <w:tcW w:w="8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Supplementary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color w:val="auto"/>
              </w:rPr>
              <w:t>March 31, 2024</w:t>
            </w:r>
          </w:p>
        </w:tc>
        <w:tc>
          <w:tcPr>
            <w:tcW w:w="1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(VAT) receivable</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Current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Accrued liabilities to vendors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Litigation related accruals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Current operating lease liabilities</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Restructuring liabilities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 payable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Other taxes payable</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Accrued interest</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5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Internal use software, net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contract costs, net</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Product software, net</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liabilities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Unearned income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16 – Subsequent Event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Certain subsequent event matters have been disclosed in Note 5 – Assets/Liabilities Held for Sale and Divestitures and Note 7 – Debt.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30, 2024, Conduent completed the sale of its Curbside Management and Public Safety Solutions Businesses. The Company received $174 million of cash consideration, a $50 million note receivable payable in one year, and other amounts receivable of $50 million (primarily related to the reimbursement for finance lease liability payoffs and the purchase of certain equipment on the buyer's behalf), which are payable in the fourth quarter of 2024. The sale is subject to customary purchase price adjustments expected to be settled in the fourth quarter of 2024.</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0" w:name="page21"/>
    <w:bookmarkEnd w:id="2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40"/>
        <w:spacing w:after="0" w:line="285"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7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seven sections:</w:t>
      </w:r>
    </w:p>
    <w:p>
      <w:pPr>
        <w:spacing w:after="0" w:line="136"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18"/>
          <w:szCs w:val="18"/>
          <w:color w:val="auto"/>
        </w:rPr>
        <w:t>Overview;</w:t>
      </w:r>
    </w:p>
    <w:p>
      <w:pPr>
        <w:spacing w:after="0" w:line="14"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Estimates and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Accounting Changes;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15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deliver digital business solutions and services to streamline and manage enterprise processes on behalf of commercial, government and transportation organizations – creating valuable outcomes for our clients and the millions of people who count on them. Our solutions combine innovative technology platforms with automation, artificial intelligence, process expertise and services that improve quality,</w:t>
      </w:r>
    </w:p>
    <w:p>
      <w:pPr>
        <w:jc w:val="both"/>
        <w:ind w:right="80"/>
        <w:spacing w:after="0" w:line="268" w:lineRule="auto"/>
        <w:rPr>
          <w:sz w:val="20"/>
          <w:szCs w:val="20"/>
          <w:color w:val="auto"/>
        </w:rPr>
      </w:pPr>
      <w:r>
        <w:rPr>
          <w:rFonts w:ascii="Arial" w:cs="Arial" w:eastAsia="Arial" w:hAnsi="Arial"/>
          <w:sz w:val="18"/>
          <w:szCs w:val="18"/>
          <w:color w:val="auto"/>
        </w:rPr>
        <w:t>efficiency and productivity. With a dedicated global team of approximately 57,000 associates, our solutions span customer service, business administration and operations, healthcare administration and payment management. Across many industries and government agencies, we reduces costs, improves end-user experiences and enables digital transformation for our global clients.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Florham Park, New Jersey, we have operations in 25 countries.</w:t>
      </w:r>
    </w:p>
    <w:p>
      <w:pPr>
        <w:spacing w:after="0" w:line="17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reportable segments correspond to how we organize and manage the business and are aligned to the industries in which our clients operate. These three segments are:</w:t>
      </w:r>
    </w:p>
    <w:p>
      <w:pPr>
        <w:spacing w:after="0" w:line="99" w:lineRule="exact"/>
        <w:rPr>
          <w:sz w:val="20"/>
          <w:szCs w:val="20"/>
          <w:color w:val="auto"/>
        </w:rPr>
      </w:pPr>
    </w:p>
    <w:p>
      <w:pPr>
        <w:ind w:left="340" w:right="28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solutions and services to clients in a variety of industries. Across</w:t>
      </w:r>
      <w:r>
        <w:rPr>
          <w:rFonts w:ascii="Arial" w:cs="Arial" w:eastAsia="Arial" w:hAnsi="Arial"/>
          <w:sz w:val="18"/>
          <w:szCs w:val="18"/>
          <w:b w:val="1"/>
          <w:bCs w:val="1"/>
          <w:color w:val="3051F2"/>
        </w:rPr>
        <w:t xml:space="preserve"> </w:t>
      </w:r>
      <w:r>
        <w:rPr>
          <w:rFonts w:ascii="Arial" w:cs="Arial" w:eastAsia="Arial" w:hAnsi="Arial"/>
          <w:sz w:val="18"/>
          <w:szCs w:val="18"/>
          <w:color w:val="000000"/>
        </w:rPr>
        <w:t>the Commercial segment, we operate on our clients’ behalf to deliver mission-critical solutions and services to reduce costs, improve efficiencies and enhance performance for our clients and deliver better experiences for their consumers and employees.</w:t>
      </w:r>
    </w:p>
    <w:p>
      <w:pPr>
        <w:spacing w:after="0" w:line="116" w:lineRule="exact"/>
        <w:rPr>
          <w:rFonts w:ascii="Arial" w:cs="Arial" w:eastAsia="Arial" w:hAnsi="Arial"/>
          <w:sz w:val="18"/>
          <w:szCs w:val="18"/>
          <w:color w:val="auto"/>
        </w:rPr>
      </w:pPr>
    </w:p>
    <w:p>
      <w:pPr>
        <w:ind w:left="340" w:right="12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w:t>
      </w:r>
      <w:r>
        <w:rPr>
          <w:rFonts w:ascii="Arial" w:cs="Arial" w:eastAsia="Arial" w:hAnsi="Arial"/>
          <w:sz w:val="18"/>
          <w:szCs w:val="18"/>
          <w:color w:val="000000"/>
        </w:rPr>
        <w:t>– Our Government segment provides government-centric business process services to U.S. federal, state and local</w:t>
      </w:r>
      <w:r>
        <w:rPr>
          <w:rFonts w:ascii="Arial" w:cs="Arial" w:eastAsia="Arial" w:hAnsi="Arial"/>
          <w:sz w:val="18"/>
          <w:szCs w:val="18"/>
          <w:b w:val="1"/>
          <w:bCs w:val="1"/>
          <w:color w:val="3051F2"/>
        </w:rPr>
        <w:t xml:space="preserve"> </w:t>
      </w:r>
      <w:r>
        <w:rPr>
          <w:rFonts w:ascii="Arial" w:cs="Arial" w:eastAsia="Arial" w:hAnsi="Arial"/>
          <w:sz w:val="18"/>
          <w:szCs w:val="18"/>
          <w:color w:val="000000"/>
        </w:rPr>
        <w:t>government agencies and foreign governments for public assistance, healthcare programs and administration, transaction processing and payment services. The solutions in this segment help governments provide constituents access and delivery of benefits, respond to changing rules for eligibility and keep pace with increasing citizen expectations.</w:t>
      </w:r>
    </w:p>
    <w:p>
      <w:pPr>
        <w:spacing w:after="0" w:line="122" w:lineRule="exact"/>
        <w:rPr>
          <w:rFonts w:ascii="Arial" w:cs="Arial" w:eastAsia="Arial" w:hAnsi="Arial"/>
          <w:sz w:val="18"/>
          <w:szCs w:val="18"/>
          <w:color w:val="auto"/>
        </w:rPr>
      </w:pPr>
    </w:p>
    <w:p>
      <w:pPr>
        <w:ind w:left="340" w:right="320" w:hanging="332"/>
        <w:spacing w:after="0" w:line="27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systems, support, and revenue-generating solutions, to government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transportation agencies. We deliver mission-critical public safety, mobility and digital payment solutions that streamline operations, increase revenue and reduce congestion while creating safe, seamless travel experiences for consumers and reducing impact on the environment.</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2024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first quarter of 2023, we held an investor briefing to communicate the next chapter in the Conduent journey. Our intense emphasis on growth, quality, and efficiency, beginning in the first quarter of 2020, resulted in a strengthened foundation. We remain focused on accelerating growth and enhancing value for our stakeholders and intend to achieve this by doubling down on key themes outlined in the March 2023 investor briefing. We also intend to continue our portfolio rationalization strategy, divesting certain solutions which have either scarcity value outside of Conduent or are capital intensive relative to their growth opportunity, and thereby allowing management the bandwidth and increased capital to focus on solutions where we believe we have competitive advantages or higher growth expectations.</w:t>
      </w:r>
    </w:p>
    <w:p>
      <w:pPr>
        <w:spacing w:after="0" w:line="12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believe this focus on our portfolio rationalization strategy will result in a more nimble and faster growing Conduent with modest levels of net leverage, enhanced valuation, and significant excess capital to be deployed over time.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During 2024 we have achieved the following:</w:t>
      </w:r>
    </w:p>
    <w:p>
      <w:pPr>
        <w:spacing w:after="0" w:line="117" w:lineRule="exact"/>
        <w:rPr>
          <w:sz w:val="20"/>
          <w:szCs w:val="20"/>
          <w:color w:val="auto"/>
        </w:rPr>
      </w:pPr>
    </w:p>
    <w:p>
      <w:pPr>
        <w:ind w:left="660" w:right="12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continue to make progress with our portfolio rationalization strategy. During the first quarter we closed the first tranche of the BenefitWallet portfolio transfer, representing approximately 40% of the total assets, receiving $164 million as the pro-rata share of the Purchase Price. The second tranche closed in April representing approximately 20% of the total assets, receiving $85 million as the pro-rata share of the Purchase Price. We anticipate the remainder of the portfolio to transfer later in the second quarter. Proceeds from the first and second tranches, plus cash on hand, were used to voluntarily prepay $259 million of the Term Loan B.</w:t>
      </w:r>
    </w:p>
    <w:p>
      <w:pPr>
        <w:spacing w:after="0" w:line="71"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Curbside Parking and Public Safety Solutions divestiture announced on December 28, 2023 closed on April 30, 2024. We also continue to pursue other divestiture opportunities, each at different stages of the divestiture process.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our share repurchase program, repurchasing 4.8 million shares of common stock during the quarter.</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Information and Analysis of Results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2024 vs. 2023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7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Revenue for the three months ended March 31, 2024 was substantially unchanged, compared to the prior year period, with new business ramp including the State of Victoria contract, stronger volumes and operational execution in our Transportation segment, offsetting lost business, lower volumes in our Commercial and Government segments, and the impact of the completion of the first tranche of the BenefitWallet Transfer.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Cost of services for the three months ended March 31, 2024 increased, compared to the prior year period, primarily driven by the absence of a $17 million reversal of liabilities due to the settlement of the Cognizant matter in the prior year described in Note 16 – Contingencies and Litigation to the Consolidated Financial Statements included in our 2023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5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SG&amp;A for the three months ended March 31, 2024 increased, compared to the prior year period, driven by costs to transition away from a technology vendor.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for the three months ended March 31, 2024 was substantially unchanged compared to the prior year period.</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71"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p>
      <w:pPr>
        <w:ind w:left="9060"/>
        <w:spacing w:after="0" w:line="229" w:lineRule="auto"/>
        <w:rPr>
          <w:sz w:val="20"/>
          <w:szCs w:val="20"/>
          <w:color w:val="auto"/>
        </w:rPr>
      </w:pPr>
      <w:r>
        <w:rPr>
          <w:rFonts w:ascii="Arial" w:cs="Arial" w:eastAsia="Arial" w:hAnsi="Arial"/>
          <w:sz w:val="14"/>
          <w:szCs w:val="14"/>
          <w:color w:val="auto"/>
        </w:rPr>
        <w:t>Three Months Ended</w:t>
      </w:r>
    </w:p>
    <w:p>
      <w:pPr>
        <w:ind w:left="944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2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8"/>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4"/>
                <w:szCs w:val="14"/>
                <w:color w:val="auto"/>
              </w:rPr>
              <w:t>Data center consolidation costs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2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insourcing and asset impairment costs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2"/>
        </w:trPr>
        <w:tc>
          <w:tcPr>
            <w:tcW w:w="20" w:type="dxa"/>
            <w:vAlign w:val="bottom"/>
          </w:tcPr>
          <w:p>
            <w:pPr>
              <w:spacing w:after="0"/>
              <w:rPr>
                <w:sz w:val="16"/>
                <w:szCs w:val="16"/>
                <w:color w:val="auto"/>
              </w:rPr>
            </w:pPr>
          </w:p>
        </w:tc>
        <w:tc>
          <w:tcPr>
            <w:tcW w:w="8240" w:type="dxa"/>
            <w:vAlign w:val="bottom"/>
            <w:gridSpan w:val="2"/>
          </w:tcPr>
          <w:p>
            <w:pPr>
              <w:spacing w:after="0"/>
              <w:rPr>
                <w:sz w:val="20"/>
                <w:szCs w:val="20"/>
                <w:color w:val="auto"/>
              </w:rPr>
            </w:pPr>
            <w:r>
              <w:rPr>
                <w:rFonts w:ascii="Arial" w:cs="Arial" w:eastAsia="Arial" w:hAnsi="Arial"/>
                <w:sz w:val="14"/>
                <w:szCs w:val="14"/>
                <w:color w:val="auto"/>
              </w:rPr>
              <w:t>Total net current period charges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7"/>
        </w:trPr>
        <w:tc>
          <w:tcPr>
            <w:tcW w:w="2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Consulting and other costs</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4"/>
                <w:szCs w:val="14"/>
                <w:color w:val="auto"/>
              </w:rPr>
              <w:t>Restructuring and related costs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professional support costs associated with certain strategic transformation programs.</w:t>
      </w:r>
    </w:p>
    <w:p>
      <w:pPr>
        <w:spacing w:after="0" w:line="16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Restructuring and related costs for the three months ended March 31, 2024 decreased compared to the prior year period. The decrease is primarily driven by severance and related costs related to the closure of one of our Commercial segment operations in Europe in the prior year period.</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Refer to Note 6 – Restructuring Programs and Related Costs to the Condensed Consolidated Financial Statements for additional information regarding our restructuring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Interest expense represents interest on long-term debt and the amortization of debt issuance costs. Interest expense for the three months ended March 31, 2024, compared to the prior year period, was substantially unchanged.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completion of the first tranche of the BenefitWallet Transfer in the first quarter of 2024 resulted in a gain of $164 million. Additionally, professional fees and other costs related to certain consummated and non-consummated transactions considered by the Company are included in this financial statement line item for both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5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Litigation settlements (recoveries), net for the three months ended March 31, 2023 primarily consisted of a $26 million reversal of reserves due to the settlement of the Cognizant matter.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effective tax rate for the three months ended March 31, 2024 was 21.9%, compared to 20.8% for the three months ended March 31, 2023. The March 31, 2024 rate approximates the U.S. statutory rate of 21% as incremental tax from geographic mix of income and state taxes was offset by tax benefit from valuation and audit settlement reserve releases. The effective tax rate for the three months ended March 31, 2023 also approximated the U.S. statutory rate.</w:t>
      </w:r>
    </w:p>
    <w:p>
      <w:pPr>
        <w:spacing w:after="0" w:line="12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Excluding the impact of the Benefit Wallet Transfer, restructuring costs, amortization of intangible assets, litigation reserve, audit settlement reserve release, valuation allowance and other discrete tax items, the normalized effective tax rate for the three months ended March 31, 2024 was 22.2%. The normalized effective tax rate for the three months ended March 31, 2023 was 35.0%, primarily due to excluding the impact of restructuring costs, litigation reserve releases, valuation allowance and certain discrete tax items. The normalized effective tax rate for the three months ended March 31, 2024 was lower than the three months ended March 31, 2023 rate due to the geographic mix of income.</w:t>
      </w:r>
    </w:p>
    <w:p>
      <w:pPr>
        <w:spacing w:after="0" w:line="200" w:lineRule="exact"/>
        <w:rPr>
          <w:sz w:val="20"/>
          <w:szCs w:val="20"/>
          <w:color w:val="auto"/>
        </w:rPr>
      </w:pPr>
    </w:p>
    <w:p>
      <w:pPr>
        <w:spacing w:after="0" w:line="32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2021, the Organization for Economic Cooperation and Development ("OECD") released model rules for a 15% global minimum tax, known as Pillar Two. Pillar Two has now been enacted by approximately 30 countries. This alternative minimum tax is treated as a period cost beginning in 2024 and does not have a material impact on the Company's financial results of operations for the current period. The Company is monitoring legislative developments, as well as additional guidance from countries that have enacted legislation. We anticipate further legislative activity and administrative guidance in 2024.</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Profit/(Loss) and Segment Adjusted Earnings before Interest, Taxes, Depreciation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Amortization ("Adjusted EBITDA") for the following three segments:</w:t>
      </w:r>
    </w:p>
    <w:p>
      <w:pPr>
        <w:spacing w:after="0" w:line="4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BenefitWallet and the Curbside Management and Public Safety Solutions businesses are expected to be reclassified to Divestitures from our Commercial and Transportation segments, respectively, beginning in the second quarter of 2024.</w:t>
      </w:r>
    </w:p>
    <w:p>
      <w:pPr>
        <w:spacing w:after="0" w:line="9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Results of financial performance by segment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March 31,</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42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10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Government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Transportation</w:t>
            </w:r>
          </w:p>
        </w:tc>
        <w:tc>
          <w:tcPr>
            <w:tcW w:w="138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3"/>
                <w:szCs w:val="13"/>
                <w:color w:val="auto"/>
              </w:rPr>
            </w:pPr>
          </w:p>
        </w:tc>
        <w:tc>
          <w:tcPr>
            <w:tcW w:w="94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6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258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921</w:t>
            </w:r>
          </w:p>
        </w:tc>
      </w:tr>
      <w:tr>
        <w:trPr>
          <w:trHeight w:val="207"/>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ind w:left="52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62</w:t>
            </w:r>
          </w:p>
        </w:tc>
      </w:tr>
      <w:tr>
        <w:trPr>
          <w:trHeight w:val="207"/>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19.5 %</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4.4 %</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7.5 %</w:t>
            </w:r>
          </w:p>
        </w:tc>
      </w:tr>
      <w:tr>
        <w:trPr>
          <w:trHeight w:val="274"/>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2023</w:t>
            </w:r>
          </w:p>
        </w:tc>
        <w:tc>
          <w:tcPr>
            <w:tcW w:w="3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922</w:t>
            </w: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ind w:left="38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30</w:t>
            </w:r>
          </w:p>
        </w:tc>
      </w:tr>
      <w:tr>
        <w:trPr>
          <w:trHeight w:val="206"/>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w:t>
            </w: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83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ind w:left="380"/>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90</w:t>
            </w:r>
          </w:p>
        </w:tc>
      </w:tr>
      <w:tr>
        <w:trPr>
          <w:trHeight w:val="166"/>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16.3 %</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06"/>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740" w:type="dxa"/>
            <w:vAlign w:val="bottom"/>
            <w:gridSpan w:val="4"/>
          </w:tcPr>
          <w:p>
            <w:pPr>
              <w:spacing w:after="0" w:line="144" w:lineRule="exact"/>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2"/>
                <w:szCs w:val="12"/>
                <w:color w:val="auto"/>
              </w:rPr>
            </w:pPr>
          </w:p>
        </w:tc>
        <w:tc>
          <w:tcPr>
            <w:tcW w:w="1360" w:type="dxa"/>
            <w:vAlign w:val="bottom"/>
            <w:gridSpan w:val="3"/>
          </w:tcPr>
          <w:p>
            <w:pPr>
              <w:jc w:val="right"/>
              <w:ind w:right="8"/>
              <w:spacing w:after="0" w:line="144" w:lineRule="exact"/>
              <w:rPr>
                <w:sz w:val="20"/>
                <w:szCs w:val="20"/>
                <w:color w:val="auto"/>
              </w:rPr>
            </w:pPr>
            <w:r>
              <w:rPr>
                <w:rFonts w:ascii="Arial" w:cs="Arial" w:eastAsia="Arial" w:hAnsi="Arial"/>
                <w:sz w:val="14"/>
                <w:szCs w:val="14"/>
                <w:color w:val="auto"/>
              </w:rPr>
              <w:t>March 31,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74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7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4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gridSpan w:val="4"/>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settlements (recoveries)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gridSpan w:val="4"/>
          </w:tcPr>
          <w:p>
            <w:pPr>
              <w:ind w:left="1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40" w:type="dxa"/>
            <w:vAlign w:val="bottom"/>
            <w:gridSpan w:val="4"/>
          </w:tcPr>
          <w:p>
            <w:pPr>
              <w:spacing w:after="0"/>
              <w:rPr>
                <w:sz w:val="20"/>
                <w:szCs w:val="20"/>
                <w:color w:val="auto"/>
              </w:rPr>
            </w:pPr>
            <w:r>
              <w:rPr>
                <w:rFonts w:ascii="Arial" w:cs="Arial" w:eastAsia="Arial" w:hAnsi="Arial"/>
                <w:sz w:val="14"/>
                <w:szCs w:val="14"/>
                <w:b w:val="1"/>
                <w:bCs w:val="1"/>
                <w:color w:val="auto"/>
              </w:rPr>
              <w:t>Segment Profit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87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Segment depreciation and amortization (including contract inducements)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40" w:type="dxa"/>
            <w:vAlign w:val="bottom"/>
            <w:gridSpan w:val="4"/>
          </w:tcPr>
          <w:p>
            <w:pPr>
              <w:spacing w:after="0"/>
              <w:rPr>
                <w:sz w:val="20"/>
                <w:szCs w:val="20"/>
                <w:color w:val="auto"/>
              </w:rPr>
            </w:pPr>
            <w:r>
              <w:rPr>
                <w:rFonts w:ascii="Arial" w:cs="Arial" w:eastAsia="Arial" w:hAnsi="Arial"/>
                <w:sz w:val="14"/>
                <w:szCs w:val="14"/>
                <w:b w:val="1"/>
                <w:bCs w:val="1"/>
                <w:color w:val="auto"/>
              </w:rPr>
              <w:t>Adjusted EBITDA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Commercial revenue for the three months ended March 31, 2024 declined compared to the prior year period, driven by lost business across the segment, the impact of the completion of the first tranche of the BenefitWallet portfolio transfer and lower volumes in certain industries of our client base, partially offset by new business ramp.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auto"/>
        </w:rPr>
        <w:t>Commercial segment profit, adjusted EBITDA and adjusted EBITDA margin for the three months ended March 31, 2024 increased compared to the prior year period primarily driven by cost efficiencies, partially offset by the completion of the first tranche of the BenefitWallet Transfer.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Government revenue for the three months ended March 31, 2024 decreased, compared to the prior year period, primarily driven by lost business and lower volumes, partially offset by the ramping of new business and a non-repeating item in the prior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Government segment profit, adjusted EBITDA and adjusted EBITDA margin for the three months ended March 31, 2024 decreased compared to the prior year period primarily due to the absence of a $17 million reversal of liabilities due to the settlement of the Cognizant matter in the prior year and revenue mix.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Transportation revenue for the three months ended March 31, 2024 increased compared to the prior year period, primarily driven by the ramping of new business, including the State of Victoria contract, higher volumes and less impact from extended implementation timelines compared to the prior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jc w:val="both"/>
        <w:ind w:right="660"/>
        <w:spacing w:after="0" w:line="268" w:lineRule="auto"/>
        <w:rPr>
          <w:sz w:val="20"/>
          <w:szCs w:val="20"/>
          <w:color w:val="auto"/>
        </w:rPr>
      </w:pPr>
      <w:r>
        <w:rPr>
          <w:rFonts w:ascii="Arial" w:cs="Arial" w:eastAsia="Arial" w:hAnsi="Arial"/>
          <w:sz w:val="18"/>
          <w:szCs w:val="18"/>
          <w:color w:val="auto"/>
        </w:rPr>
        <w:t>Transportation segment profit, adjusted EBITDA and adjusted EBITDA margin for the three months ended March 31, 2024 increased primarily due to the impact of increased revenue and less impact from extended implementation timelines compared to the prior year, partially offset with costs to transition the non-retained portion of a Transit contract.</w:t>
      </w:r>
    </w:p>
    <w:p>
      <w:pPr>
        <w:spacing w:after="0" w:line="200" w:lineRule="exact"/>
        <w:rPr>
          <w:sz w:val="20"/>
          <w:szCs w:val="20"/>
          <w:color w:val="auto"/>
        </w:rPr>
      </w:pPr>
    </w:p>
    <w:p>
      <w:pPr>
        <w:spacing w:after="0" w:line="33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Unallocated Costs for the three months ended March 31, 2024 increased slightly compared to the prior year period primarily due to costs to transition away from a technology vendor.</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Metrics</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present certain key metrics, including Signings and Net ARR Activity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Total Contract Value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Annual Contract Value ("ACV") is calculated as TCV divided by the contract term, in months, multiplied by 12 for an annual measure.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2024, the Company signed $99 million of new business ACV.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Signing information for the three months ended March 31, 2024 and 2023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5"/>
          </w:tcPr>
          <w:p>
            <w:pPr>
              <w:ind w:left="6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2024 vs. 2023</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3"/>
                <w:szCs w:val="13"/>
                <w:color w:val="auto"/>
              </w:rPr>
            </w:pPr>
          </w:p>
        </w:tc>
        <w:tc>
          <w:tcPr>
            <w:tcW w:w="1220" w:type="dxa"/>
            <w:vAlign w:val="bottom"/>
          </w:tcPr>
          <w:p>
            <w:pPr>
              <w:jc w:val="right"/>
              <w:ind w:right="468"/>
              <w:spacing w:after="0" w:line="156" w:lineRule="exact"/>
              <w:rPr>
                <w:sz w:val="20"/>
                <w:szCs w:val="20"/>
                <w:color w:val="auto"/>
              </w:rPr>
            </w:pPr>
            <w:r>
              <w:rPr>
                <w:rFonts w:ascii="Arial" w:cs="Arial" w:eastAsia="Arial" w:hAnsi="Arial"/>
                <w:sz w:val="14"/>
                <w:szCs w:val="14"/>
                <w:color w:val="auto"/>
              </w:rPr>
              <w:t>2024</w:t>
            </w:r>
            <w:r>
              <w:rPr>
                <w:rFonts w:ascii="Arial" w:cs="Arial" w:eastAsia="Arial" w:hAnsi="Arial"/>
                <w:sz w:val="18"/>
                <w:szCs w:val="18"/>
                <w:color w:val="auto"/>
                <w:vertAlign w:val="superscript"/>
              </w:rPr>
              <w:t>(3)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ind w:right="488"/>
              <w:spacing w:after="0" w:line="156" w:lineRule="exact"/>
              <w:rPr>
                <w:sz w:val="20"/>
                <w:szCs w:val="20"/>
                <w:color w:val="auto"/>
              </w:rPr>
            </w:pPr>
            <w:r>
              <w:rPr>
                <w:rFonts w:ascii="Arial" w:cs="Arial" w:eastAsia="Arial" w:hAnsi="Arial"/>
                <w:sz w:val="14"/>
                <w:szCs w:val="14"/>
                <w:color w:val="auto"/>
              </w:rPr>
              <w:t>2023</w:t>
            </w:r>
            <w:r>
              <w:rPr>
                <w:rFonts w:ascii="Arial" w:cs="Arial" w:eastAsia="Arial" w:hAnsi="Arial"/>
                <w:sz w:val="18"/>
                <w:szCs w:val="18"/>
                <w:color w:val="auto"/>
                <w:vertAlign w:val="superscript"/>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5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Adjusted to remove Midas new business signings.</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total new business pipeline at the end of March 31, 2024 and 2023 was $24.0 billion and $23.2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Net ARR Activity is a metric is defined as Projected Annual Recurring Revenue for contracts signed in the prior 12 months, less the annualized impact of any client losses, contractual volume and price changes, and other known impacts for which the Company was notified</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that same time period, which could positively or negatively impact results. The metric annualizes the net impact to revenue. Timing of revenue impact varies and may not be realized within the forward 12-month timeframe. The metric is for indicative purposes only. This metric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excludes non-recurring revenue signings. This metric is not indicative of any specific 12-month timeframe.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five quarters was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2100" w:type="dxa"/>
            <w:vAlign w:val="bottom"/>
          </w:tcPr>
          <w:p>
            <w:pPr>
              <w:jc w:val="right"/>
              <w:ind w:right="368"/>
              <w:spacing w:after="0"/>
              <w:rPr>
                <w:sz w:val="20"/>
                <w:szCs w:val="20"/>
                <w:color w:val="auto"/>
              </w:rPr>
            </w:pPr>
            <w:r>
              <w:rPr>
                <w:rFonts w:ascii="Arial" w:cs="Arial" w:eastAsia="Arial" w:hAnsi="Arial"/>
                <w:sz w:val="14"/>
                <w:szCs w:val="14"/>
                <w:color w:val="auto"/>
              </w:rPr>
              <w:t>Net ARR Activity metric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2024</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December 31, 2023</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2023</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June 30, 2023</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2023</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6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of March 31, 2024 and December 31, 2023, total cash and cash equivalents were $415 million and $498 million, respectively. We also have a $550 million revolving line of credit for our various cash needs, of which $2 million was used for letters of credit. The net amount available to be drawn upon under our revolving line of credit as of March 31, 2024, was $548 million.</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of March 31, 2024, our total principal debt outstanding was $1,131 million, of which $33 million was due within one year. Refer to Note 7 – Debt in the Condensed Consolidated Financial Statements for additional debt information.</w:t>
      </w:r>
    </w:p>
    <w:p>
      <w:pPr>
        <w:spacing w:after="0" w:line="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5"/>
          </w:tcPr>
          <w:p>
            <w:pPr>
              <w:ind w:left="220"/>
              <w:spacing w:after="0"/>
              <w:rPr>
                <w:sz w:val="20"/>
                <w:szCs w:val="20"/>
                <w:color w:val="auto"/>
              </w:rPr>
            </w:pPr>
            <w:r>
              <w:rPr>
                <w:rFonts w:ascii="Arial" w:cs="Arial" w:eastAsia="Arial" w:hAnsi="Arial"/>
                <w:sz w:val="14"/>
                <w:szCs w:val="14"/>
                <w:color w:val="auto"/>
              </w:rPr>
              <w:t>Three Months Ended March 31,</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Better (Worse)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8"/>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165</w:t>
            </w:r>
          </w:p>
        </w:tc>
      </w:tr>
      <w:tr>
        <w:trPr>
          <w:trHeight w:val="207"/>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net increase in cash used in operating activities of $25 million, compared to the prior year period, was primarily related to lower adjusted EBITDA, slightly higher accounts receivable days sales outstanding and lower days payable outstanding. These were partially offset by lower cash income tax payments. In the first quarter of 2024, we had net cash tax refunds of $22 million, primarily due to the receipt of the U.S. federal income tax refund related to tax year 2018.</w:t>
      </w:r>
    </w:p>
    <w:p>
      <w:pPr>
        <w:spacing w:after="0" w:line="200" w:lineRule="exact"/>
        <w:rPr>
          <w:sz w:val="20"/>
          <w:szCs w:val="20"/>
          <w:color w:val="auto"/>
        </w:rPr>
      </w:pPr>
    </w:p>
    <w:p>
      <w:pPr>
        <w:spacing w:after="0" w:line="32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7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Investing cash flow increased by $165 million mainly due to $164 million of proceeds received for the first tranche of the BenefitWallet Transfer.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increase in cash used in financing activities was mainly driven by the voluntary prepayment of $164 million of debt using the proceeds received for the first tranche of the BenefitWallet Transfer along, with the repurchase of $17 million of treasury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Sales of Accounts Receivable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entered into a factoring agreement in the normal course of business as part of our cash and liquidity management, to sell certain accounts receivable without recourse to a third-party financial institution. The transactions under this agreement are treated as sales and are accounted for as reductions in accounts receivable because the agreement transfers effective control over, and risk related to, the receivables to the buyer. Cash proceeds from this arrangement are included in cash flow from operating activities in the Condensed Consolidated Statements of Cash Flows.</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net impact from the sales of accounts receivable on net cash provided by (used in) operating activities for the three months ended March 31, 2024 and 2023 was $(8) million and $(13)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believes its balances of cash and cash equivalents, which totaled $415 million as of March 31, 2024, along with cash generated by operations and amounts available for borrowing under its 2021 Revolving Credit Facility, will be sufficient to satisfy its cash requirements over the next 12 months and beyond.</w:t>
      </w:r>
    </w:p>
    <w:p>
      <w:pPr>
        <w:spacing w:after="0" w:line="11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At March 31, 2024, the Company’s material cash requirements include debt, leases and estimated purchase commitments. See Part II, Item 7 – Management's Discussion and Analysis of Financial Condition and Results of Operation of our Annual Report on Form 10-K for the year ended December 31, 2023 for additional information on our material cash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6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of America ("U.S. GAAP"). The preparation of financial statements in conformity with U.S. GAAP requires us to make estimates and assumptions in certain circumstances that affect amounts reported in the accompanying Condensed Consolidated Financial Statements and notes thereto.</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There have been no significant changes during the three months ended March 31, 2024 to our critical accounting estimates and policies from those disclosed in our Annual Report on Form 10-K for the year ended December 31, 2023.</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Non-GAAP Financial Measures</w:t>
      </w:r>
    </w:p>
    <w:p>
      <w:pPr>
        <w:spacing w:after="0" w:line="16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reported our financial results in accordance with accounting principles generally accepted in the U.S. (U.S. GAAP). In addition, within this Form 10-Q Part I Item 2 we have discussed our financial results using non-GAAP measures.</w:t>
      </w:r>
    </w:p>
    <w:p>
      <w:pPr>
        <w:spacing w:after="0" w:line="200" w:lineRule="exact"/>
        <w:rPr>
          <w:sz w:val="20"/>
          <w:szCs w:val="20"/>
          <w:color w:val="auto"/>
        </w:rPr>
      </w:pPr>
    </w:p>
    <w:p>
      <w:pPr>
        <w:spacing w:after="0" w:line="31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against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and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spacing w:after="0" w:line="136" w:lineRule="exact"/>
        <w:rPr>
          <w:sz w:val="20"/>
          <w:szCs w:val="20"/>
          <w:color w:val="auto"/>
        </w:rPr>
      </w:pPr>
    </w:p>
    <w:p>
      <w:pPr>
        <w:ind w:right="680"/>
        <w:spacing w:after="0" w:line="318" w:lineRule="auto"/>
        <w:rPr>
          <w:sz w:val="20"/>
          <w:szCs w:val="20"/>
          <w:color w:val="auto"/>
        </w:rPr>
      </w:pPr>
      <w:r>
        <w:rPr>
          <w:rFonts w:ascii="Arial" w:cs="Arial" w:eastAsia="Arial" w:hAnsi="Arial"/>
          <w:sz w:val="17"/>
          <w:szCs w:val="17"/>
          <w:color w:val="auto"/>
        </w:rPr>
        <w:t>A reconciliation of the non-GAAP financial measures Adjusted EBITDA and EBITDA Margin to the most directly comparable financial measures calculated and presented in accordance with U.S. GAAP are provided in the Segment Performance Review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Adjusted EBITDA and Adjusted EBITDA Margin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 Margin is adjusted EBITDA divided by revenue. Adjusted EBITDA represents income (loss) before interest, income taxes, depreciation and amortization and contract inducement amortization adjusted for the following items:</w:t>
      </w:r>
    </w:p>
    <w:p>
      <w:pPr>
        <w:spacing w:after="0" w:line="71" w:lineRule="exact"/>
        <w:rPr>
          <w:sz w:val="20"/>
          <w:szCs w:val="20"/>
          <w:color w:val="auto"/>
        </w:rPr>
      </w:pPr>
    </w:p>
    <w:p>
      <w:pPr>
        <w:ind w:left="660" w:right="12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Amortization of acquired intangible assets. The amortization of acquired intangible assets is driven by acquisition activity, which can vary in size, nature and timing as compared to other companies within our industry and from period to period.</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and related costs. Restructuring and related costs include restructuring and asset impairment charges as well as costs associated with our strategic transformation program.</w:t>
      </w:r>
    </w:p>
    <w:p>
      <w:pPr>
        <w:ind w:left="660" w:right="30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Goodwill impairment. This represents goodwill impairment charges related to entering the agreement to transfer the BenefitWallet portfolio.</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(Gain) loss on divestitures and transaction costs. Represents (gain) loss on divested businesses and transaction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settlements (recoveries), net represents settlements or recoveries for various matters subject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on extinguishment of debt. This represents write-off of debt issuance costs related to prepayments of debt.</w:t>
      </w:r>
    </w:p>
    <w:p>
      <w:pPr>
        <w:spacing w:after="0" w:line="9" w:lineRule="exact"/>
        <w:rPr>
          <w:rFonts w:ascii="Arial" w:cs="Arial" w:eastAsia="Arial" w:hAnsi="Arial"/>
          <w:sz w:val="18"/>
          <w:szCs w:val="18"/>
          <w:color w:val="auto"/>
        </w:rPr>
      </w:pPr>
    </w:p>
    <w:p>
      <w:pPr>
        <w:ind w:left="660" w:right="40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charges (credits). This includes Other (income) expenses, net on the Consolidated Statements of Income (loss) and other insignificant (income) expenses and other adjustments.</w:t>
      </w:r>
    </w:p>
    <w:p>
      <w:pPr>
        <w:spacing w:after="0" w:line="117"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Adjusted EBITDA is not intended to represent cash flows from operations, operating income (loss) or net income (loss) as defined by U.S. GAAP as indicators of operating performance. Management cautions that amounts presented in accordance with Conduent's definition of adjusted EBITDA and adjusted EBITDA Margin may not be comparable to similar measures disclosed by other companies because not all companies calculate adjusted EBITDA and adjusted EBITDA Margin in the same manner.</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exposed to market risk from changes in foreign currency exchange rates which could affect operating results, financial position and cash flows. We manage our exposure to these market risks through our regular operating and financing activities and, when appropriate, through the use of derivative financial instruments. We may utilize derivative financial instruments to hedge economic exposures, as well as to reduce earnings and cash flow volatility resulting from shifts in market rates. We also may hedge the cost to fund material non-dollar entities by buying currencies periodically in advance of the funding date. This is accounted for using derivative accounting.</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Recent market and economic events have not caused us to materially modify nor change our financial risk management strategies with respect to our exposures to foreign currency risk. Refer to Note 18 – Financial Instruments in the Condensed Consolidated Financial Statements for additional discussion on our financial risk management.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2023.</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6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71"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 -15(e) under the Securities Exchange Act of 1934, as amended (the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27"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71" w:lineRule="exact"/>
        <w:rPr>
          <w:sz w:val="20"/>
          <w:szCs w:val="20"/>
          <w:color w:val="auto"/>
        </w:rPr>
      </w:pPr>
    </w:p>
    <w:p>
      <w:pPr>
        <w:ind w:left="340" w:right="160"/>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2024,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7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set forth under Note 12 – Contingencies and Litigation in the Condensed Consolidated Financial Statements of this Form 10-Q is incorporated herein by reference in answer to this Item.</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2023. There have been no material changes to our risk factors as previously reported in our Annual Report on Form 10-K for the year ended December 31, 2023.</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62"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March 31, 2024</w:t>
      </w:r>
    </w:p>
    <w:p>
      <w:pPr>
        <w:spacing w:after="0" w:line="171" w:lineRule="exact"/>
        <w:rPr>
          <w:sz w:val="20"/>
          <w:szCs w:val="20"/>
          <w:color w:val="auto"/>
        </w:rPr>
      </w:pPr>
    </w:p>
    <w:p>
      <w:pPr>
        <w:ind w:left="420"/>
        <w:spacing w:after="0" w:line="287" w:lineRule="auto"/>
        <w:rPr>
          <w:sz w:val="20"/>
          <w:szCs w:val="20"/>
          <w:color w:val="auto"/>
        </w:rPr>
      </w:pPr>
      <w:r>
        <w:rPr>
          <w:rFonts w:ascii="Arial" w:cs="Arial" w:eastAsia="Arial" w:hAnsi="Arial"/>
          <w:sz w:val="18"/>
          <w:szCs w:val="18"/>
          <w:color w:val="auto"/>
        </w:rPr>
        <w:t>During the quarter ended March 31, 2024, the Company did not issue any securities in transactions that were not registered under the Securities Act of 1933, as amended.</w:t>
      </w:r>
    </w:p>
    <w:p>
      <w:pPr>
        <w:spacing w:after="0" w:line="99"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1269BC"/>
        </w:rPr>
      </w:pPr>
      <w:r>
        <w:rPr>
          <w:rFonts w:ascii="Arial" w:cs="Arial" w:eastAsia="Arial" w:hAnsi="Arial"/>
          <w:sz w:val="18"/>
          <w:szCs w:val="18"/>
          <w:b w:val="1"/>
          <w:bCs w:val="1"/>
          <w:color w:val="1269BC"/>
        </w:rPr>
        <w:t>Purchases of Equity Securities by the Issuer and Affiliated Purchasers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Share repurchase activity during the three months ended March 31, 2024 was as follows:</w:t>
      </w:r>
    </w:p>
    <w:p>
      <w:pPr>
        <w:spacing w:after="0" w:line="200" w:lineRule="exact"/>
        <w:rPr>
          <w:sz w:val="20"/>
          <w:szCs w:val="20"/>
          <w:color w:val="auto"/>
        </w:rPr>
      </w:pPr>
    </w:p>
    <w:p>
      <w:pPr>
        <w:spacing w:after="0" w:line="38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2024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2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135"/>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Purchased as a Part of</w:t>
            </w:r>
          </w:p>
        </w:tc>
        <w:tc>
          <w:tcPr>
            <w:tcW w:w="120" w:type="dxa"/>
            <w:vAlign w:val="bottom"/>
          </w:tcPr>
          <w:p>
            <w:pPr>
              <w:spacing w:after="0"/>
              <w:rPr>
                <w:sz w:val="11"/>
                <w:szCs w:val="11"/>
                <w:color w:val="auto"/>
              </w:rPr>
            </w:pPr>
          </w:p>
        </w:tc>
        <w:tc>
          <w:tcPr>
            <w:tcW w:w="27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May Yet Be Purchased Under Plan (in</w:t>
            </w:r>
          </w:p>
        </w:tc>
        <w:tc>
          <w:tcPr>
            <w:tcW w:w="0" w:type="dxa"/>
            <w:vAlign w:val="bottom"/>
          </w:tcPr>
          <w:p>
            <w:pPr>
              <w:spacing w:after="0"/>
              <w:rPr>
                <w:sz w:val="1"/>
                <w:szCs w:val="1"/>
                <w:color w:val="auto"/>
              </w:rPr>
            </w:pPr>
          </w:p>
        </w:tc>
      </w:tr>
      <w:tr>
        <w:trPr>
          <w:trHeight w:val="202"/>
        </w:trPr>
        <w:tc>
          <w:tcPr>
            <w:tcW w:w="1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Shares Purchased</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9"/>
                <w:szCs w:val="9"/>
                <w:b w:val="1"/>
                <w:bCs w:val="1"/>
                <w:color w:val="auto"/>
              </w:rPr>
              <w:t>(2)</w:t>
            </w:r>
          </w:p>
        </w:tc>
        <w:tc>
          <w:tcPr>
            <w:tcW w:w="10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97"/>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1-31, 2024</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1,534,393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1,534,393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9"/>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February 1-29, 2024</w:t>
            </w:r>
          </w:p>
        </w:tc>
        <w:tc>
          <w:tcPr>
            <w:tcW w:w="1560" w:type="dxa"/>
            <w:vAlign w:val="bottom"/>
          </w:tcPr>
          <w:p>
            <w:pPr>
              <w:jc w:val="right"/>
              <w:spacing w:after="0"/>
              <w:rPr>
                <w:sz w:val="20"/>
                <w:szCs w:val="20"/>
                <w:color w:val="auto"/>
              </w:rPr>
            </w:pPr>
            <w:r>
              <w:rPr>
                <w:rFonts w:ascii="Arial" w:cs="Arial" w:eastAsia="Arial" w:hAnsi="Arial"/>
                <w:sz w:val="14"/>
                <w:szCs w:val="14"/>
                <w:color w:val="auto"/>
              </w:rPr>
              <w:t>1,505,735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1,505,735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1-31,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1,783,779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1,783,779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0"/>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4,823,907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4,823,907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80" w:right="240" w:hanging="167"/>
        <w:spacing w:after="0" w:line="226" w:lineRule="auto"/>
        <w:tabs>
          <w:tab w:leader="none" w:pos="611"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On May 16, 2023, the Board of Directors authorized a three year share repurchase program, granting approval for the Company to repurchase up to $75 million of its common stock from time to time as market and business conditions warrant, including through open market purchases or Rule 10b5-1 trading plans.</w:t>
      </w:r>
    </w:p>
    <w:p>
      <w:pPr>
        <w:ind w:left="600" w:hanging="187"/>
        <w:spacing w:after="0" w:line="209" w:lineRule="auto"/>
        <w:tabs>
          <w:tab w:leader="none" w:pos="60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Average share price includes transaction commissions.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5 —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10b5-1 Plans</w:t>
      </w:r>
    </w:p>
    <w:p>
      <w:pPr>
        <w:spacing w:after="0" w:line="171"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During the three months ended March 31, 2024,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2" w:name="page33"/>
    <w:bookmarkEnd w:id="3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vMerge w:val="restart"/>
          </w:tcPr>
          <w:p>
            <w:pPr>
              <w:ind w:left="18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40" w:type="dxa"/>
            <w:vAlign w:val="bottom"/>
            <w:gridSpan w:val="15"/>
            <w:vMerge w:val="restart"/>
          </w:tcPr>
          <w:p>
            <w:pPr>
              <w:ind w:left="20"/>
              <w:spacing w:after="0"/>
              <w:rPr>
                <w:sz w:val="20"/>
                <w:szCs w:val="20"/>
                <w:color w:val="auto"/>
              </w:rPr>
            </w:pPr>
            <w:r>
              <w:rPr>
                <w:rFonts w:ascii="Arial" w:cs="Arial" w:eastAsia="Arial" w:hAnsi="Arial"/>
                <w:sz w:val="18"/>
                <w:szCs w:val="18"/>
                <w:color w:val="auto"/>
              </w:rPr>
              <w:t>Description</w:t>
            </w:r>
          </w:p>
        </w:tc>
        <w:tc>
          <w:tcPr>
            <w:tcW w:w="1020" w:type="dxa"/>
            <w:vAlign w:val="bottom"/>
          </w:tcPr>
          <w:p>
            <w:pPr>
              <w:jc w:val="cente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43"/>
        </w:trPr>
        <w:tc>
          <w:tcPr>
            <w:tcW w:w="13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140" w:type="dxa"/>
            <w:vAlign w:val="bottom"/>
            <w:gridSpan w:val="15"/>
            <w:vMerge w:val="continue"/>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183"/>
        </w:trPr>
        <w:tc>
          <w:tcPr>
            <w:tcW w:w="1320" w:type="dxa"/>
            <w:vAlign w:val="bottom"/>
          </w:tcPr>
          <w:p>
            <w:pPr>
              <w:spacing w:after="0" w:line="182" w:lineRule="exact"/>
              <w:rPr>
                <w:sz w:val="20"/>
                <w:szCs w:val="20"/>
                <w:color w:val="auto"/>
              </w:rPr>
            </w:pPr>
            <w:r>
              <w:rPr>
                <w:rFonts w:ascii="Arial" w:cs="Arial" w:eastAsia="Arial" w:hAnsi="Arial"/>
                <w:sz w:val="18"/>
                <w:szCs w:val="18"/>
                <w:color w:val="auto"/>
              </w:rPr>
              <w:t>2.1</w:t>
            </w:r>
          </w:p>
        </w:tc>
        <w:tc>
          <w:tcPr>
            <w:tcW w:w="20" w:type="dxa"/>
            <w:vAlign w:val="bottom"/>
            <w:tcBorders>
              <w:top w:val="single" w:sz="8" w:color="auto"/>
            </w:tcBorders>
          </w:tcPr>
          <w:p>
            <w:pPr>
              <w:spacing w:after="0"/>
              <w:rPr>
                <w:sz w:val="15"/>
                <w:szCs w:val="15"/>
                <w:color w:val="auto"/>
              </w:rPr>
            </w:pPr>
          </w:p>
        </w:tc>
        <w:tc>
          <w:tcPr>
            <w:tcW w:w="4340" w:type="dxa"/>
            <w:vAlign w:val="bottom"/>
            <w:tcBorders>
              <w:top w:val="single" w:sz="8" w:color="auto"/>
              <w:bottom w:val="single" w:sz="8" w:color="0000FF"/>
            </w:tcBorders>
            <w:gridSpan w:val="6"/>
          </w:tcPr>
          <w:p>
            <w:pPr>
              <w:spacing w:after="0" w:line="182"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Custodial Transfer and Purchase Agreement, between</w:t>
              </w:r>
            </w:hyperlink>
          </w:p>
        </w:tc>
        <w:tc>
          <w:tcPr>
            <w:tcW w:w="820" w:type="dxa"/>
            <w:vAlign w:val="bottom"/>
            <w:tcBorders>
              <w:top w:val="single" w:sz="8" w:color="auto"/>
            </w:tcBorders>
            <w:gridSpan w:val="12"/>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19"/>
          </w:tcPr>
          <w:p>
            <w:pPr>
              <w:spacing w:after="0" w:line="156" w:lineRule="exact"/>
              <w:rPr>
                <w:rFonts w:ascii="Arial" w:cs="Arial" w:eastAsia="Arial" w:hAnsi="Arial"/>
                <w:sz w:val="18"/>
                <w:szCs w:val="18"/>
                <w:color w:val="0000FF"/>
              </w:rPr>
            </w:pPr>
            <w:hyperlink r:id="rId43">
              <w:r>
                <w:rPr>
                  <w:rFonts w:ascii="Arial" w:cs="Arial" w:eastAsia="Arial" w:hAnsi="Arial"/>
                  <w:sz w:val="18"/>
                  <w:szCs w:val="18"/>
                  <w:color w:val="0000FF"/>
                </w:rPr>
                <w:t>Conduent Business Services, LLC and HealthEquity, Inc., dated</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43">
              <w:r>
                <w:rPr>
                  <w:rFonts w:ascii="Arial" w:cs="Arial" w:eastAsia="Arial" w:hAnsi="Arial"/>
                  <w:sz w:val="18"/>
                  <w:szCs w:val="18"/>
                  <w:color w:val="0000FF"/>
                </w:rPr>
                <w:t>as of September 18,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5240" w:type="dxa"/>
            <w:vAlign w:val="bottom"/>
            <w:gridSpan w:val="19"/>
          </w:tcPr>
          <w:p>
            <w:pPr>
              <w:spacing w:after="0"/>
              <w:rPr>
                <w:rFonts w:ascii="Arial" w:cs="Arial" w:eastAsia="Arial" w:hAnsi="Arial"/>
                <w:sz w:val="18"/>
                <w:szCs w:val="18"/>
                <w:color w:val="0000FF"/>
              </w:rPr>
            </w:pPr>
            <w:hyperlink r:id="rId44">
              <w:r>
                <w:rPr>
                  <w:rFonts w:ascii="Arial" w:cs="Arial" w:eastAsia="Arial" w:hAnsi="Arial"/>
                  <w:sz w:val="18"/>
                  <w:szCs w:val="18"/>
                  <w:color w:val="0000FF"/>
                </w:rPr>
                <w:t>Restated Certificate of Incorporation of Registrant filed with the</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Department of the State of New York on December 31, 2016.</w:t>
              </w:r>
            </w:hyperlink>
          </w:p>
        </w:tc>
        <w:tc>
          <w:tcPr>
            <w:tcW w:w="140" w:type="dxa"/>
            <w:vAlign w:val="bottom"/>
            <w:tcBorders>
              <w:top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240" w:type="dxa"/>
            <w:vAlign w:val="bottom"/>
            <w:gridSpan w:val="19"/>
          </w:tcPr>
          <w:p>
            <w:pPr>
              <w:spacing w:after="0"/>
              <w:rPr>
                <w:rFonts w:ascii="Arial" w:cs="Arial" w:eastAsia="Arial" w:hAnsi="Arial"/>
                <w:sz w:val="18"/>
                <w:szCs w:val="18"/>
                <w:color w:val="0000FF"/>
              </w:rPr>
            </w:pPr>
            <w:hyperlink r:id="rId45">
              <w:r>
                <w:rPr>
                  <w:rFonts w:ascii="Arial" w:cs="Arial" w:eastAsia="Arial" w:hAnsi="Arial"/>
                  <w:sz w:val="18"/>
                  <w:szCs w:val="18"/>
                  <w:color w:val="0000FF"/>
                </w:rPr>
                <w:t>Amended and Restated By-Laws of Registrant as amended</w:t>
              </w:r>
            </w:hyperlink>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45">
              <w:r>
                <w:rPr>
                  <w:rFonts w:ascii="Arial" w:cs="Arial" w:eastAsia="Arial" w:hAnsi="Arial"/>
                  <w:sz w:val="18"/>
                  <w:szCs w:val="18"/>
                  <w:color w:val="0000FF"/>
                </w:rPr>
                <w:t>through October 31, 2023.</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5240" w:type="dxa"/>
            <w:vAlign w:val="bottom"/>
            <w:gridSpan w:val="19"/>
          </w:tcPr>
          <w:p>
            <w:pPr>
              <w:spacing w:after="0"/>
              <w:rPr>
                <w:rFonts w:ascii="Arial" w:cs="Arial" w:eastAsia="Arial" w:hAnsi="Arial"/>
                <w:sz w:val="18"/>
                <w:szCs w:val="18"/>
                <w:color w:val="0000FF"/>
              </w:rPr>
            </w:pPr>
            <w:hyperlink r:id="rId46">
              <w:r>
                <w:rPr>
                  <w:rFonts w:ascii="Arial" w:cs="Arial" w:eastAsia="Arial" w:hAnsi="Arial"/>
                  <w:sz w:val="18"/>
                  <w:szCs w:val="18"/>
                  <w:color w:val="0000FF"/>
                </w:rPr>
                <w:t>Form of Director and Officer Indemnification Agreement.</w:t>
              </w:r>
            </w:hyperlink>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10.6(a)(i)**</w:t>
            </w:r>
          </w:p>
        </w:tc>
        <w:tc>
          <w:tcPr>
            <w:tcW w:w="20" w:type="dxa"/>
            <w:vAlign w:val="bottom"/>
          </w:tcPr>
          <w:p>
            <w:pPr>
              <w:spacing w:after="0"/>
              <w:rPr>
                <w:sz w:val="18"/>
                <w:szCs w:val="18"/>
                <w:color w:val="auto"/>
              </w:rPr>
            </w:pPr>
          </w:p>
        </w:tc>
        <w:tc>
          <w:tcPr>
            <w:tcW w:w="5240" w:type="dxa"/>
            <w:vAlign w:val="bottom"/>
            <w:gridSpan w:val="19"/>
          </w:tcPr>
          <w:p>
            <w:pPr>
              <w:spacing w:after="0"/>
              <w:rPr>
                <w:sz w:val="20"/>
                <w:szCs w:val="20"/>
                <w:color w:val="auto"/>
              </w:rPr>
            </w:pPr>
            <w:r>
              <w:rPr>
                <w:rFonts w:ascii="Arial" w:cs="Arial" w:eastAsia="Arial" w:hAnsi="Arial"/>
                <w:sz w:val="18"/>
                <w:szCs w:val="18"/>
                <w:color w:val="0000FF"/>
              </w:rPr>
              <w:t>Form of Restricted Stock Unit Award Agreement 2024 under the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2021 PIP</w:t>
            </w:r>
          </w:p>
        </w:tc>
        <w:tc>
          <w:tcPr>
            <w:tcW w:w="1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10.6(a)(ii)**</w:t>
            </w:r>
          </w:p>
        </w:tc>
        <w:tc>
          <w:tcPr>
            <w:tcW w:w="20" w:type="dxa"/>
            <w:vAlign w:val="bottom"/>
          </w:tcPr>
          <w:p>
            <w:pPr>
              <w:spacing w:after="0"/>
              <w:rPr>
                <w:sz w:val="19"/>
                <w:szCs w:val="19"/>
                <w:color w:val="auto"/>
              </w:rPr>
            </w:pPr>
          </w:p>
        </w:tc>
        <w:tc>
          <w:tcPr>
            <w:tcW w:w="5240" w:type="dxa"/>
            <w:vAlign w:val="bottom"/>
            <w:gridSpan w:val="19"/>
          </w:tcPr>
          <w:p>
            <w:pPr>
              <w:spacing w:after="0"/>
              <w:rPr>
                <w:sz w:val="20"/>
                <w:szCs w:val="20"/>
                <w:color w:val="auto"/>
              </w:rPr>
            </w:pPr>
            <w:r>
              <w:rPr>
                <w:rFonts w:ascii="Arial" w:cs="Arial" w:eastAsia="Arial" w:hAnsi="Arial"/>
                <w:sz w:val="18"/>
                <w:szCs w:val="18"/>
                <w:color w:val="0000FF"/>
              </w:rPr>
              <w:t>Form of Performance Stock Unit Award Agreement 2024</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(Adjusted Revenue Growth) under the 2021 PIP.</w:t>
            </w:r>
          </w:p>
        </w:tc>
        <w:tc>
          <w:tcPr>
            <w:tcW w:w="640" w:type="dxa"/>
            <w:vAlign w:val="bottom"/>
            <w:tcBorders>
              <w:top w:val="single" w:sz="8" w:color="0000FF"/>
            </w:tcBorders>
            <w:gridSpan w:val="3"/>
          </w:tcPr>
          <w:p>
            <w:pPr>
              <w:spacing w:after="0"/>
              <w:rPr>
                <w:sz w:val="13"/>
                <w:szCs w:val="13"/>
                <w:color w:val="auto"/>
              </w:rPr>
            </w:pPr>
          </w:p>
        </w:tc>
        <w:tc>
          <w:tcPr>
            <w:tcW w:w="3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10.6(a)(iii)**</w:t>
            </w:r>
          </w:p>
        </w:tc>
        <w:tc>
          <w:tcPr>
            <w:tcW w:w="20" w:type="dxa"/>
            <w:vAlign w:val="bottom"/>
          </w:tcPr>
          <w:p>
            <w:pPr>
              <w:spacing w:after="0"/>
              <w:rPr>
                <w:sz w:val="19"/>
                <w:szCs w:val="19"/>
                <w:color w:val="auto"/>
              </w:rPr>
            </w:pPr>
          </w:p>
        </w:tc>
        <w:tc>
          <w:tcPr>
            <w:tcW w:w="5240" w:type="dxa"/>
            <w:vAlign w:val="bottom"/>
            <w:gridSpan w:val="19"/>
          </w:tcPr>
          <w:p>
            <w:pPr>
              <w:spacing w:after="0"/>
              <w:rPr>
                <w:sz w:val="20"/>
                <w:szCs w:val="20"/>
                <w:color w:val="auto"/>
              </w:rPr>
            </w:pPr>
            <w:r>
              <w:rPr>
                <w:rFonts w:ascii="Arial" w:cs="Arial" w:eastAsia="Arial" w:hAnsi="Arial"/>
                <w:sz w:val="18"/>
                <w:szCs w:val="18"/>
                <w:color w:val="0000FF"/>
              </w:rPr>
              <w:t>Form of Performance Stock Unit Award Agreement 2024 (rTSR)</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7"/>
              </w:rPr>
              <w:t>under the 2021 PIP.</w:t>
            </w:r>
          </w:p>
        </w:tc>
        <w:tc>
          <w:tcPr>
            <w:tcW w:w="3520" w:type="dxa"/>
            <w:vAlign w:val="bottom"/>
            <w:tcBorders>
              <w:top w:val="single" w:sz="8" w:color="0000FF"/>
            </w:tcBorders>
            <w:gridSpan w:val="13"/>
          </w:tcPr>
          <w:p>
            <w:pPr>
              <w:spacing w:after="0"/>
              <w:rPr>
                <w:sz w:val="13"/>
                <w:szCs w:val="13"/>
                <w:color w:val="auto"/>
              </w:rPr>
            </w:pPr>
          </w:p>
        </w:tc>
        <w:tc>
          <w:tcPr>
            <w:tcW w:w="14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31(a)</w:t>
            </w:r>
          </w:p>
        </w:tc>
        <w:tc>
          <w:tcPr>
            <w:tcW w:w="20" w:type="dxa"/>
            <w:vAlign w:val="bottom"/>
          </w:tcPr>
          <w:p>
            <w:pPr>
              <w:spacing w:after="0"/>
              <w:rPr>
                <w:sz w:val="19"/>
                <w:szCs w:val="19"/>
                <w:color w:val="auto"/>
              </w:rPr>
            </w:pPr>
          </w:p>
        </w:tc>
        <w:tc>
          <w:tcPr>
            <w:tcW w:w="5240" w:type="dxa"/>
            <w:vAlign w:val="bottom"/>
            <w:gridSpan w:val="19"/>
          </w:tcPr>
          <w:p>
            <w:pPr>
              <w:spacing w:after="0"/>
              <w:rPr>
                <w:sz w:val="20"/>
                <w:szCs w:val="20"/>
                <w:color w:val="auto"/>
              </w:rPr>
            </w:pPr>
            <w:r>
              <w:rPr>
                <w:rFonts w:ascii="Arial" w:cs="Arial" w:eastAsia="Arial" w:hAnsi="Arial"/>
                <w:sz w:val="18"/>
                <w:szCs w:val="18"/>
                <w:color w:val="0000FF"/>
              </w:rPr>
              <w:t>Certification of CEO pursuant to Rule 13a-14(a) or Rule 15d-</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14(a).</w:t>
            </w:r>
          </w:p>
        </w:tc>
        <w:tc>
          <w:tcPr>
            <w:tcW w:w="4360" w:type="dxa"/>
            <w:vAlign w:val="bottom"/>
            <w:tcBorders>
              <w:top w:val="single" w:sz="8" w:color="0000FF"/>
            </w:tcBorders>
            <w:gridSpan w:val="11"/>
          </w:tcPr>
          <w:p>
            <w:pPr>
              <w:spacing w:after="0"/>
              <w:rPr>
                <w:sz w:val="13"/>
                <w:szCs w:val="13"/>
                <w:color w:val="auto"/>
              </w:rPr>
            </w:pPr>
          </w:p>
        </w:tc>
        <w:tc>
          <w:tcPr>
            <w:tcW w:w="400" w:type="dxa"/>
            <w:vAlign w:val="bottom"/>
            <w:gridSpan w:val="7"/>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31(b)</w:t>
            </w:r>
          </w:p>
        </w:tc>
        <w:tc>
          <w:tcPr>
            <w:tcW w:w="20" w:type="dxa"/>
            <w:vAlign w:val="bottom"/>
          </w:tcPr>
          <w:p>
            <w:pPr>
              <w:spacing w:after="0"/>
              <w:rPr>
                <w:sz w:val="19"/>
                <w:szCs w:val="19"/>
                <w:color w:val="auto"/>
              </w:rPr>
            </w:pPr>
          </w:p>
        </w:tc>
        <w:tc>
          <w:tcPr>
            <w:tcW w:w="5240" w:type="dxa"/>
            <w:vAlign w:val="bottom"/>
            <w:gridSpan w:val="19"/>
          </w:tcPr>
          <w:p>
            <w:pPr>
              <w:spacing w:after="0"/>
              <w:rPr>
                <w:sz w:val="20"/>
                <w:szCs w:val="20"/>
                <w:color w:val="auto"/>
              </w:rPr>
            </w:pPr>
            <w:r>
              <w:rPr>
                <w:rFonts w:ascii="Arial" w:cs="Arial" w:eastAsia="Arial" w:hAnsi="Arial"/>
                <w:sz w:val="18"/>
                <w:szCs w:val="18"/>
                <w:color w:val="0000FF"/>
              </w:rPr>
              <w:t>Certification of CFO pursuant to Rule 13a-14(a) or Rule 15d-</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14(a).</w:t>
            </w:r>
          </w:p>
        </w:tc>
        <w:tc>
          <w:tcPr>
            <w:tcW w:w="4340" w:type="dxa"/>
            <w:vAlign w:val="bottom"/>
            <w:tcBorders>
              <w:top w:val="single" w:sz="8" w:color="0000FF"/>
            </w:tcBorders>
            <w:gridSpan w:val="10"/>
          </w:tcPr>
          <w:p>
            <w:pPr>
              <w:spacing w:after="0"/>
              <w:rPr>
                <w:sz w:val="13"/>
                <w:szCs w:val="13"/>
                <w:color w:val="auto"/>
              </w:rPr>
            </w:pPr>
          </w:p>
        </w:tc>
        <w:tc>
          <w:tcPr>
            <w:tcW w:w="420" w:type="dxa"/>
            <w:vAlign w:val="bottom"/>
            <w:gridSpan w:val="8"/>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240" w:type="dxa"/>
            <w:vAlign w:val="bottom"/>
            <w:gridSpan w:val="19"/>
          </w:tcPr>
          <w:p>
            <w:pPr>
              <w:spacing w:after="0"/>
              <w:rPr>
                <w:sz w:val="20"/>
                <w:szCs w:val="20"/>
                <w:color w:val="auto"/>
              </w:rPr>
            </w:pPr>
            <w:r>
              <w:rPr>
                <w:rFonts w:ascii="Arial" w:cs="Arial" w:eastAsia="Arial" w:hAnsi="Arial"/>
                <w:sz w:val="18"/>
                <w:szCs w:val="18"/>
                <w:color w:val="0000FF"/>
              </w:rPr>
              <w:t>Certification of CEO and CFO pursuant to 18 U.S.C. Section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tcBorders>
            <w:gridSpan w:val="10"/>
          </w:tcPr>
          <w:p>
            <w:pPr>
              <w:spacing w:after="0" w:line="168" w:lineRule="exact"/>
              <w:rPr>
                <w:sz w:val="20"/>
                <w:szCs w:val="20"/>
                <w:color w:val="auto"/>
              </w:rPr>
            </w:pPr>
            <w:r>
              <w:rPr>
                <w:rFonts w:ascii="Arial" w:cs="Arial" w:eastAsia="Arial" w:hAnsi="Arial"/>
                <w:sz w:val="18"/>
                <w:szCs w:val="18"/>
                <w:u w:val="single" w:color="auto"/>
                <w:color w:val="0000FF"/>
              </w:rPr>
              <w:t>1350, as adopted pursuant to Section 906 of the Sarbanes-</w:t>
            </w:r>
          </w:p>
        </w:tc>
        <w:tc>
          <w:tcPr>
            <w:tcW w:w="440" w:type="dxa"/>
            <w:vAlign w:val="bottom"/>
            <w:gridSpan w:val="9"/>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u w:val="single" w:color="auto"/>
          <w:color w:val="0000FF"/>
        </w:rPr>
        <w:t>Oxley Act of 2002.</w:t>
      </w:r>
    </w:p>
    <w:p>
      <w:pPr>
        <w:spacing w:after="0" w:line="14" w:lineRule="exact"/>
        <w:rPr>
          <w:sz w:val="20"/>
          <w:szCs w:val="20"/>
          <w:color w:val="auto"/>
        </w:rPr>
      </w:pPr>
    </w:p>
    <w:p>
      <w:pPr>
        <w:ind w:left="1360" w:right="1340" w:hanging="1334"/>
        <w:spacing w:after="0" w:line="215" w:lineRule="auto"/>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September 30, 2023 formatted in Inline XBRL: (i) Consolidated Statements of Income, (ii) Consolidated Statements of Comprehensive Income, (iii) Consolidated Balance Sheets, (iv) Consolidated Statements of Cash Flows, (v) Consolidated Statements of Shareholders' Equity and (vi) Notes to Consolidated Financial Statements.</w:t>
      </w:r>
    </w:p>
    <w:p>
      <w:pPr>
        <w:spacing w:after="0" w:line="6" w:lineRule="exact"/>
        <w:rPr>
          <w:sz w:val="20"/>
          <w:szCs w:val="20"/>
          <w:color w:val="auto"/>
        </w:rPr>
      </w:pPr>
    </w:p>
    <w:p>
      <w:pPr>
        <w:ind w:left="1360" w:right="1200" w:hanging="1334"/>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2371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Form</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Exhibit No.</w:t>
            </w:r>
          </w:p>
        </w:tc>
        <w:tc>
          <w:tcPr>
            <w:tcW w:w="1240" w:type="dxa"/>
            <w:vAlign w:val="bottom"/>
          </w:tcPr>
          <w:p>
            <w:pPr>
              <w:ind w:left="180"/>
              <w:spacing w:after="0"/>
              <w:rPr>
                <w:sz w:val="20"/>
                <w:szCs w:val="20"/>
                <w:color w:val="auto"/>
              </w:rPr>
            </w:pPr>
            <w:r>
              <w:rPr>
                <w:rFonts w:ascii="Arial" w:cs="Arial" w:eastAsia="Arial" w:hAnsi="Arial"/>
                <w:sz w:val="18"/>
                <w:szCs w:val="18"/>
                <w:color w:val="auto"/>
              </w:rPr>
              <w:t>Filing Date</w:t>
            </w:r>
          </w:p>
        </w:tc>
      </w:tr>
      <w:tr>
        <w:trPr>
          <w:trHeight w:val="232"/>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8-K</w:t>
            </w:r>
          </w:p>
        </w:tc>
        <w:tc>
          <w:tcPr>
            <w:tcW w:w="100" w:type="dxa"/>
            <w:vAlign w:val="bottom"/>
          </w:tcPr>
          <w:p>
            <w:pPr>
              <w:spacing w:after="0"/>
              <w:rPr>
                <w:sz w:val="20"/>
                <w:szCs w:val="20"/>
                <w:color w:val="auto"/>
              </w:rPr>
            </w:pPr>
          </w:p>
        </w:tc>
        <w:tc>
          <w:tcPr>
            <w:tcW w:w="1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9/19/2023</w:t>
            </w:r>
          </w:p>
        </w:tc>
      </w:tr>
      <w:tr>
        <w:trPr>
          <w:trHeight w:val="58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12/23/2016</w:t>
            </w:r>
          </w:p>
        </w:tc>
      </w:tr>
      <w:tr>
        <w:trPr>
          <w:trHeight w:val="418"/>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3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11/1/2023</w:t>
            </w:r>
          </w:p>
        </w:tc>
      </w:tr>
      <w:tr>
        <w:trPr>
          <w:trHeight w:val="41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3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11/1/2023</w:t>
            </w:r>
          </w:p>
        </w:tc>
      </w:tr>
    </w:tbl>
    <w:p>
      <w:pPr>
        <w:spacing w:after="0" w:line="4679" w:lineRule="exact"/>
        <w:rPr>
          <w:sz w:val="20"/>
          <w:szCs w:val="20"/>
          <w:color w:val="auto"/>
        </w:rPr>
      </w:pPr>
    </w:p>
    <w:p>
      <w:pPr>
        <w:sectPr>
          <w:pgSz w:w="11900" w:h="16838" w:orient="portrait"/>
          <w:cols w:equalWidth="0" w:num="2">
            <w:col w:w="7620" w:space="100"/>
            <w:col w:w="3520"/>
          </w:cols>
          <w:pgMar w:left="320" w:top="156" w:right="339" w:bottom="1440" w:gutter="0" w:footer="0" w:header="0"/>
        </w:sect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07" w:lineRule="exact"/>
        <w:rPr>
          <w:sz w:val="20"/>
          <w:szCs w:val="20"/>
          <w:color w:val="auto"/>
        </w:rPr>
      </w:pPr>
    </w:p>
    <w:p>
      <w:pPr>
        <w:ind w:left="660" w:right="140" w:hanging="652"/>
        <w:spacing w:after="0" w:line="257" w:lineRule="auto"/>
        <w:tabs>
          <w:tab w:leader="none" w:pos="2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p>
      <w:pPr>
        <w:spacing w:after="0" w:line="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39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33" w:name="page34"/>
    <w:bookmarkEnd w:id="3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4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6"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8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17780</wp:posOffset>
            </wp:positionV>
            <wp:extent cx="2888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Stephen Wood</w:t>
      </w:r>
    </w:p>
    <w:p>
      <w:pPr>
        <w:ind w:left="580"/>
        <w:spacing w:after="0" w:line="203" w:lineRule="auto"/>
        <w:rPr>
          <w:sz w:val="20"/>
          <w:szCs w:val="20"/>
          <w:color w:val="auto"/>
        </w:rPr>
      </w:pPr>
      <w:r>
        <w:rPr>
          <w:rFonts w:ascii="Arial" w:cs="Arial" w:eastAsia="Arial" w:hAnsi="Arial"/>
          <w:sz w:val="14"/>
          <w:szCs w:val="14"/>
          <w:b w:val="1"/>
          <w:bCs w:val="1"/>
          <w:color w:val="auto"/>
        </w:rPr>
        <w:t>Chief Financial Officer</w:t>
      </w:r>
    </w:p>
    <w:p>
      <w:pPr>
        <w:ind w:left="580"/>
        <w:spacing w:after="0"/>
        <w:rPr>
          <w:sz w:val="20"/>
          <w:szCs w:val="20"/>
          <w:color w:val="auto"/>
        </w:rPr>
      </w:pPr>
      <w:r>
        <w:rPr>
          <w:rFonts w:ascii="Arial" w:cs="Arial" w:eastAsia="Arial" w:hAnsi="Arial"/>
          <w:sz w:val="14"/>
          <w:szCs w:val="14"/>
          <w:b w:val="1"/>
          <w:bCs w:val="1"/>
          <w:color w:val="auto"/>
        </w:rPr>
        <w:t>(Principal Financial Officer)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Date: May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56"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RESTRICTED STOCK UNIT AWARD AGREEMENT PURSUANT TO</w:t>
      </w:r>
    </w:p>
    <w:p>
      <w:pPr>
        <w:jc w:val="center"/>
        <w:ind w:right="150"/>
        <w:spacing w:after="0"/>
        <w:rPr>
          <w:sz w:val="20"/>
          <w:szCs w:val="20"/>
          <w:color w:val="auto"/>
        </w:rPr>
      </w:pPr>
      <w:r>
        <w:rPr>
          <w:rFonts w:ascii="Arial" w:cs="Arial" w:eastAsia="Arial" w:hAnsi="Arial"/>
          <w:sz w:val="18"/>
          <w:szCs w:val="18"/>
          <w:b w:val="1"/>
          <w:bCs w:val="1"/>
          <w:color w:val="auto"/>
        </w:rPr>
        <w:t>CONDUENT INCORPORATED 2021 PERFORMANCE INCENTIVE PLAN</w:t>
      </w:r>
    </w:p>
    <w:p>
      <w:pPr>
        <w:spacing w:after="0" w:line="207" w:lineRule="exact"/>
        <w:rPr>
          <w:sz w:val="20"/>
          <w:szCs w:val="20"/>
          <w:color w:val="auto"/>
        </w:rPr>
      </w:pPr>
    </w:p>
    <w:p>
      <w:pPr>
        <w:jc w:val="both"/>
        <w:ind w:left="10"/>
        <w:spacing w:after="0" w:line="265" w:lineRule="auto"/>
        <w:rPr>
          <w:sz w:val="20"/>
          <w:szCs w:val="20"/>
          <w:color w:val="auto"/>
        </w:rPr>
      </w:pPr>
      <w:r>
        <w:rPr>
          <w:rFonts w:ascii="Arial" w:cs="Arial" w:eastAsia="Arial" w:hAnsi="Arial"/>
          <w:sz w:val="18"/>
          <w:szCs w:val="18"/>
          <w:color w:val="auto"/>
        </w:rPr>
        <w:t>This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of the Company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has authorized the execution and delivery of this Agreement.</w:t>
      </w:r>
    </w:p>
    <w:p>
      <w:pPr>
        <w:spacing w:after="0" w:line="117"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provided via email or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applicable number of Restricted Stock Units granted pursuant hereto. The Award Summary is incorporated herein in its entirety.</w:t>
      </w:r>
    </w:p>
    <w:p>
      <w:pPr>
        <w:spacing w:after="0" w:line="117"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8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10" w:hanging="10"/>
        <w:spacing w:after="0" w:line="268"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Award of Restricted Stock Units</w:t>
      </w:r>
      <w:r>
        <w:rPr>
          <w:rFonts w:ascii="Arial" w:cs="Arial" w:eastAsia="Arial" w:hAnsi="Arial"/>
          <w:sz w:val="18"/>
          <w:szCs w:val="18"/>
          <w:color w:val="auto"/>
        </w:rPr>
        <w:t>. Subject to all terms and conditions of the Plan and this Agreement, the Company has awarded to the Employee on the date indicated on the Award Summary the number of Restricted Stock Units (individually, a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as shown on the Award Summary.</w:t>
      </w:r>
    </w:p>
    <w:p>
      <w:pPr>
        <w:spacing w:after="0" w:line="11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RESTRICTED STOCK UNITS</w:t>
      </w:r>
    </w:p>
    <w:p>
      <w:pPr>
        <w:spacing w:after="0" w:line="171" w:lineRule="exact"/>
        <w:rPr>
          <w:sz w:val="20"/>
          <w:szCs w:val="20"/>
          <w:color w:val="auto"/>
        </w:rPr>
      </w:pPr>
    </w:p>
    <w:p>
      <w:pPr>
        <w:jc w:val="both"/>
        <w:ind w:left="10" w:hanging="10"/>
        <w:spacing w:after="0" w:line="257" w:lineRule="auto"/>
        <w:tabs>
          <w:tab w:leader="none" w:pos="46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on or after each applicable Vesting Date (as defined below) (or such earlier date provided in Section 8),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RSUs (subject to reduction for withholding of the Employee’s taxes in relation to the award as described in Section 10) within 60 days following each applicable Vesting Date (or, if earlier, a distribution event set forth in Section 8 that satisfies the requirements of Section 409A(a)(2) of the Code);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10" w:hanging="10"/>
        <w:spacing w:after="0" w:line="258" w:lineRule="auto"/>
        <w:tabs>
          <w:tab w:leader="none" w:pos="23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determined by the Committee in its sole discretion (subject to Section 6 of the Plan) or as otherwise provided in this Section 3 or Section 8, the vesting of RSUs covered hereby shall be subject to the Employee’s continued employment with or other provision of services to the Company or a subsidiary or affiliate through the applicable Vesting Date.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 The Employee shall be eligible to vest in one-third of the shares of Common Stock covered by this Agreement as set forth in the Award Summary on each of December 31, 2024, December 31, 2025 and December 31, 2026 (each, a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w:t>
      </w:r>
    </w:p>
    <w:p>
      <w:pPr>
        <w:spacing w:after="0" w:line="116"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Upon the occurrence of an event constituting a Change in Control, notwithstanding anything to the contrary in Section 8 of the Plan, the RSUs outstanding on the date of such Change in Control, and any dividend equivalents with respect thereto, shall be assumed by the successor company (or its parent company) and remain outstanding and thereafter the vesting of such RSUs, and 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70"/>
          </w:cols>
          <w:pgMar w:left="490" w:top="37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10"/>
        <w:spacing w:after="0" w:line="256" w:lineRule="auto"/>
        <w:rPr>
          <w:sz w:val="20"/>
          <w:szCs w:val="20"/>
          <w:color w:val="auto"/>
        </w:rPr>
      </w:pPr>
      <w:r>
        <w:rPr>
          <w:rFonts w:ascii="Arial" w:cs="Arial" w:eastAsia="Arial" w:hAnsi="Arial"/>
          <w:sz w:val="18"/>
          <w:szCs w:val="18"/>
          <w:color w:val="auto"/>
        </w:rPr>
        <w:t xml:space="preserve">dividend equivalents with respect thereto, shall be subject to the Employee’s continued employment with or provision of services to the Company or a subsidiary or an affiliate through each applicable Vesting Date as provided in this Section 3, at which time such RSUs shall vest and shall be paid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RSUs, and any dividend equivalents with respect thereto, shall vest and shall be paid to the extent provided in Section 8 in the event of the Employee’s termination of employment or services following such Change in Control and prior to a Vesting Date. Upon payment pursuant to the terms of the Plan, such awards shall be cancelled.</w:t>
      </w:r>
    </w:p>
    <w:p>
      <w:pPr>
        <w:spacing w:after="0" w:line="129" w:lineRule="exact"/>
        <w:rPr>
          <w:sz w:val="20"/>
          <w:szCs w:val="20"/>
          <w:color w:val="auto"/>
        </w:rPr>
      </w:pPr>
    </w:p>
    <w:p>
      <w:pPr>
        <w:jc w:val="both"/>
        <w:ind w:left="10" w:hanging="10"/>
        <w:spacing w:after="0" w:line="259" w:lineRule="auto"/>
        <w:tabs>
          <w:tab w:leader="none" w:pos="41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The Employee shall become entitled to receive from the Company on each applicable Vesting Date (or such earlier date provided in Section 8) a cash payment equaling the same amount(s) that the holder of record of a number of shares of Common Stock equal to the number of vested RSUs (if any) would have been entitled to receive as dividends on such Common Stock during the period commencing on the effective date hereof and ending on each applicable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10" w:hanging="10"/>
        <w:spacing w:after="0" w:line="268" w:lineRule="auto"/>
        <w:tabs>
          <w:tab w:leader="none" w:pos="21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color w:val="auto"/>
        </w:rPr>
      </w:pPr>
    </w:p>
    <w:p>
      <w:pPr>
        <w:jc w:val="both"/>
        <w:ind w:left="10" w:hanging="4"/>
        <w:spacing w:after="0" w:line="268" w:lineRule="auto"/>
        <w:tabs>
          <w:tab w:leader="none" w:pos="37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RSUs until the date of issuance of a stock certificate to him for such RSUs and no adjustment shall be made for dividends or other rights for which the record date is prior to the date the RSUs become vested.</w:t>
      </w:r>
    </w:p>
    <w:p>
      <w:pPr>
        <w:spacing w:after="0" w:line="116" w:lineRule="exact"/>
        <w:rPr>
          <w:rFonts w:ascii="Arial" w:cs="Arial" w:eastAsia="Arial" w:hAnsi="Arial"/>
          <w:sz w:val="18"/>
          <w:szCs w:val="18"/>
          <w:color w:val="auto"/>
        </w:rPr>
      </w:pPr>
    </w:p>
    <w:p>
      <w:pPr>
        <w:jc w:val="both"/>
        <w:ind w:left="10" w:hanging="10"/>
        <w:spacing w:after="0" w:line="262" w:lineRule="auto"/>
        <w:tabs>
          <w:tab w:leader="none" w:pos="52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RSUs may not be sold, assigned, alienated, transferred, pledged, attached or otherwise encumbered except as provided in Section 7(d)(ii) of the Plan. Any purported sale, assignment, alienation, transfer, pledge, attachment or other encumbrance of a 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50" w:hanging="350"/>
        <w:spacing w:after="0"/>
        <w:tabs>
          <w:tab w:leader="none" w:pos="35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30" w:hanging="503"/>
        <w:spacing w:after="0" w:line="287" w:lineRule="auto"/>
        <w:tabs>
          <w:tab w:leader="none" w:pos="675"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Effect on RSUs</w:t>
      </w:r>
      <w:r>
        <w:rPr>
          <w:rFonts w:ascii="Arial" w:cs="Arial" w:eastAsia="Arial" w:hAnsi="Arial"/>
          <w:sz w:val="18"/>
          <w:szCs w:val="18"/>
          <w:color w:val="auto"/>
        </w:rPr>
        <w:t>. In the event of the Employee’s termination of employment or services prior to December 31, 2026, the RSUs will be treated as set forth below.</w:t>
      </w:r>
    </w:p>
    <w:p>
      <w:pPr>
        <w:spacing w:after="0" w:line="98" w:lineRule="exact"/>
        <w:rPr>
          <w:rFonts w:ascii="Arial" w:cs="Arial" w:eastAsia="Arial" w:hAnsi="Arial"/>
          <w:sz w:val="18"/>
          <w:szCs w:val="18"/>
          <w:color w:val="auto"/>
        </w:rPr>
      </w:pPr>
    </w:p>
    <w:p>
      <w:pPr>
        <w:jc w:val="both"/>
        <w:ind w:left="730" w:hanging="1"/>
        <w:spacing w:after="0" w:line="262" w:lineRule="auto"/>
        <w:tabs>
          <w:tab w:leader="none" w:pos="940" w:val="left"/>
        </w:tabs>
        <w:numPr>
          <w:ilvl w:val="2"/>
          <w:numId w:val="25"/>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 services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for any reason other than a Termination For Good Reason following a Change in Control or a Qualifying Retirement, the RSUs that have not vested in accordance with Section 3 shall be canceled and forfeited on the date of such voluntary termination of employment or services.</w:t>
      </w:r>
    </w:p>
    <w:p>
      <w:pPr>
        <w:spacing w:after="0" w:line="122" w:lineRule="exact"/>
        <w:rPr>
          <w:rFonts w:ascii="Arial" w:cs="Arial" w:eastAsia="Arial" w:hAnsi="Arial"/>
          <w:sz w:val="18"/>
          <w:szCs w:val="18"/>
          <w:color w:val="auto"/>
        </w:rPr>
      </w:pPr>
    </w:p>
    <w:p>
      <w:pPr>
        <w:jc w:val="both"/>
        <w:ind w:left="730" w:hanging="1"/>
        <w:spacing w:after="0" w:line="255" w:lineRule="auto"/>
        <w:tabs>
          <w:tab w:leader="none" w:pos="980" w:val="left"/>
        </w:tabs>
        <w:numPr>
          <w:ilvl w:val="2"/>
          <w:numId w:val="25"/>
        </w:numPr>
        <w:rPr>
          <w:rFonts w:ascii="Arial" w:cs="Arial" w:eastAsia="Arial" w:hAnsi="Arial"/>
          <w:sz w:val="18"/>
          <w:szCs w:val="18"/>
          <w:color w:val="auto"/>
        </w:rPr>
      </w:pPr>
      <w:r>
        <w:rPr>
          <w:rFonts w:ascii="Arial" w:cs="Arial" w:eastAsia="Arial" w:hAnsi="Arial"/>
          <w:sz w:val="18"/>
          <w:szCs w:val="18"/>
          <w:i w:val="1"/>
          <w:iCs w:val="1"/>
          <w:color w:val="auto"/>
        </w:rPr>
        <w:t>Termination without Cause</w:t>
      </w:r>
      <w:r>
        <w:rPr>
          <w:rFonts w:ascii="Arial" w:cs="Arial" w:eastAsia="Arial" w:hAnsi="Arial"/>
          <w:sz w:val="18"/>
          <w:szCs w:val="18"/>
          <w:color w:val="auto"/>
        </w:rPr>
        <w:t>. Except as otherwise set forth in a Company plan or policy, in the event the Employee involuntarily</w:t>
      </w:r>
      <w:r>
        <w:rPr>
          <w:rFonts w:ascii="Arial" w:cs="Arial" w:eastAsia="Arial" w:hAnsi="Arial"/>
          <w:sz w:val="18"/>
          <w:szCs w:val="18"/>
          <w:i w:val="1"/>
          <w:iCs w:val="1"/>
          <w:color w:val="auto"/>
        </w:rPr>
        <w:t xml:space="preserve"> </w:t>
      </w:r>
      <w:r>
        <w:rPr>
          <w:rFonts w:ascii="Arial" w:cs="Arial" w:eastAsia="Arial" w:hAnsi="Arial"/>
          <w:sz w:val="18"/>
          <w:szCs w:val="18"/>
          <w:color w:val="auto"/>
        </w:rPr>
        <w:t>ceases to be an employee of or otherwise provide services to the Employer prior to a Change in Control for any reason other than due to death, Disability, or a termination for Cause, the RSUs shall continue to remain outstanding and vest for the number of months of cash severance (regardless of when such cash severance is delivered to the Employee) the Employee would be entitled to under the Company’s applicable severance plan or policy (with any RSUs and dividend equivalents with respect thereto that would otherwise vest and be settled out during such period being settled in accordance with Section 2) (the last day of such severance period, the “</w:t>
      </w:r>
      <w:r>
        <w:rPr>
          <w:rFonts w:ascii="Arial" w:cs="Arial" w:eastAsia="Arial" w:hAnsi="Arial"/>
          <w:sz w:val="18"/>
          <w:szCs w:val="18"/>
          <w:b w:val="1"/>
          <w:bCs w:val="1"/>
          <w:i w:val="1"/>
          <w:iCs w:val="1"/>
          <w:color w:val="auto"/>
        </w:rPr>
        <w:t>Severance Ending Date</w:t>
      </w:r>
      <w:r>
        <w:rPr>
          <w:rFonts w:ascii="Arial" w:cs="Arial" w:eastAsia="Arial" w:hAnsi="Arial"/>
          <w:sz w:val="18"/>
          <w:szCs w:val="18"/>
          <w:color w:val="auto"/>
        </w:rPr>
        <w:t>”), and the number of RSUs scheduled to vest on the Vesting Date immediately following the Severance Ending Date, and any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70"/>
          </w:cols>
          <w:pgMar w:left="490" w:top="37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1"/>
        <w:spacing w:after="0" w:line="254" w:lineRule="auto"/>
        <w:rPr>
          <w:sz w:val="20"/>
          <w:szCs w:val="20"/>
          <w:color w:val="auto"/>
        </w:rPr>
      </w:pPr>
      <w:r>
        <w:rPr>
          <w:rFonts w:ascii="Arial" w:cs="Arial" w:eastAsia="Arial" w:hAnsi="Arial"/>
          <w:sz w:val="18"/>
          <w:szCs w:val="18"/>
          <w:color w:val="auto"/>
        </w:rPr>
        <w:t>equivalents with respect thereto, shall be prorated based on a fraction, the numerator of which is the number of full months elapsed since the Vesting Date immediately preceding the Severance Ending Date (or, in the event such termination is prior to the first Vesting Date, the number of full months elapsed since January 1, 2024) and the denominator of which is 12, and any remaining RSUs shall be forfeited. Such prorated number of RSUs, and any dividend equivalents with respect thereto, shall continue to vest and shall be settled in accordance with Section 2 within 60 days following the Vesting Date immediately following the Severance Ending Date. Notwithstanding the foregoing, the vesting provided here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For the avoidance of doubt, the Employee shall not be eligible to vest in an aggregate number of RSUs that is greater than the number of unvested RSUs shown in the Award Summary.</w:t>
      </w:r>
    </w:p>
    <w:p>
      <w:pPr>
        <w:spacing w:after="0" w:line="131" w:lineRule="exact"/>
        <w:rPr>
          <w:sz w:val="20"/>
          <w:szCs w:val="20"/>
          <w:color w:val="auto"/>
        </w:rPr>
      </w:pPr>
    </w:p>
    <w:p>
      <w:pPr>
        <w:jc w:val="both"/>
        <w:ind w:left="1" w:hanging="1"/>
        <w:spacing w:after="0" w:line="254" w:lineRule="auto"/>
        <w:tabs>
          <w:tab w:leader="none" w:pos="29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 of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 services to the Employer following a Change in Control for any reason other than a termination for Cause, or voluntarily ceases to be an employee due to a Termination for Good Reason following a Change in Control, then the RSUs covered by this Agreement, and any dividend equivalents with respect thereto, shall immediately vest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w:t>
      </w:r>
    </w:p>
    <w:p>
      <w:pPr>
        <w:spacing w:after="0" w:line="131" w:lineRule="exact"/>
        <w:rPr>
          <w:rFonts w:ascii="Arial" w:cs="Arial" w:eastAsia="Arial" w:hAnsi="Arial"/>
          <w:sz w:val="18"/>
          <w:szCs w:val="18"/>
          <w:color w:val="auto"/>
        </w:rPr>
      </w:pPr>
    </w:p>
    <w:p>
      <w:pPr>
        <w:jc w:val="both"/>
        <w:ind w:left="1" w:hanging="1"/>
        <w:spacing w:after="0" w:line="259" w:lineRule="auto"/>
        <w:tabs>
          <w:tab w:leader="none" w:pos="30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by reason of death or Disability, the RSUs covered by this Agreement, and any dividend equivalents with respect thereto, shall immediately vest if such termination of employment or services occurs prior to a Change in Control and shall be settled within 60 days following the Vesting Date immediately following such termination in accordance with Section 2, without proration.</w:t>
      </w:r>
    </w:p>
    <w:p>
      <w:pPr>
        <w:spacing w:after="0" w:line="125" w:lineRule="exact"/>
        <w:rPr>
          <w:rFonts w:ascii="Arial" w:cs="Arial" w:eastAsia="Arial" w:hAnsi="Arial"/>
          <w:sz w:val="18"/>
          <w:szCs w:val="18"/>
          <w:color w:val="auto"/>
        </w:rPr>
      </w:pPr>
    </w:p>
    <w:p>
      <w:pPr>
        <w:jc w:val="both"/>
        <w:ind w:left="1" w:hanging="1"/>
        <w:spacing w:after="0" w:line="257" w:lineRule="auto"/>
        <w:tabs>
          <w:tab w:leader="none" w:pos="274"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Qualifying Retirement</w:t>
      </w:r>
      <w:r>
        <w:rPr>
          <w:rFonts w:ascii="Arial" w:cs="Arial" w:eastAsia="Arial" w:hAnsi="Arial"/>
          <w:sz w:val="18"/>
          <w:szCs w:val="18"/>
          <w:color w:val="auto"/>
        </w:rPr>
        <w:t>. In the event of the Employee’s Qualifying Retirement, the RSUs shall continue to vest and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on the schedule set forth in Section 2 of this Agreement; provided that the Employee (A) completes a successful transition of responsibilities (as determined by the Board of Directors of the Company) and cooperates during the remaining vesting period,</w:t>
      </w:r>
    </w:p>
    <w:p>
      <w:pPr>
        <w:spacing w:after="0" w:line="1" w:lineRule="exact"/>
        <w:rPr>
          <w:rFonts w:ascii="Arial" w:cs="Arial" w:eastAsia="Arial" w:hAnsi="Arial"/>
          <w:sz w:val="18"/>
          <w:szCs w:val="18"/>
          <w:color w:val="auto"/>
        </w:rPr>
      </w:pPr>
    </w:p>
    <w:p>
      <w:pPr>
        <w:jc w:val="both"/>
        <w:ind w:left="1"/>
        <w:spacing w:after="0" w:line="253" w:lineRule="auto"/>
        <w:rPr>
          <w:rFonts w:ascii="Arial" w:cs="Arial" w:eastAsia="Arial" w:hAnsi="Arial"/>
          <w:sz w:val="18"/>
          <w:szCs w:val="18"/>
          <w:color w:val="auto"/>
        </w:rPr>
      </w:pPr>
      <w:r>
        <w:rPr>
          <w:rFonts w:ascii="Arial" w:cs="Arial" w:eastAsia="Arial" w:hAnsi="Arial"/>
          <w:sz w:val="18"/>
          <w:szCs w:val="18"/>
          <w:color w:val="auto"/>
        </w:rPr>
        <w:t>(B)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 (or, if the Employee was the CEO prior to such retirement, the Board)).</w:t>
      </w:r>
    </w:p>
    <w:p>
      <w:pPr>
        <w:spacing w:after="0" w:line="130" w:lineRule="exact"/>
        <w:rPr>
          <w:rFonts w:ascii="Arial" w:cs="Arial" w:eastAsia="Arial" w:hAnsi="Arial"/>
          <w:sz w:val="18"/>
          <w:szCs w:val="18"/>
          <w:color w:val="auto"/>
        </w:rPr>
      </w:pPr>
    </w:p>
    <w:p>
      <w:pPr>
        <w:jc w:val="both"/>
        <w:ind w:left="1" w:hanging="1"/>
        <w:spacing w:after="0" w:line="268" w:lineRule="auto"/>
        <w:tabs>
          <w:tab w:leader="none" w:pos="30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Employer due to termination for Cause, the RSUs shall be cancelled and forfeited on the date of such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81"/>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41"/>
          </w:cols>
          <w:pgMar w:left="1219" w:top="37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530" w:right="20"/>
        <w:spacing w:after="0" w:line="287" w:lineRule="auto"/>
        <w:rPr>
          <w:sz w:val="20"/>
          <w:szCs w:val="20"/>
          <w:color w:val="auto"/>
        </w:rPr>
      </w:pPr>
      <w:r>
        <w:rPr>
          <w:rFonts w:ascii="Arial" w:cs="Arial" w:eastAsia="Arial" w:hAnsi="Arial"/>
          <w:sz w:val="18"/>
          <w:szCs w:val="18"/>
          <w:color w:val="auto"/>
        </w:rPr>
        <w:t>or services, in addition to any other rights reserved under the Conduent Incorporated Compensation Recoupment Policy, as may be amended from time to time, or any successor policy.</w:t>
      </w:r>
    </w:p>
    <w:p>
      <w:pPr>
        <w:spacing w:after="0" w:line="99" w:lineRule="exact"/>
        <w:rPr>
          <w:sz w:val="20"/>
          <w:szCs w:val="20"/>
          <w:color w:val="auto"/>
        </w:rPr>
      </w:pPr>
    </w:p>
    <w:p>
      <w:pPr>
        <w:jc w:val="both"/>
        <w:ind w:left="530" w:hanging="1"/>
        <w:spacing w:after="0" w:line="254" w:lineRule="auto"/>
        <w:tabs>
          <w:tab w:leader="none" w:pos="87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For purposes of this Agreement and the RSUs, the Employee’s employment and / or service relationship</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considered terminated as of the date the Employee is no longer is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unless otherwise determined by the Company, the Employee’s right to vest in the RSUs, if any, will terminate as of such date and, in either case,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Employee’s period of service would not include any contractual notice period or any period of “garden leave” or similar period mandated under labor laws in the jurisdiction where the Employee provides services or the terms of the Employee's employment or other service agreement, if any). The Committee shall have the exclusive discretion to determine when the Employee no longer is actively providing services for purposes of this Agreement and the RSUs (including whether the Employee still may be considered to be providing services while on a leave of absence).</w:t>
      </w:r>
    </w:p>
    <w:p>
      <w:pPr>
        <w:spacing w:after="0" w:line="128" w:lineRule="exact"/>
        <w:rPr>
          <w:rFonts w:ascii="Arial" w:cs="Arial" w:eastAsia="Arial" w:hAnsi="Arial"/>
          <w:sz w:val="18"/>
          <w:szCs w:val="18"/>
          <w:color w:val="auto"/>
        </w:rPr>
      </w:pPr>
    </w:p>
    <w:p>
      <w:pPr>
        <w:ind w:left="410" w:hanging="410"/>
        <w:spacing w:after="0"/>
        <w:tabs>
          <w:tab w:leader="none" w:pos="4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jc w:val="both"/>
        <w:ind w:left="53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53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5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jc w:val="both"/>
        <w:ind w:left="53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ind w:left="5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the Employee’s employment with or services to the Employer where</w:t>
      </w:r>
    </w:p>
    <w:p>
      <w:pPr>
        <w:spacing w:after="0" w:line="27" w:lineRule="exact"/>
        <w:rPr>
          <w:sz w:val="20"/>
          <w:szCs w:val="20"/>
          <w:color w:val="auto"/>
        </w:rPr>
      </w:pPr>
    </w:p>
    <w:p>
      <w:pPr>
        <w:jc w:val="both"/>
        <w:ind w:left="530" w:hanging="1"/>
        <w:spacing w:after="0" w:line="255" w:lineRule="auto"/>
        <w:tabs>
          <w:tab w:leader="none" w:pos="7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Employee is at least age sixty (60) and has at least five (5) years of service with the Employer or its parents or subsidiaries and (ii) such Employee’s retirement has been agreed to and approved by the Chief Executive Officer of the Company (and, if the Employee is a Section 16 officer of the Company, by the Board of Directors of the Company), who shall have the sole discretion to determine the date of retirement of such Employee.</w:t>
      </w:r>
    </w:p>
    <w:p>
      <w:pPr>
        <w:spacing w:after="0" w:line="128" w:lineRule="exact"/>
        <w:rPr>
          <w:sz w:val="20"/>
          <w:szCs w:val="20"/>
          <w:color w:val="auto"/>
        </w:rPr>
      </w:pPr>
    </w:p>
    <w:p>
      <w:pPr>
        <w:jc w:val="both"/>
        <w:ind w:left="53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70"/>
          </w:cols>
          <w:pgMar w:left="690" w:top="37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ind w:left="1130" w:firstLine="4"/>
        <w:spacing w:after="0" w:line="287" w:lineRule="auto"/>
        <w:tabs>
          <w:tab w:leader="none" w:pos="14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1130" w:firstLine="4"/>
        <w:spacing w:after="0" w:line="255" w:lineRule="auto"/>
        <w:tabs>
          <w:tab w:leader="none" w:pos="14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 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30" w:lineRule="exact"/>
        <w:rPr>
          <w:rFonts w:ascii="Arial" w:cs="Arial" w:eastAsia="Arial" w:hAnsi="Arial"/>
          <w:sz w:val="18"/>
          <w:szCs w:val="18"/>
          <w:color w:val="auto"/>
        </w:rPr>
      </w:pPr>
    </w:p>
    <w:p>
      <w:pPr>
        <w:jc w:val="both"/>
        <w:ind w:left="1130" w:firstLine="4"/>
        <w:spacing w:after="0" w:line="262" w:lineRule="auto"/>
        <w:tabs>
          <w:tab w:leader="none" w:pos="13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 constitutes a material change in the geographic location at which the Employee is required to perform the services;</w:t>
      </w:r>
    </w:p>
    <w:p>
      <w:pPr>
        <w:spacing w:after="0" w:line="122" w:lineRule="exact"/>
        <w:rPr>
          <w:rFonts w:ascii="Arial" w:cs="Arial" w:eastAsia="Arial" w:hAnsi="Arial"/>
          <w:sz w:val="18"/>
          <w:szCs w:val="18"/>
          <w:color w:val="auto"/>
        </w:rPr>
      </w:pPr>
    </w:p>
    <w:p>
      <w:pPr>
        <w:jc w:val="both"/>
        <w:ind w:left="1130" w:firstLine="4"/>
        <w:spacing w:after="0" w:line="256" w:lineRule="auto"/>
        <w:tabs>
          <w:tab w:leader="none" w:pos="14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1130" w:firstLine="4"/>
        <w:spacing w:after="0" w:line="287" w:lineRule="auto"/>
        <w:tabs>
          <w:tab w:leader="none" w:pos="141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99" w:lineRule="exact"/>
        <w:rPr>
          <w:sz w:val="20"/>
          <w:szCs w:val="20"/>
          <w:color w:val="auto"/>
        </w:rPr>
      </w:pPr>
    </w:p>
    <w:p>
      <w:pPr>
        <w:jc w:val="both"/>
        <w:ind w:left="1130"/>
        <w:spacing w:after="0" w:line="259" w:lineRule="auto"/>
        <w:rPr>
          <w:sz w:val="20"/>
          <w:szCs w:val="20"/>
          <w:color w:val="auto"/>
        </w:rPr>
      </w:pPr>
      <w:r>
        <w:rPr>
          <w:rFonts w:ascii="Arial" w:cs="Arial" w:eastAsia="Arial" w:hAnsi="Arial"/>
          <w:sz w:val="18"/>
          <w:szCs w:val="18"/>
          <w:color w:val="auto"/>
        </w:rPr>
        <w:t>A termination by the Employee of the Employee’s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125" w:lineRule="exact"/>
        <w:rPr>
          <w:sz w:val="20"/>
          <w:szCs w:val="20"/>
          <w:color w:val="auto"/>
        </w:rPr>
      </w:pPr>
    </w:p>
    <w:p>
      <w:pPr>
        <w:jc w:val="both"/>
        <w:ind w:left="710" w:hanging="380"/>
        <w:spacing w:after="0" w:line="256" w:lineRule="auto"/>
        <w:tabs>
          <w:tab w:leader="none" w:pos="916"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or services to the Employer in connection with the Employer’s sale (whether by sale of assets or a subsidiary, or both) of a line of business within which the Employee was employed or providing services immediately prior to such sale as determined by the Committee in its sole discretion, that does not constitute a Change in Control, shall be treated as an involuntary termination of employment or services for purposes of this Agreement and the RSUs shall vest and be paid as provided in Section 8(a)(ii) above, provided, however, that, in the event the Employee is offered a comparable position with the acquirer of such line of business and does not accept such offer, the RSUs shall be cancelled and forfeited on the date of termination of employment or services.</w:t>
      </w:r>
    </w:p>
    <w:p>
      <w:pPr>
        <w:spacing w:after="0" w:line="128" w:lineRule="exact"/>
        <w:rPr>
          <w:rFonts w:ascii="Arial" w:cs="Arial" w:eastAsia="Arial" w:hAnsi="Arial"/>
          <w:sz w:val="18"/>
          <w:szCs w:val="18"/>
          <w:color w:val="auto"/>
        </w:rPr>
      </w:pPr>
    </w:p>
    <w:p>
      <w:pPr>
        <w:ind w:left="10" w:hanging="10"/>
        <w:spacing w:after="0" w:line="287" w:lineRule="auto"/>
        <w:tabs>
          <w:tab w:leader="none" w:pos="38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70"/>
          </w:cols>
          <w:pgMar w:left="490" w:top="37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10"/>
        <w:spacing w:after="0" w:line="257" w:lineRule="auto"/>
        <w:rPr>
          <w:sz w:val="20"/>
          <w:szCs w:val="20"/>
          <w:color w:val="auto"/>
        </w:rPr>
      </w:pPr>
      <w:r>
        <w:rPr>
          <w:rFonts w:ascii="Arial" w:cs="Arial" w:eastAsia="Arial" w:hAnsi="Arial"/>
          <w:sz w:val="18"/>
          <w:szCs w:val="18"/>
          <w:color w:val="auto"/>
        </w:rPr>
        <w:t>Common Stock subject to this Agreement upon any securities exchange or under any state or Federal law, or the consent or approval of any government regulatory body, is necessary or desirable as a condition of, or in connection with, the awarding of the RSUs or the issue or purchase of shares of Common Stock hereunder, the certificates for shares of Common Stock may not be issued in respect of 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RSUs.</w:t>
      </w:r>
    </w:p>
    <w:p>
      <w:pPr>
        <w:spacing w:after="0" w:line="128" w:lineRule="exact"/>
        <w:rPr>
          <w:sz w:val="20"/>
          <w:szCs w:val="20"/>
          <w:color w:val="auto"/>
        </w:rPr>
      </w:pPr>
    </w:p>
    <w:p>
      <w:pPr>
        <w:ind w:left="450" w:hanging="450"/>
        <w:spacing w:after="0"/>
        <w:tabs>
          <w:tab w:leader="none" w:pos="45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710" w:hanging="380"/>
        <w:spacing w:after="0" w:line="253" w:lineRule="auto"/>
        <w:tabs>
          <w:tab w:leader="none" w:pos="77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Employee acknowledges and agrees that, regardless of any action taken by the Company or, if different, the Employer, the ultimate liability for all income tax, social insurance, payroll tax, fringe benefits tax, payment on account or other tax-related items related to the Employee’s participation in the Plan and legally applicable or deemed applicable to the Employee (“</w:t>
      </w:r>
      <w:r>
        <w:rPr>
          <w:rFonts w:ascii="Arial" w:cs="Arial" w:eastAsia="Arial" w:hAnsi="Arial"/>
          <w:sz w:val="18"/>
          <w:szCs w:val="18"/>
          <w:b w:val="1"/>
          <w:bCs w:val="1"/>
          <w:i w:val="1"/>
          <w:iCs w:val="1"/>
          <w:color w:val="auto"/>
        </w:rPr>
        <w:t>Tax-Related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Items</w:t>
      </w:r>
      <w:r>
        <w:rPr>
          <w:rFonts w:ascii="Arial" w:cs="Arial" w:eastAsia="Arial" w:hAnsi="Arial"/>
          <w:sz w:val="18"/>
          <w:szCs w:val="18"/>
          <w:color w:val="auto"/>
        </w:rPr>
        <w:t>”) is and remains the Employee’s responsibility and may exceed the amount, if any, actually withheld by the Company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The Employee further acknowledges that the Company and/or the Employer (i) make no representations or undertakings regarding the treatment of any Tax-Related Items in connection with any aspect of the RSUs or the underlying shares of Common Stock, including, but not limited to, the grant, vesting or settlement of the RSUs, the subsequent sale of shares of Common Stock acquired upon the settlement of the RSUs and the receipt of any dividends; and (ii) do not commit to and are under no obligation to structure the terms of the grant or any aspect of the RSUs to reduce or eliminate the Employee’s liability for Tax-Related Items or to achieve any particular tax result. Further, if the Employee is subject to Tax-Related Items in more than one jurisdiction, the Employee acknowledges that the Company and/or the Employer (or former employer, as applicable) may be required to withhold or account for Tax-Related Items in more than one jurisdiction.</w:t>
      </w:r>
    </w:p>
    <w:p>
      <w:pPr>
        <w:spacing w:after="0" w:line="135" w:lineRule="exact"/>
        <w:rPr>
          <w:rFonts w:ascii="Arial" w:cs="Arial" w:eastAsia="Arial" w:hAnsi="Arial"/>
          <w:sz w:val="18"/>
          <w:szCs w:val="18"/>
          <w:color w:val="auto"/>
        </w:rPr>
      </w:pPr>
    </w:p>
    <w:p>
      <w:pPr>
        <w:jc w:val="both"/>
        <w:ind w:left="710" w:hanging="380"/>
        <w:spacing w:after="0" w:line="253" w:lineRule="auto"/>
        <w:tabs>
          <w:tab w:leader="none" w:pos="849" w:val="left"/>
        </w:tabs>
        <w:numPr>
          <w:ilvl w:val="1"/>
          <w:numId w:val="33"/>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Employee agrees to make adequate arrangements satisfactory to the Company and/or the Employer to satisfy all Tax-Related Items. In this regard, the Employee authorizes the Company and/or the Employer, or their respective agents, at their discretion, to satisfy any applicable withholding obligations with regard to all Tax-Related Items by one or a combination of the following: (i) requiring the Employee to make a payment in a form acceptable to the Company, (ii) withholding from the Employee’s wages or other compensation payable to the Employee, (iii) withholding from proceeds of the sale of the shares of Common Stock acquired upon the settlement of the RSUs either through a voluntary sale or through a mandatory sale arranged by the Company (on the Employee’s behalf pursuant to this authorization without further consent), (iv) withholding from the shares of Common Stock otherwise issuable at vesting of the RSUs, provided, however, that if the Employee is subject to the reporting and other provisions of Section 16 of the Exchange Act, the Company shall affirmatively approve, by Board action, any such withholding of shares of Common Stock as contemplated in the immediately preceding proviso, or (v) any other method of withholding determined by the Company and, to the extent required by applicable law or the Plan, approved by the Committee.</w:t>
      </w:r>
    </w:p>
    <w:p>
      <w:pPr>
        <w:spacing w:after="0" w:line="135" w:lineRule="exact"/>
        <w:rPr>
          <w:rFonts w:ascii="Arial" w:cs="Arial" w:eastAsia="Arial" w:hAnsi="Arial"/>
          <w:sz w:val="18"/>
          <w:szCs w:val="18"/>
          <w:color w:val="auto"/>
        </w:rPr>
      </w:pPr>
    </w:p>
    <w:p>
      <w:pPr>
        <w:jc w:val="both"/>
        <w:ind w:left="710" w:hanging="380"/>
        <w:spacing w:after="0" w:line="257" w:lineRule="auto"/>
        <w:tabs>
          <w:tab w:leader="none" w:pos="769"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and/or the Employer may withhold or account for Tax-Related Items by considering statutory withholding rates or other withholding rates, including maximum rates applicable in the Employee’s jurisdiction(s). In the event of over-withholding, the Employee may receive a refund of any over-withheld amount in cash (with no entitlement to the equivalent in shares of Common Stock) or, if not refunded, the Employee may seek a refund from the local tax authorities. In the event of under-withholding, the Employee may be required to pay additional Tax-Related Items directly to the applicable tax authority or to the Company and/or the Employer. If the obligation for Tax-Related Items is satisfied by withholding in shares of Common Stock, for tax purposes,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70"/>
          </w:cols>
          <w:pgMar w:left="490" w:top="37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710"/>
        <w:spacing w:after="0" w:line="268" w:lineRule="auto"/>
        <w:rPr>
          <w:sz w:val="20"/>
          <w:szCs w:val="20"/>
          <w:color w:val="auto"/>
        </w:rPr>
      </w:pPr>
      <w:r>
        <w:rPr>
          <w:rFonts w:ascii="Arial" w:cs="Arial" w:eastAsia="Arial" w:hAnsi="Arial"/>
          <w:sz w:val="18"/>
          <w:szCs w:val="18"/>
          <w:color w:val="auto"/>
        </w:rPr>
        <w:t>Employee is deemed to have been issued the full number of shares of Common Stock subject to the vested RSUs, notwithstanding that a number of the shares of Common Stock is held back solely for the purpose of paying the Tax-Related Items.</w:t>
      </w:r>
    </w:p>
    <w:p>
      <w:pPr>
        <w:spacing w:after="0" w:line="117" w:lineRule="exact"/>
        <w:rPr>
          <w:sz w:val="20"/>
          <w:szCs w:val="20"/>
          <w:color w:val="auto"/>
        </w:rPr>
      </w:pPr>
    </w:p>
    <w:p>
      <w:pPr>
        <w:jc w:val="both"/>
        <w:ind w:left="710" w:hanging="380"/>
        <w:spacing w:after="0" w:line="259" w:lineRule="auto"/>
        <w:tabs>
          <w:tab w:leader="none" w:pos="855"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Employee agrees to pay to the Company or the Employer any amount of Tax-Related Items that the Company or the Employer may be required to withhold or account for as a result of the Employe’s participation in the Plan that cannot be satisfied by the means previously described. The Company may refuse to issue or deliver the shares of Common Stock or the proceeds of the sale of the shares of Common Stock acquired upon the vesting of the RSUs, if the Employee fails to comply with the Employee's obligations in connection with the Tax-Related Items.</w:t>
      </w:r>
    </w:p>
    <w:p>
      <w:pPr>
        <w:spacing w:after="0" w:line="125" w:lineRule="exact"/>
        <w:rPr>
          <w:rFonts w:ascii="Arial" w:cs="Arial" w:eastAsia="Arial" w:hAnsi="Arial"/>
          <w:sz w:val="18"/>
          <w:szCs w:val="18"/>
          <w:color w:val="auto"/>
        </w:rPr>
      </w:pPr>
    </w:p>
    <w:p>
      <w:pPr>
        <w:ind w:left="430" w:hanging="430"/>
        <w:spacing w:after="0"/>
        <w:tabs>
          <w:tab w:leader="none" w:pos="43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630" w:hanging="391"/>
        <w:spacing w:after="0" w:line="268" w:lineRule="auto"/>
        <w:tabs>
          <w:tab w:leader="none" w:pos="7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RSUs are subject to modification and adjustment under Section 9(c) of the Plan.</w:t>
      </w:r>
    </w:p>
    <w:p>
      <w:pPr>
        <w:spacing w:after="0" w:line="116" w:lineRule="exact"/>
        <w:rPr>
          <w:rFonts w:ascii="Arial" w:cs="Arial" w:eastAsia="Arial" w:hAnsi="Arial"/>
          <w:sz w:val="18"/>
          <w:szCs w:val="18"/>
          <w:color w:val="auto"/>
        </w:rPr>
      </w:pPr>
    </w:p>
    <w:p>
      <w:pPr>
        <w:ind w:left="250" w:firstLine="74"/>
        <w:spacing w:after="0" w:line="287" w:lineRule="auto"/>
        <w:tabs>
          <w:tab w:leader="none" w:pos="1131"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award of the RSUs is voluntary and occasional and does not create any contractual or other right to receive future grants of RSUs, or benefits in lieu of RSUs, even if RSUs have been granted repeatedly in the past;</w:t>
      </w:r>
    </w:p>
    <w:p>
      <w:pPr>
        <w:spacing w:after="0" w:line="98" w:lineRule="exact"/>
        <w:rPr>
          <w:rFonts w:ascii="Arial" w:cs="Arial" w:eastAsia="Arial" w:hAnsi="Arial"/>
          <w:sz w:val="18"/>
          <w:szCs w:val="18"/>
          <w:color w:val="auto"/>
        </w:rPr>
      </w:pPr>
    </w:p>
    <w:p>
      <w:pPr>
        <w:ind w:left="250" w:right="20" w:firstLine="74"/>
        <w:spacing w:after="0" w:line="287" w:lineRule="auto"/>
        <w:tabs>
          <w:tab w:leader="none" w:pos="1131" w:val="left"/>
        </w:tabs>
        <w:numPr>
          <w:ilvl w:val="2"/>
          <w:numId w:val="35"/>
        </w:numPr>
        <w:rPr>
          <w:rFonts w:ascii="Arial" w:cs="Arial" w:eastAsia="Arial" w:hAnsi="Arial"/>
          <w:sz w:val="18"/>
          <w:szCs w:val="18"/>
          <w:color w:val="auto"/>
        </w:rPr>
      </w:pPr>
      <w:r>
        <w:rPr>
          <w:rFonts w:ascii="Arial" w:cs="Arial" w:eastAsia="Arial" w:hAnsi="Arial"/>
          <w:sz w:val="18"/>
          <w:szCs w:val="18"/>
          <w:color w:val="auto"/>
        </w:rPr>
        <w:t>all decisions with respect to future 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250" w:firstLine="74"/>
        <w:spacing w:after="0" w:line="268" w:lineRule="auto"/>
        <w:tabs>
          <w:tab w:leader="none" w:pos="1135"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RSU award and the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1130" w:hanging="806"/>
        <w:spacing w:after="0"/>
        <w:tabs>
          <w:tab w:leader="none" w:pos="113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250" w:firstLine="74"/>
        <w:spacing w:after="0" w:line="268" w:lineRule="auto"/>
        <w:tabs>
          <w:tab w:leader="none" w:pos="1131"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250" w:firstLine="74"/>
        <w:spacing w:after="0" w:line="287" w:lineRule="auto"/>
        <w:tabs>
          <w:tab w:leader="none" w:pos="1135"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intended to replace any pension rights or compensation;</w:t>
      </w:r>
    </w:p>
    <w:p>
      <w:pPr>
        <w:spacing w:after="0" w:line="98" w:lineRule="exact"/>
        <w:rPr>
          <w:rFonts w:ascii="Arial" w:cs="Arial" w:eastAsia="Arial" w:hAnsi="Arial"/>
          <w:sz w:val="18"/>
          <w:szCs w:val="18"/>
          <w:color w:val="auto"/>
        </w:rPr>
      </w:pPr>
    </w:p>
    <w:p>
      <w:pPr>
        <w:jc w:val="both"/>
        <w:ind w:left="250" w:firstLine="74"/>
        <w:spacing w:after="0" w:line="262" w:lineRule="auto"/>
        <w:tabs>
          <w:tab w:leader="none" w:pos="1131"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22" w:lineRule="exact"/>
        <w:rPr>
          <w:rFonts w:ascii="Arial" w:cs="Arial" w:eastAsia="Arial" w:hAnsi="Arial"/>
          <w:sz w:val="18"/>
          <w:szCs w:val="18"/>
          <w:color w:val="auto"/>
        </w:rPr>
      </w:pPr>
    </w:p>
    <w:p>
      <w:pPr>
        <w:ind w:left="1130" w:hanging="806"/>
        <w:spacing w:after="0"/>
        <w:tabs>
          <w:tab w:leader="none" w:pos="113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sz w:val="20"/>
          <w:szCs w:val="20"/>
          <w:color w:val="auto"/>
        </w:rPr>
      </w:pPr>
    </w:p>
    <w:p>
      <w:pPr>
        <w:jc w:val="both"/>
        <w:ind w:left="250" w:firstLine="81"/>
        <w:spacing w:after="0" w:line="259" w:lineRule="auto"/>
        <w:rPr>
          <w:sz w:val="20"/>
          <w:szCs w:val="20"/>
          <w:color w:val="auto"/>
        </w:rPr>
      </w:pPr>
      <w:r>
        <w:rPr>
          <w:rFonts w:ascii="Arial" w:cs="Arial" w:eastAsia="Arial" w:hAnsi="Arial"/>
          <w:sz w:val="18"/>
          <w:szCs w:val="18"/>
          <w:color w:val="auto"/>
        </w:rPr>
        <w:t>(i)in consideration of the award of the RSUs, no claim or entitlement to compensation or damages shall arise from forfeiture of the RSUs, including, but not limited to, forfeiture resulting from termination of the Employee’s employment with or services to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70"/>
          </w:cols>
          <w:pgMar w:left="490" w:top="37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ind w:left="250"/>
        <w:spacing w:after="0"/>
        <w:rPr>
          <w:sz w:val="20"/>
          <w:szCs w:val="20"/>
          <w:color w:val="auto"/>
        </w:rPr>
      </w:pPr>
      <w:r>
        <w:rPr>
          <w:rFonts w:ascii="Arial" w:cs="Arial" w:eastAsia="Arial" w:hAnsi="Arial"/>
          <w:sz w:val="18"/>
          <w:szCs w:val="18"/>
          <w:color w:val="auto"/>
        </w:rPr>
        <w:t>have arisen, the Employee shall be deemed irrevocably to have waived the Employee’s entitlement to pursue such claim; and</w:t>
      </w:r>
    </w:p>
    <w:p>
      <w:pPr>
        <w:spacing w:after="0" w:line="171" w:lineRule="exact"/>
        <w:rPr>
          <w:sz w:val="20"/>
          <w:szCs w:val="20"/>
          <w:color w:val="auto"/>
        </w:rPr>
      </w:pPr>
    </w:p>
    <w:p>
      <w:pPr>
        <w:ind w:left="250" w:firstLine="81"/>
        <w:spacing w:after="0" w:line="287" w:lineRule="auto"/>
        <w:rPr>
          <w:sz w:val="20"/>
          <w:szCs w:val="20"/>
          <w:color w:val="auto"/>
        </w:rPr>
      </w:pPr>
      <w:r>
        <w:rPr>
          <w:rFonts w:ascii="Arial" w:cs="Arial" w:eastAsia="Arial" w:hAnsi="Arial"/>
          <w:sz w:val="18"/>
          <w:szCs w:val="18"/>
          <w:color w:val="auto"/>
        </w:rPr>
        <w:t>(j)subject to the provisions in the Plan regarding Change in Control, RSUs and the benefits under the Plan, if any, will not automatically transfer to another company in the case of a merger, take-over or transfer of liability.</w:t>
      </w:r>
    </w:p>
    <w:p>
      <w:pPr>
        <w:spacing w:after="0" w:line="99" w:lineRule="exact"/>
        <w:rPr>
          <w:sz w:val="20"/>
          <w:szCs w:val="20"/>
          <w:color w:val="auto"/>
        </w:rPr>
      </w:pPr>
    </w:p>
    <w:p>
      <w:pPr>
        <w:jc w:val="both"/>
        <w:ind w:left="10" w:hanging="10"/>
        <w:spacing w:after="0" w:line="262" w:lineRule="auto"/>
        <w:tabs>
          <w:tab w:leader="none" w:pos="58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the Employee’s acquisition or sale of the underlying shares of Common Stock. The Employee is hereby advised to consult with the Employee’s own personal tax, legal and financial advisors regarding the Employee’s participation in the Plan before taking any action related to the Plan.</w:t>
      </w:r>
    </w:p>
    <w:p>
      <w:pPr>
        <w:spacing w:after="0" w:line="122" w:lineRule="exact"/>
        <w:rPr>
          <w:rFonts w:ascii="Arial" w:cs="Arial" w:eastAsia="Arial" w:hAnsi="Arial"/>
          <w:sz w:val="18"/>
          <w:szCs w:val="18"/>
          <w:color w:val="auto"/>
        </w:rPr>
      </w:pPr>
    </w:p>
    <w:p>
      <w:pPr>
        <w:jc w:val="both"/>
        <w:ind w:left="10" w:hanging="10"/>
        <w:spacing w:after="0" w:line="253"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settlement of the RSUs prior to the completion of any registration or qualification of the Common Stock under any U.S. or non-U.S. local, state or federal securities or other applicable law or under rulings or regulations of the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of any other U.S. or non-U.S. governmental regulatory body, or prior to obtaining any approval or other clearance from any U.S. or non-U.S. local, state or federal governmental agency, which registration, qualification or approval the Company shall, in its absolute discretion, deem necessary or advisable. The Employee understands that the Company is under no obligation to register or qualify the shares of Common Stock subject to the RSUs with the SEC or any U.S. state or non-U.S. securities commission or to seek approval or clearance from any governmental authority for the issuance or sale of the Common Stock. Further, the Employee agrees that the Company shall have unilateral authority to amend the Plan and this Agreement without the Employee’s consent to the extent necessary to comply with securities or other laws applicable to the issuance of the shares of Common Stock.</w:t>
      </w:r>
    </w:p>
    <w:p>
      <w:pPr>
        <w:spacing w:after="0" w:line="135" w:lineRule="exact"/>
        <w:rPr>
          <w:rFonts w:ascii="Arial" w:cs="Arial" w:eastAsia="Arial" w:hAnsi="Arial"/>
          <w:sz w:val="18"/>
          <w:szCs w:val="18"/>
          <w:color w:val="auto"/>
        </w:rPr>
      </w:pPr>
    </w:p>
    <w:p>
      <w:pPr>
        <w:ind w:left="10" w:hanging="10"/>
        <w:spacing w:after="0" w:line="287" w:lineRule="auto"/>
        <w:tabs>
          <w:tab w:leader="none" w:pos="52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98" w:lineRule="exact"/>
        <w:rPr>
          <w:rFonts w:ascii="Arial" w:cs="Arial" w:eastAsia="Arial" w:hAnsi="Arial"/>
          <w:sz w:val="18"/>
          <w:szCs w:val="18"/>
          <w:color w:val="auto"/>
        </w:rPr>
      </w:pPr>
    </w:p>
    <w:p>
      <w:pPr>
        <w:jc w:val="both"/>
        <w:ind w:left="10" w:hanging="4"/>
        <w:spacing w:after="0" w:line="265" w:lineRule="auto"/>
        <w:tabs>
          <w:tab w:leader="none" w:pos="55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Except where otherwise prohibited under applicable law, by executing this Agreement and accepting the RSUs and the delivery of any shares of Common Stock hereunder, the Employee expressly acknowledges and agrees to be bound by and to comply with all of the terms and conditions contained in the Non-Competition and Non-Solicitation Agreement set forth as Exhibit A to this Agreement and incorporated herein by reference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jc w:val="both"/>
        <w:ind w:left="10" w:hanging="10"/>
        <w:spacing w:after="0" w:line="262" w:lineRule="auto"/>
        <w:tabs>
          <w:tab w:leader="none" w:pos="48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This Award shall be subject to (i) the Conduent Incorporated Compensation Recoupment Policy, as may be amended from time to time, or any successor policy, and (ii) any other compensation recovery policy adopted after the RSUs are granted to facilitate compliance with applicable law, including in response to the requirements of Section 10D of the Exchange Act, the U.S. Securities and Exchange Commission’s final rules thereunder, and any applicable listing rules or other rules and regulations implementing the foregoing.</w:t>
      </w:r>
    </w:p>
    <w:p>
      <w:pPr>
        <w:spacing w:after="0" w:line="122"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For purposes of this Section 16, the Employee expressly and explicitly authorizes the Company to issue instructions, on the Employee's behalf, to any brokerage firm and/or third party administrator engaged by the Company to hold any shares of Common Stock and other amounts acquired pursuant to the RSUs to re-convey, transfer or otherwise return such shares of Common Stock and/or other amounts to the Company upon the Company’s enforcement of the Company’s recoupment policy, the Company’s clawback policy, if any, and any other compensation recovery policy adopted by the Board or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70"/>
          </w:cols>
          <w:pgMar w:left="490" w:top="37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ind w:left="10" w:hanging="10"/>
        <w:spacing w:after="0" w:line="287" w:lineRule="auto"/>
        <w:tabs>
          <w:tab w:leader="none" w:pos="55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jc w:val="both"/>
        <w:ind w:left="630" w:hanging="173"/>
        <w:spacing w:after="0" w:line="268" w:lineRule="auto"/>
        <w:tabs>
          <w:tab w:leader="none" w:pos="8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16" w:lineRule="exact"/>
        <w:rPr>
          <w:rFonts w:ascii="Arial" w:cs="Arial" w:eastAsia="Arial" w:hAnsi="Arial"/>
          <w:sz w:val="18"/>
          <w:szCs w:val="18"/>
          <w:color w:val="auto"/>
        </w:rPr>
      </w:pPr>
    </w:p>
    <w:p>
      <w:pPr>
        <w:jc w:val="both"/>
        <w:ind w:left="630" w:hanging="166"/>
        <w:spacing w:after="0" w:line="262" w:lineRule="auto"/>
        <w:tabs>
          <w:tab w:leader="none" w:pos="90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22" w:lineRule="exact"/>
        <w:rPr>
          <w:sz w:val="20"/>
          <w:szCs w:val="20"/>
          <w:color w:val="auto"/>
        </w:rPr>
      </w:pPr>
    </w:p>
    <w:p>
      <w:pPr>
        <w:jc w:val="both"/>
        <w:ind w:left="630" w:firstLine="154"/>
        <w:spacing w:after="0" w:line="257" w:lineRule="auto"/>
        <w:rPr>
          <w:sz w:val="20"/>
          <w:szCs w:val="20"/>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the Employee has made such report or disclosure, or of the Employee’s participation in an agency investigation or proceeding.</w:t>
      </w:r>
    </w:p>
    <w:p>
      <w:pPr>
        <w:spacing w:after="0" w:line="128" w:lineRule="exact"/>
        <w:rPr>
          <w:sz w:val="20"/>
          <w:szCs w:val="20"/>
          <w:color w:val="auto"/>
        </w:rPr>
      </w:pPr>
    </w:p>
    <w:p>
      <w:pPr>
        <w:jc w:val="both"/>
        <w:ind w:left="630" w:hanging="43"/>
        <w:spacing w:after="0" w:line="259" w:lineRule="auto"/>
        <w:tabs>
          <w:tab w:leader="none" w:pos="1142"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25" w:lineRule="exact"/>
        <w:rPr>
          <w:rFonts w:ascii="Arial" w:cs="Arial" w:eastAsia="Arial" w:hAnsi="Arial"/>
          <w:sz w:val="18"/>
          <w:szCs w:val="18"/>
          <w:color w:val="auto"/>
        </w:rPr>
      </w:pPr>
    </w:p>
    <w:p>
      <w:pPr>
        <w:jc w:val="both"/>
        <w:ind w:left="630" w:hanging="187"/>
        <w:spacing w:after="0" w:line="256" w:lineRule="auto"/>
        <w:tabs>
          <w:tab w:leader="none" w:pos="8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jc w:val="both"/>
        <w:ind w:left="10" w:hanging="10"/>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116" w:lineRule="exact"/>
        <w:rPr>
          <w:rFonts w:ascii="Arial" w:cs="Arial" w:eastAsia="Arial" w:hAnsi="Arial"/>
          <w:sz w:val="18"/>
          <w:szCs w:val="18"/>
          <w:color w:val="auto"/>
        </w:rPr>
      </w:pPr>
    </w:p>
    <w:p>
      <w:pPr>
        <w:ind w:left="10" w:hanging="10"/>
        <w:spacing w:after="0" w:line="287" w:lineRule="auto"/>
        <w:tabs>
          <w:tab w:leader="none" w:pos="48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98" w:lineRule="exact"/>
        <w:rPr>
          <w:rFonts w:ascii="Arial" w:cs="Arial" w:eastAsia="Arial" w:hAnsi="Arial"/>
          <w:sz w:val="18"/>
          <w:szCs w:val="18"/>
          <w:color w:val="auto"/>
        </w:rPr>
      </w:pPr>
    </w:p>
    <w:p>
      <w:pPr>
        <w:jc w:val="both"/>
        <w:ind w:left="10" w:hanging="10"/>
        <w:spacing w:after="0" w:line="262" w:lineRule="auto"/>
        <w:tabs>
          <w:tab w:leader="none" w:pos="47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70"/>
          </w:cols>
          <w:pgMar w:left="490" w:top="37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10" w:right="20"/>
        <w:spacing w:after="0" w:line="287" w:lineRule="auto"/>
        <w:rPr>
          <w:sz w:val="20"/>
          <w:szCs w:val="20"/>
          <w:color w:val="auto"/>
        </w:rPr>
      </w:pPr>
      <w:r>
        <w:rPr>
          <w:rFonts w:ascii="Arial" w:cs="Arial" w:eastAsia="Arial" w:hAnsi="Arial"/>
          <w:sz w:val="18"/>
          <w:szCs w:val="18"/>
          <w:color w:val="auto"/>
        </w:rPr>
        <w:t>Electronic acceptance by the Employee is required and the award will be cancelled for any employee who fails to comply with the Company’s acceptance requirement within 90 days of the effective date of the award.</w:t>
      </w:r>
    </w:p>
    <w:p>
      <w:pPr>
        <w:spacing w:after="0" w:line="99" w:lineRule="exact"/>
        <w:rPr>
          <w:sz w:val="20"/>
          <w:szCs w:val="20"/>
          <w:color w:val="auto"/>
        </w:rPr>
      </w:pPr>
    </w:p>
    <w:p>
      <w:pPr>
        <w:jc w:val="both"/>
        <w:ind w:left="10" w:hanging="10"/>
        <w:spacing w:after="0" w:line="257" w:lineRule="auto"/>
        <w:tabs>
          <w:tab w:leader="none" w:pos="51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10" w:hanging="10"/>
        <w:spacing w:after="0" w:line="28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10" w:hanging="10"/>
        <w:spacing w:after="0" w:line="255" w:lineRule="auto"/>
        <w:tabs>
          <w:tab w:leader="none" w:pos="58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any actions taken under or relating to this Agreement, and any disputes arising out of or related to this Agreement, shall be governed by and construed in accordance with the laws of the United States and the laws of the State of Delaware without giving effect to any choice or conflict of law provision or rule (whether of the State of Delaware or any other jurisdiction) that would cause the application of the laws of any jurisdiction other than the United States and the State or Delaware. This grant is made and/or administered in the United States. For purposes of litigating any dispute that arises under this grant or the Agreement the parties hereby submit to and consent to the jurisdiction of the State of Delaware, and agree that such litigation shall only be conducted in the state or federal courts located in Delaware to the exclusion of all other courts and fora. By accepting the RSUs, the Employee irrevocably consents to the jurisdiction of, and venue in, such courts and waives any objection that such courts are an inconvenient forum.</w:t>
      </w:r>
    </w:p>
    <w:p>
      <w:pPr>
        <w:spacing w:after="0" w:line="126" w:lineRule="exact"/>
        <w:rPr>
          <w:rFonts w:ascii="Arial" w:cs="Arial" w:eastAsia="Arial" w:hAnsi="Arial"/>
          <w:sz w:val="18"/>
          <w:szCs w:val="18"/>
          <w:color w:val="auto"/>
        </w:rPr>
      </w:pPr>
    </w:p>
    <w:p>
      <w:pPr>
        <w:jc w:val="both"/>
        <w:ind w:left="10" w:hanging="10"/>
        <w:spacing w:after="0" w:line="268" w:lineRule="auto"/>
        <w:tabs>
          <w:tab w:leader="none" w:pos="31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1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RSUs, and any dividends with respect thereto, that are settled within such 60-day period in accordance with this Agreement shall be settled in the second calendar year.</w:t>
      </w:r>
    </w:p>
    <w:p>
      <w:pPr>
        <w:spacing w:after="0" w:line="125" w:lineRule="exact"/>
        <w:rPr>
          <w:sz w:val="20"/>
          <w:szCs w:val="20"/>
          <w:color w:val="auto"/>
        </w:rPr>
      </w:pPr>
    </w:p>
    <w:p>
      <w:pPr>
        <w:jc w:val="both"/>
        <w:ind w:left="10"/>
        <w:spacing w:after="0" w:line="26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2" w:lineRule="exact"/>
        <w:rPr>
          <w:sz w:val="20"/>
          <w:szCs w:val="20"/>
          <w:color w:val="auto"/>
        </w:rPr>
      </w:pPr>
    </w:p>
    <w:p>
      <w:pPr>
        <w:jc w:val="both"/>
        <w:ind w:left="10" w:hanging="10"/>
        <w:spacing w:after="0" w:line="255" w:lineRule="auto"/>
        <w:tabs>
          <w:tab w:leader="none" w:pos="2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28" w:lineRule="exact"/>
        <w:rPr>
          <w:sz w:val="20"/>
          <w:szCs w:val="20"/>
          <w:color w:val="auto"/>
        </w:rPr>
      </w:pPr>
    </w:p>
    <w:p>
      <w:pPr>
        <w:jc w:val="both"/>
        <w:ind w:left="10"/>
        <w:spacing w:after="0" w:line="262"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070"/>
          </w:cols>
          <w:pgMar w:left="490" w:top="37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17" w:lineRule="exact"/>
        <w:rPr>
          <w:sz w:val="20"/>
          <w:szCs w:val="20"/>
          <w:color w:val="auto"/>
        </w:rPr>
      </w:pPr>
    </w:p>
    <w:p>
      <w:pPr>
        <w:ind w:left="450" w:hanging="450"/>
        <w:spacing w:after="0"/>
        <w:tabs>
          <w:tab w:leader="none" w:pos="45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30" w:hanging="391"/>
        <w:spacing w:after="0" w:line="257" w:lineRule="auto"/>
        <w:tabs>
          <w:tab w:leader="none" w:pos="755"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Data Collection and Usage</w:t>
      </w:r>
      <w:r>
        <w:rPr>
          <w:rFonts w:ascii="Arial" w:cs="Arial" w:eastAsia="Arial" w:hAnsi="Arial"/>
          <w:sz w:val="18"/>
          <w:szCs w:val="18"/>
          <w:color w:val="auto"/>
        </w:rPr>
        <w:t>. The Company and the Employer collect, process and use certain personal information about the Employee, including, but not limited to, the Employee’s name, home address and telephone number, email address, date of birth, social insurance, passport or other identification number, salary, nationality, job title, any shares of Common Stock or directorships held in the Company, details of all RSUs or any other entitlement to shares or equivalent benefits awarded, canceled, exercised, vested, unvested or outstanding in the Employee’s favor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for the purposes of implementing, administering and managing the Plan. The legal basis, where required, for the processing of Data is the Employee’s consent.</w:t>
      </w:r>
    </w:p>
    <w:p>
      <w:pPr>
        <w:spacing w:after="0" w:line="128" w:lineRule="exact"/>
        <w:rPr>
          <w:rFonts w:ascii="Arial" w:cs="Arial" w:eastAsia="Arial" w:hAnsi="Arial"/>
          <w:sz w:val="18"/>
          <w:szCs w:val="18"/>
          <w:color w:val="auto"/>
        </w:rPr>
      </w:pPr>
    </w:p>
    <w:p>
      <w:pPr>
        <w:jc w:val="both"/>
        <w:ind w:left="630" w:hanging="391"/>
        <w:spacing w:after="0" w:line="259" w:lineRule="auto"/>
        <w:tabs>
          <w:tab w:leader="none" w:pos="74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It may be necessary for Data to be transferred to, and processed in, the U.S. If the Employee is outside of the U.S., the Employee should note that the Employee's country has enacted data privacy laws that are different from the U.S. As a result, in the absence of appropriate safeguards, the transfer of Data to the U.S. or, as the case may be, other countries might not be subject to substantive data processing principles or supervision by data protection authorities. The Company’s legal basis, where required, for the transfer of Data is the Employee’s consent.</w:t>
      </w:r>
    </w:p>
    <w:p>
      <w:pPr>
        <w:spacing w:after="0" w:line="125" w:lineRule="exact"/>
        <w:rPr>
          <w:rFonts w:ascii="Arial" w:cs="Arial" w:eastAsia="Arial" w:hAnsi="Arial"/>
          <w:sz w:val="18"/>
          <w:szCs w:val="18"/>
          <w:color w:val="auto"/>
        </w:rPr>
      </w:pPr>
    </w:p>
    <w:p>
      <w:pPr>
        <w:jc w:val="both"/>
        <w:ind w:left="630" w:hanging="391"/>
        <w:spacing w:after="0" w:line="268" w:lineRule="auto"/>
        <w:tabs>
          <w:tab w:leader="none" w:pos="73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the Employee’s participation in the Plan, or as required to comply with legal or regulatory obligations, including under tax, exchange control, labor and securities laws.</w:t>
      </w:r>
    </w:p>
    <w:p>
      <w:pPr>
        <w:spacing w:after="0" w:line="116" w:lineRule="exact"/>
        <w:rPr>
          <w:rFonts w:ascii="Arial" w:cs="Arial" w:eastAsia="Arial" w:hAnsi="Arial"/>
          <w:sz w:val="18"/>
          <w:szCs w:val="18"/>
          <w:color w:val="auto"/>
        </w:rPr>
      </w:pPr>
    </w:p>
    <w:p>
      <w:pPr>
        <w:jc w:val="both"/>
        <w:ind w:left="630" w:hanging="391"/>
        <w:spacing w:after="0" w:line="259" w:lineRule="auto"/>
        <w:tabs>
          <w:tab w:leader="none" w:pos="74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Voluntariness and Consequences of Consent Denial or Withdrawal</w:t>
      </w:r>
      <w:r>
        <w:rPr>
          <w:rFonts w:ascii="Arial" w:cs="Arial" w:eastAsia="Arial" w:hAnsi="Arial"/>
          <w:sz w:val="18"/>
          <w:szCs w:val="18"/>
          <w:color w:val="auto"/>
        </w:rPr>
        <w:t>. Participation in the Plan is voluntary, and the Employee is providing the consents herein on a purely voluntary basis. If the Employee does not consent, or if the Employee later seeks to revoke the Employee's consent, the Employee’s salary from or employment and career with the Employer will not be affected; the only consequence of refusing or withdrawing consent is that the Company would not be able to grant the RSUs or other equity awards to the Employee or administer or maintain such awards.</w:t>
      </w:r>
    </w:p>
    <w:p>
      <w:pPr>
        <w:spacing w:after="0" w:line="125" w:lineRule="exact"/>
        <w:rPr>
          <w:rFonts w:ascii="Arial" w:cs="Arial" w:eastAsia="Arial" w:hAnsi="Arial"/>
          <w:sz w:val="18"/>
          <w:szCs w:val="18"/>
          <w:color w:val="auto"/>
        </w:rPr>
      </w:pPr>
    </w:p>
    <w:p>
      <w:pPr>
        <w:jc w:val="both"/>
        <w:ind w:left="630" w:hanging="391"/>
        <w:spacing w:after="0" w:line="257" w:lineRule="auto"/>
        <w:tabs>
          <w:tab w:leader="none" w:pos="809"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privacy laws in the Employee’s jurisdiction. Depending on where the Employee is based, such rights may include the right to (i) request access or copies of Data the Company processes, (ii) rectification of incorrect Data, (iii) deletion of Data, (iv) restrictions on processing of Data, (v) portability of Data, (vi) lodge complaints with competent authorities in the Employee’s jurisdiction, and/or (vii) receive a list with the names and addresses of any potential recipients of Data. To receive clarification regarding these rights or to exercise these rights, the Employee can contact the local human resources representative.</w:t>
      </w:r>
    </w:p>
    <w:p>
      <w:pPr>
        <w:spacing w:after="0" w:line="128" w:lineRule="exact"/>
        <w:rPr>
          <w:sz w:val="20"/>
          <w:szCs w:val="20"/>
          <w:color w:val="auto"/>
        </w:rPr>
      </w:pPr>
    </w:p>
    <w:p>
      <w:pPr>
        <w:jc w:val="both"/>
        <w:ind w:left="630" w:firstLine="115"/>
        <w:spacing w:after="0" w:line="259" w:lineRule="auto"/>
        <w:rPr>
          <w:sz w:val="20"/>
          <w:szCs w:val="20"/>
          <w:color w:val="auto"/>
        </w:rPr>
      </w:pPr>
      <w:r>
        <w:rPr>
          <w:rFonts w:ascii="Arial" w:cs="Arial" w:eastAsia="Arial" w:hAnsi="Arial"/>
          <w:sz w:val="18"/>
          <w:szCs w:val="18"/>
          <w:color w:val="auto"/>
        </w:rPr>
        <w:t>By accepting the RSUs and indicating consent via the Company’s acceptance procedure, the Employee is declaring agreement with the data processing practices described herein and consents to the collection, processing and use of Data by the Company and the transfer of Data to the recipients mentioned above, including recipients located in countries which to not adduce an adequate level of protection from a European (or other non-U.S.) data protection law perspective, for the purposes described above.</w:t>
      </w:r>
    </w:p>
    <w:p>
      <w:pPr>
        <w:spacing w:after="0" w:line="125" w:lineRule="exact"/>
        <w:rPr>
          <w:sz w:val="20"/>
          <w:szCs w:val="20"/>
          <w:color w:val="auto"/>
        </w:rPr>
      </w:pPr>
    </w:p>
    <w:p>
      <w:pPr>
        <w:jc w:val="both"/>
        <w:ind w:left="630" w:firstLine="134"/>
        <w:spacing w:after="0" w:line="268" w:lineRule="auto"/>
        <w:rPr>
          <w:sz w:val="20"/>
          <w:szCs w:val="20"/>
          <w:color w:val="auto"/>
        </w:rPr>
      </w:pPr>
      <w:r>
        <w:rPr>
          <w:rFonts w:ascii="Arial" w:cs="Arial" w:eastAsia="Arial" w:hAnsi="Arial"/>
          <w:sz w:val="18"/>
          <w:szCs w:val="18"/>
          <w:color w:val="auto"/>
        </w:rPr>
        <w:t>Finally, the Employee understands that the Company may rely on a different basis for the processing or transfer of Data in the future and/or request that the Employee provide another data privacy consent. If applicable, the Employee agrees that upon request of the Company or the Employer, the Employee will provide an executed acknowledgement 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070"/>
          </w:cols>
          <w:pgMar w:left="490" w:top="37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data privacy consent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the Employee will not be able to participate in the Plan if the Employee fails to provide any such consent or agreement requested by the Company and/or the Employer.</w:t>
      </w:r>
    </w:p>
    <w:p>
      <w:pPr>
        <w:spacing w:after="0" w:line="125" w:lineRule="exact"/>
        <w:rPr>
          <w:sz w:val="20"/>
          <w:szCs w:val="20"/>
          <w:color w:val="auto"/>
        </w:rPr>
      </w:pPr>
    </w:p>
    <w:p>
      <w:pPr>
        <w:jc w:val="both"/>
        <w:ind w:left="180" w:hanging="10"/>
        <w:spacing w:after="0" w:line="268" w:lineRule="auto"/>
        <w:tabs>
          <w:tab w:leader="none" w:pos="74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180" w:hanging="10"/>
        <w:spacing w:after="0" w:line="287" w:lineRule="auto"/>
        <w:tabs>
          <w:tab w:leader="none" w:pos="69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180" w:hanging="10"/>
        <w:spacing w:after="0" w:line="259" w:lineRule="auto"/>
        <w:tabs>
          <w:tab w:leader="none" w:pos="65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RSUs shall be subject to any special terms and conditions set forth in any appendix to this Agreement for the Employee’s country of employment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180" w:hanging="10"/>
        <w:spacing w:after="0" w:line="259" w:lineRule="auto"/>
        <w:tabs>
          <w:tab w:leader="none" w:pos="73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CONDUENT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37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10.6(a)(i)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800225" cy="1028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180022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Christopher Kujawa, Chief Human Resources Office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37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172085</wp:posOffset>
            </wp:positionV>
            <wp:extent cx="1508760" cy="394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15087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Non-Competition and Non-Solicitation Agreement (“Agreement”) is made effective as of April 1, 2024 (“Effective Date”) between Conduent Business Services, LLC, its parent, subsidiaries, divisions and affiliates (collectively, “Conduent”) and the individual whose name appears in the Award Summary (“Employee”).</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252" w:lineRule="exact"/>
        <w:rPr>
          <w:sz w:val="20"/>
          <w:szCs w:val="20"/>
          <w:color w:val="auto"/>
        </w:rPr>
      </w:pPr>
    </w:p>
    <w:p>
      <w:pPr>
        <w:jc w:val="both"/>
        <w:ind w:left="340" w:hanging="332"/>
        <w:spacing w:after="0" w:line="276"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or render any services for (including, but not limited to, as an employee, proprietor, partner, agent, contractor, or consultant) any Entity that is engaged in any Competitive Activity in the Geographical Area.</w:t>
      </w:r>
    </w:p>
    <w:p>
      <w:pPr>
        <w:spacing w:after="0" w:line="203" w:lineRule="exact"/>
        <w:rPr>
          <w:rFonts w:ascii="Arial" w:cs="Arial" w:eastAsia="Arial" w:hAnsi="Arial"/>
          <w:sz w:val="18"/>
          <w:szCs w:val="18"/>
          <w:color w:val="auto"/>
        </w:rPr>
      </w:pPr>
    </w:p>
    <w:p>
      <w:pPr>
        <w:ind w:left="800" w:hanging="468"/>
        <w:spacing w:after="0"/>
        <w:tabs>
          <w:tab w:leader="none" w:pos="8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252" w:lineRule="exact"/>
        <w:rPr>
          <w:rFonts w:ascii="Arial" w:cs="Arial" w:eastAsia="Arial" w:hAnsi="Arial"/>
          <w:sz w:val="18"/>
          <w:szCs w:val="18"/>
          <w:color w:val="auto"/>
        </w:rPr>
      </w:pPr>
    </w:p>
    <w:p>
      <w:pPr>
        <w:jc w:val="both"/>
        <w:ind w:left="1300" w:hanging="46"/>
        <w:spacing w:after="0" w:line="270" w:lineRule="auto"/>
        <w:tabs>
          <w:tab w:leader="none" w:pos="1751" w:val="left"/>
        </w:tabs>
        <w:numPr>
          <w:ilvl w:val="2"/>
          <w:numId w:val="46"/>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195" w:lineRule="exact"/>
        <w:rPr>
          <w:rFonts w:ascii="Arial" w:cs="Arial" w:eastAsia="Arial" w:hAnsi="Arial"/>
          <w:sz w:val="18"/>
          <w:szCs w:val="18"/>
          <w:color w:val="auto"/>
        </w:rPr>
      </w:pPr>
    </w:p>
    <w:p>
      <w:pPr>
        <w:ind w:left="1300" w:firstLine="6"/>
        <w:spacing w:after="0" w:line="303" w:lineRule="auto"/>
        <w:tabs>
          <w:tab w:leader="none" w:pos="1909" w:val="left"/>
        </w:tabs>
        <w:numPr>
          <w:ilvl w:val="3"/>
          <w:numId w:val="46"/>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179" w:lineRule="exact"/>
        <w:rPr>
          <w:sz w:val="20"/>
          <w:szCs w:val="20"/>
          <w:color w:val="auto"/>
        </w:rPr>
      </w:pPr>
    </w:p>
    <w:p>
      <w:pPr>
        <w:ind w:left="1300" w:hanging="81"/>
        <w:spacing w:after="0" w:line="287" w:lineRule="auto"/>
        <w:tabs>
          <w:tab w:leader="none" w:pos="1754" w:val="left"/>
        </w:tabs>
        <w:numPr>
          <w:ilvl w:val="1"/>
          <w:numId w:val="47"/>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193" w:lineRule="exact"/>
        <w:rPr>
          <w:rFonts w:ascii="Arial" w:cs="Arial" w:eastAsia="Arial" w:hAnsi="Arial"/>
          <w:sz w:val="18"/>
          <w:szCs w:val="18"/>
          <w:color w:val="auto"/>
        </w:rPr>
      </w:pPr>
    </w:p>
    <w:p>
      <w:pPr>
        <w:ind w:left="1300" w:hanging="107"/>
        <w:spacing w:after="0" w:line="303" w:lineRule="auto"/>
        <w:tabs>
          <w:tab w:leader="none" w:pos="1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 - 1</w:t>
      </w:r>
    </w:p>
    <w:p>
      <w:pPr>
        <w:sectPr>
          <w:pgSz w:w="11900" w:h="16838" w:orient="portrait"/>
          <w:cols w:equalWidth="0" w:num="1">
            <w:col w:w="11240"/>
          </w:cols>
          <w:pgMar w:left="320" w:top="37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time during the twenty-four (24) months before the Employee’s Employment Cessation Date.</w:t>
      </w:r>
    </w:p>
    <w:p>
      <w:pPr>
        <w:spacing w:after="0" w:line="266" w:lineRule="exact"/>
        <w:rPr>
          <w:sz w:val="20"/>
          <w:szCs w:val="20"/>
          <w:color w:val="auto"/>
        </w:rPr>
      </w:pPr>
    </w:p>
    <w:p>
      <w:pPr>
        <w:ind w:left="1300" w:hanging="833"/>
        <w:spacing w:after="0" w:line="287" w:lineRule="auto"/>
        <w:tabs>
          <w:tab w:leader="none" w:pos="903"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9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3" w:lineRule="exact"/>
        <w:rPr>
          <w:sz w:val="20"/>
          <w:szCs w:val="20"/>
          <w:color w:val="auto"/>
        </w:rPr>
      </w:pPr>
    </w:p>
    <w:p>
      <w:pPr>
        <w:jc w:val="both"/>
        <w:ind w:left="340" w:hanging="332"/>
        <w:spacing w:after="0" w:line="263" w:lineRule="auto"/>
        <w:tabs>
          <w:tab w:leader="none" w:pos="409"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82" w:lineRule="exact"/>
        <w:rPr>
          <w:rFonts w:ascii="Arial" w:cs="Arial" w:eastAsia="Arial" w:hAnsi="Arial"/>
          <w:sz w:val="18"/>
          <w:szCs w:val="18"/>
          <w:color w:val="auto"/>
        </w:rPr>
      </w:pPr>
    </w:p>
    <w:p>
      <w:pPr>
        <w:ind w:left="340" w:hanging="332"/>
        <w:spacing w:after="0" w:line="287"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During the Non-Solicit Period, as defined above, Employee will not, directly or indirectly, recruit,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induce, encourage or assist any employee of Conduent to leave Employee’s employment with Conduent.</w:t>
      </w:r>
    </w:p>
    <w:p>
      <w:pPr>
        <w:spacing w:after="0" w:line="179" w:lineRule="exact"/>
        <w:rPr>
          <w:rFonts w:ascii="Arial" w:cs="Arial" w:eastAsia="Arial" w:hAnsi="Arial"/>
          <w:sz w:val="18"/>
          <w:szCs w:val="18"/>
          <w:color w:val="auto"/>
        </w:rPr>
      </w:pPr>
    </w:p>
    <w:p>
      <w:pPr>
        <w:jc w:val="both"/>
        <w:ind w:left="340" w:hanging="332"/>
        <w:spacing w:after="0" w:line="255"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Conduent agree and acknowledge that Employee’s employment with Conduent is at-will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doesn’t obligate Employer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59" w:lineRule="exact"/>
        <w:rPr>
          <w:rFonts w:ascii="Arial" w:cs="Arial" w:eastAsia="Arial" w:hAnsi="Arial"/>
          <w:sz w:val="18"/>
          <w:szCs w:val="18"/>
          <w:color w:val="auto"/>
        </w:rPr>
      </w:pPr>
    </w:p>
    <w:p>
      <w:pPr>
        <w:jc w:val="both"/>
        <w:ind w:left="340" w:right="20" w:hanging="332"/>
        <w:spacing w:after="0" w:line="276"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 terminated and Employee shall only be subject to this Agreement with respect to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-4152900</wp:posOffset>
            </wp:positionV>
            <wp:extent cx="17354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 - 2</w:t>
      </w:r>
    </w:p>
    <w:p>
      <w:pPr>
        <w:sectPr>
          <w:pgSz w:w="11900" w:h="16838" w:orient="portrait"/>
          <w:cols w:equalWidth="0" w:num="1">
            <w:col w:w="11240"/>
          </w:cols>
          <w:pgMar w:left="320" w:top="37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Except as provided by the preceding sentence, all other terms of all agreements between Employee and Conduent shall remain in full effect.</w:t>
      </w:r>
    </w:p>
    <w:p>
      <w:pPr>
        <w:spacing w:after="0" w:line="261" w:lineRule="exact"/>
        <w:rPr>
          <w:sz w:val="20"/>
          <w:szCs w:val="20"/>
          <w:color w:val="auto"/>
        </w:rPr>
      </w:pPr>
    </w:p>
    <w:p>
      <w:pPr>
        <w:jc w:val="both"/>
        <w:ind w:left="340" w:hanging="332"/>
        <w:spacing w:after="0" w:line="267"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Employee’s reasonable attorneys’ fees and costs from the other party.</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highlight w:val="white"/>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b w:val="1"/>
          <w:bCs w:val="1"/>
          <w:color w:val="auto"/>
          <w:highlight w:val="white"/>
        </w:rPr>
        <w:t>.</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In the event that any of the provisions of this Agreement is deemed unenforceable or to exceed the protections afforded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59" w:lineRule="exact"/>
        <w:rPr>
          <w:rFonts w:ascii="Arial" w:cs="Arial" w:eastAsia="Arial" w:hAnsi="Arial"/>
          <w:sz w:val="18"/>
          <w:szCs w:val="18"/>
          <w:color w:val="auto"/>
        </w:rPr>
      </w:pPr>
    </w:p>
    <w:p>
      <w:pPr>
        <w:ind w:left="340" w:hanging="332"/>
        <w:spacing w:after="0" w:line="303" w:lineRule="auto"/>
        <w:tabs>
          <w:tab w:leader="none" w:pos="333"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33" w:lineRule="exact"/>
        <w:rPr>
          <w:rFonts w:ascii="Arial" w:cs="Arial" w:eastAsia="Arial" w:hAnsi="Arial"/>
          <w:sz w:val="18"/>
          <w:szCs w:val="18"/>
          <w:color w:val="auto"/>
        </w:rPr>
      </w:pPr>
    </w:p>
    <w:p>
      <w:pPr>
        <w:jc w:val="both"/>
        <w:ind w:left="340" w:hanging="332"/>
        <w:spacing w:after="0" w:line="276"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highlight w:val="white"/>
        </w:rPr>
        <w:t>. Any failure by Conduent to exercise any of its rights under this Agreement in the event of any breach of the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18"/>
          <w:szCs w:val="18"/>
          <w:color w:val="auto"/>
        </w:rPr>
      </w:pPr>
    </w:p>
    <w:p>
      <w:pPr>
        <w:jc w:val="both"/>
        <w:ind w:left="340" w:hanging="332"/>
        <w:spacing w:after="0" w:line="267" w:lineRule="auto"/>
        <w:tabs>
          <w:tab w:leader="none" w:pos="333"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 - 3</w:t>
      </w:r>
    </w:p>
    <w:p>
      <w:pPr>
        <w:sectPr>
          <w:pgSz w:w="11900" w:h="16838" w:orient="portrait"/>
          <w:cols w:equalWidth="0" w:num="1">
            <w:col w:w="11240"/>
          </w:cols>
          <w:pgMar w:left="320" w:top="37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TO 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CONDUENT INCORPORATED 2021 PERFORMANCE INCENTIVE PLAN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terms of the Plan and the Agreement, the RSUs are subject to the following additional terms and conditions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xml:space="preserve">"). </w:t>
      </w:r>
      <w:r>
        <w:rPr>
          <w:rFonts w:ascii="Arial" w:cs="Arial" w:eastAsia="Arial" w:hAnsi="Arial"/>
          <w:sz w:val="18"/>
          <w:szCs w:val="18"/>
          <w:b w:val="1"/>
          <w:bCs w:val="1"/>
          <w:color w:val="auto"/>
        </w:rPr>
        <w:t>The information reflected in this Appendix is based on the securities, exchange control and other laws in effect 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respective countries as of February 2024. </w:t>
      </w:r>
      <w:r>
        <w:rPr>
          <w:rFonts w:ascii="Arial" w:cs="Arial" w:eastAsia="Arial" w:hAnsi="Arial"/>
          <w:sz w:val="18"/>
          <w:szCs w:val="18"/>
          <w:color w:val="auto"/>
        </w:rPr>
        <w:t>All capitalized terms as contained in this Appendix shall have the same meaning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the Agreement. Pursuant to Section 28 of the Agreement, if the Employee transfers residence and/or employment to another country reflected in an Appendix at the time of transfer, the additional terms and conditions for such country will apply to the Employee to the extent the Company determines, in its sole discretion, that the application of such terms and conditions is necessary or advisable in order to comply with local law, rules and regulations, or to facilitate the operation and administration of the award and the Plan (or the Company may establish alternative terms and conditions as may be necessary or advisable to accommodate the Employee's transfer).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European Union ("EU") / European Economic Area ("EEA") / Switzerland and the United Kingdom*</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If the Employee resides and/or the Employee is employed in the EU / EEA, Switzerland or the United Kingdom the following provision replaces Section 25 of the Agreement: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located at 100 CAMPUS DRIVE, FLORHAM PARK, NJ, 07932 and grants RSUs under the Plan to employees of the Company and its affiliates and subsidiaries in its sole discretion. The Employee should review the following information about the Company's data processing practices.</w:t>
      </w:r>
    </w:p>
    <w:p>
      <w:pPr>
        <w:spacing w:after="0" w:line="171" w:lineRule="exact"/>
        <w:rPr>
          <w:sz w:val="20"/>
          <w:szCs w:val="20"/>
          <w:color w:val="auto"/>
        </w:rPr>
      </w:pPr>
    </w:p>
    <w:p>
      <w:pPr>
        <w:jc w:val="both"/>
        <w:ind w:left="660" w:hanging="328"/>
        <w:spacing w:after="0" w:line="253" w:lineRule="auto"/>
        <w:tabs>
          <w:tab w:leader="none" w:pos="65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Data Collection, Processing and Usage</w:t>
      </w:r>
      <w:r>
        <w:rPr>
          <w:rFonts w:ascii="Arial" w:cs="Arial" w:eastAsia="Arial" w:hAnsi="Arial"/>
          <w:sz w:val="18"/>
          <w:szCs w:val="18"/>
          <w:color w:val="auto"/>
        </w:rPr>
        <w:t>. Pursuant to applicable data protection laws, the Employee is hereby notified that the Company collects, processes and uses certain personally- identifiable information about the Employee for the legitimate interest of implementing, administering and managing the Plan and generally administering equity awards; specifically, including the Employee's name, home address, email address and telephone number, date of birth, social insurance number or other identification number, salary, citizenship, job title, any shares of Common Stock or directorships held in the Company, and details of all options or any other awards granted, canceled, exercised, vested, or outstanding in the Employee's favors, which the Company receives from the Employee or the Employer. In granting the RSUs under the Plan, the Company will collect the Employee's personal data for purposes of allocating shares of Common Stock and implementing, administering and managing the Plan. The Company's collection, processing, use and transfer of the Employee's personal data is necessary for the performance of the Company's contractual obligations under the Plan and pursuant to the Company's legitimate interest of managing and generally administering employee equity awards. The Employee's refusal to provide personal data would make it impossible for the Company to perform its contractual obligations and may affect the Employee's ability to participate in the Plan. As such, by participating in the Plan, the Employee voluntarily acknowledges the collection, processing and use of the Employee's personal data as described herein.</w:t>
      </w:r>
    </w:p>
    <w:p>
      <w:pPr>
        <w:spacing w:after="0" w:line="187" w:lineRule="exact"/>
        <w:rPr>
          <w:rFonts w:ascii="Arial" w:cs="Arial" w:eastAsia="Arial" w:hAnsi="Arial"/>
          <w:sz w:val="18"/>
          <w:szCs w:val="18"/>
          <w:color w:val="auto"/>
        </w:rPr>
      </w:pPr>
    </w:p>
    <w:p>
      <w:pPr>
        <w:jc w:val="both"/>
        <w:ind w:left="660" w:right="20" w:hanging="328"/>
        <w:spacing w:after="0" w:line="259" w:lineRule="auto"/>
        <w:tabs>
          <w:tab w:leader="none" w:pos="65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Stock Plan Administration Service Provider</w:t>
      </w:r>
      <w:r>
        <w:rPr>
          <w:rFonts w:ascii="Arial" w:cs="Arial" w:eastAsia="Arial" w:hAnsi="Arial"/>
          <w:sz w:val="18"/>
          <w:szCs w:val="18"/>
          <w:color w:val="auto"/>
        </w:rPr>
        <w:t>. The Company transfers participant data to a third party assisting the Company with the implementation, administration and management of the Plan, including but not limited to Morgan Stanley Smith Barney LLC and its affiliates ("Morgan Stanley") or any successor or any other third party that the Company may engage to assist with the administration of the Plan from time to time. Morgan Stanley will open an account for the Employee, if an account is not already in place, to receive and trade shares of Common Stock acquired under the Plan. The Employee will be asked to agree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- 1</w:t>
      </w:r>
    </w:p>
    <w:p>
      <w:pPr>
        <w:sectPr>
          <w:pgSz w:w="11900" w:h="16838" w:orient="portrait"/>
          <w:cols w:equalWidth="0" w:num="1">
            <w:col w:w="11240"/>
          </w:cols>
          <w:pgMar w:left="320" w:top="37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separate terms and data processing practices with Morgan Stanley, which is a condition to the Employee's ability to participate in the Plan.</w:t>
      </w:r>
    </w:p>
    <w:p>
      <w:pPr>
        <w:spacing w:after="0" w:line="153" w:lineRule="exact"/>
        <w:rPr>
          <w:sz w:val="20"/>
          <w:szCs w:val="20"/>
          <w:color w:val="auto"/>
        </w:rPr>
      </w:pPr>
    </w:p>
    <w:p>
      <w:pPr>
        <w:jc w:val="both"/>
        <w:ind w:left="660" w:hanging="328"/>
        <w:spacing w:after="0" w:line="259" w:lineRule="auto"/>
        <w:tabs>
          <w:tab w:leader="none" w:pos="65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The Company and Morgan Stanley are based in the United States. The Company can only meet its contractual obligations to the Employee if the Employee's personal data is transferred to the United States. The Company's legal basis for the transfer of the Employee's personal data to the United States is to satisfy its contractual obligations to the Employee and/or its use of the standard data protection clauses or other similar exceptions to the limitations on international data transfer adopted by the EU Commission or other foreign nations.</w:t>
      </w:r>
    </w:p>
    <w:p>
      <w:pPr>
        <w:spacing w:after="0" w:line="179" w:lineRule="exact"/>
        <w:rPr>
          <w:rFonts w:ascii="Arial" w:cs="Arial" w:eastAsia="Arial" w:hAnsi="Arial"/>
          <w:sz w:val="18"/>
          <w:szCs w:val="18"/>
          <w:color w:val="auto"/>
        </w:rPr>
      </w:pPr>
    </w:p>
    <w:p>
      <w:pPr>
        <w:jc w:val="both"/>
        <w:ind w:left="660" w:hanging="328"/>
        <w:spacing w:after="0" w:line="259" w:lineRule="auto"/>
        <w:tabs>
          <w:tab w:leader="none" w:pos="65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use the Employee's personal data only as long as is necessary to implement, administer and manage the Employee's participation in the Plan or as required to comply with legal or regulatory obligations, including under tax and security laws. When the Company no longer needs the Employee's personal data, the Company will remove it from its systems. If the Company keeps the Employee's data longer, it would be to satisfy legal or regulatory obligations and the Company's legal basis would be for compliance with relevant laws or regulations.</w:t>
      </w:r>
    </w:p>
    <w:p>
      <w:pPr>
        <w:spacing w:after="0" w:line="179" w:lineRule="exact"/>
        <w:rPr>
          <w:rFonts w:ascii="Arial" w:cs="Arial" w:eastAsia="Arial" w:hAnsi="Arial"/>
          <w:sz w:val="18"/>
          <w:szCs w:val="18"/>
          <w:color w:val="auto"/>
        </w:rPr>
      </w:pPr>
    </w:p>
    <w:p>
      <w:pPr>
        <w:jc w:val="both"/>
        <w:ind w:left="660" w:hanging="328"/>
        <w:spacing w:after="0" w:line="257" w:lineRule="auto"/>
        <w:tabs>
          <w:tab w:leader="none" w:pos="65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privacy laws in the Employee's country of residence. For example, the Employee's rights may include the right to (i) request access or copies of personal data the Company processes, (ii) request rectification of incorrect data, (iii) request deletion of data, (iv) place restrictions on processing, (v) lodge complaints with competent authorities in the Employee's country of residence, and/or (vi) request a list with the names and addresses of any potential recipients of the Employee's personal data. To receive clarification regarding the Employee's rights or to exercise the Employee's rights, the Employee should contact GlobalCompensation@conduent.com.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AUSTRALIA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RSUs Conditioned on Satisfaction of Regulatory Obligations</w:t>
      </w:r>
      <w:r>
        <w:rPr>
          <w:rFonts w:ascii="Arial" w:cs="Arial" w:eastAsia="Arial" w:hAnsi="Arial"/>
          <w:sz w:val="18"/>
          <w:szCs w:val="18"/>
          <w:color w:val="auto"/>
          <w:highlight w:val="white"/>
        </w:rPr>
        <w:t>. If the Employee is (a) a director of a subsidiary incorporated in Australia, or (b)</w:t>
      </w:r>
      <w:r>
        <w:rPr>
          <w:rFonts w:ascii="Arial" w:cs="Arial" w:eastAsia="Arial" w:hAnsi="Arial"/>
          <w:sz w:val="18"/>
          <w:szCs w:val="18"/>
          <w:color w:val="auto"/>
        </w:rPr>
        <w:t xml:space="preserve"> a person who is a management-level executive of a subsidiary incorporated in Australia and who also is a director of a subsidiary incorporated outside of Australia, the grant of the RSUs is conditioned upon satisfaction of the shareholder approval provisions of section 200B of the Corporations Act 2001 (Cth) in Australia.</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highlight w:val="white"/>
        </w:rPr>
        <w:t>. This grant of RSUs is being made under Division 1A Part 7.12 of the Australian Corporations Act 2001 (Cth). If</w:t>
      </w:r>
      <w:r>
        <w:rPr>
          <w:rFonts w:ascii="Arial" w:cs="Arial" w:eastAsia="Arial" w:hAnsi="Arial"/>
          <w:sz w:val="18"/>
          <w:szCs w:val="18"/>
          <w:color w:val="auto"/>
        </w:rPr>
        <w:t xml:space="preserve"> shares of Common Stock acquired under the Plan are offered for sale to a person or entity resident in Australia, the Employee's offer may be subject to disclosure requirements under Australian law. The Employee should obtain legal advice on any disclosure obligations prior to making any such offer.</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highlight w:val="white"/>
        </w:rPr>
        <w:t>. Exchange control reporting is required for cash transactions exceeding AUD 10,000 and international fund</w:t>
      </w:r>
      <w:r>
        <w:rPr>
          <w:rFonts w:ascii="Arial" w:cs="Arial" w:eastAsia="Arial" w:hAnsi="Arial"/>
          <w:sz w:val="18"/>
          <w:szCs w:val="18"/>
          <w:color w:val="auto"/>
        </w:rPr>
        <w:t xml:space="preserve"> transfers. The Australian bank assisting with the transaction will file the report. If there is no Australian bank involved in the transfer, the Employee personally will be required to file the report. The Employee should consult with the Employee's personal advisor(s) regarding any personal legal, regulatory or foreign exchange obligations the Employee may have in connection with the Employee's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- 2</w:t>
      </w:r>
    </w:p>
    <w:p>
      <w:pPr>
        <w:sectPr>
          <w:pgSz w:w="11900" w:h="16838" w:orient="portrait"/>
          <w:cols w:equalWidth="0" w:num="1">
            <w:col w:w="11240"/>
          </w:cols>
          <w:pgMar w:left="320" w:top="37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BRAZIL</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Labor Law Acknowledgment</w:t>
      </w:r>
      <w:r>
        <w:rPr>
          <w:rFonts w:ascii="Arial" w:cs="Arial" w:eastAsia="Arial" w:hAnsi="Arial"/>
          <w:sz w:val="18"/>
          <w:szCs w:val="18"/>
          <w:color w:val="auto"/>
        </w:rPr>
        <w:t>. By accepting the RSUs, the Employee acknowledges and agrees, for all legal purposes, that (a) the benefits provided under the Agreement and the Plan are the result of commercial transactions unrelated to the Employee's employment; (b) the Agreement and the Plan are not a part of the terms and conditions of the Employee's employment; and (c) the income from the RSUs, if any, is not part of the Employee's remuneration from employment.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By accepting the RSUs, the Employee acknowledges and agrees to comply with applicable Brazilian laws and to pay any and all applicable taxes associated with the vesting of the RSUs, the issuance and/or sale of shares of Common Stock acquired under the Plan and the receipt of any dividends.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the Employee is resident or domiciled in Brazil, the Employee will be required to submit an annual declaration of assets and rights held outside of Brazil to the Central Bank of Brazil if the aggregate value of such assets and rights is greater than US$1 million as of December 31 of each year. If the aggregate value exceeds US$100 million as of the end of each quarter, a declaration must be submitted quarterly. Assets and rights that must be reported include shares of Common Stock acquired under the Plan. The Employee should consult with the Employee's personal advisor(s) regarding any personal legal, regulatory or foreign exchange obligations the Employee may have in connection with the Employee's participation in the Plan.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Tax on Financial Transaction (IOF)</w:t>
      </w:r>
      <w:r>
        <w:rPr>
          <w:rFonts w:ascii="Arial" w:cs="Arial" w:eastAsia="Arial" w:hAnsi="Arial"/>
          <w:sz w:val="18"/>
          <w:szCs w:val="18"/>
          <w:color w:val="auto"/>
        </w:rPr>
        <w:t>. Repatriation of funds (</w:t>
      </w:r>
      <w:r>
        <w:rPr>
          <w:rFonts w:ascii="Arial" w:cs="Arial" w:eastAsia="Arial" w:hAnsi="Arial"/>
          <w:sz w:val="18"/>
          <w:szCs w:val="18"/>
          <w:i w:val="1"/>
          <w:iCs w:val="1"/>
          <w:color w:val="auto"/>
        </w:rPr>
        <w:t>e.g.</w:t>
      </w:r>
      <w:r>
        <w:rPr>
          <w:rFonts w:ascii="Arial" w:cs="Arial" w:eastAsia="Arial" w:hAnsi="Arial"/>
          <w:sz w:val="18"/>
          <w:szCs w:val="18"/>
          <w:color w:val="auto"/>
        </w:rPr>
        <w:t>, the proceeds from the sale of shares of Common Stock) into Brazil and the conversion of USD into BRL associated with such fund transfers may be subject to the Tax on Financial Transactions. It is the Employee's responsibility to comply with any applicable Tax on Financial Transactions arising from the Employee's participation in the Plan. The Employee should consult with the Employee's personal tax advisor for additional details.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CANADA</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u w:val="single" w:color="auto"/>
          <w:color w:val="auto"/>
        </w:rPr>
        <w:t>Settlement in Shares</w:t>
      </w:r>
      <w:r>
        <w:rPr>
          <w:rFonts w:ascii="Arial" w:cs="Arial" w:eastAsia="Arial" w:hAnsi="Arial"/>
          <w:sz w:val="18"/>
          <w:szCs w:val="18"/>
          <w:color w:val="auto"/>
        </w:rPr>
        <w:t>. Notwithstanding anything to the contrary in the Agreement or the Plan, the RSUs shall be settled only in shares of Common Stock (and may not be settled in cash).</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following supplements Section 8(a)(vii) of the Agreement as well as any other section required to give effect to the same: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the Employee's termination of employment and / or service relationship for any reason (other than by reason of death, Disability or Good Reason), either by the Employee or by the Employer, with or without cause, the Employee's rights to vest or to continue to vest in the RSUs and receive shares of Common Stock under the Plan, if any, will terminate as of the actual Termination Date. For this purpose, the "Termination Date" shall mean the date that the Employee is no longer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shall not include or be extended by any period following such day during which the Employee is in receipt of or eligible to receive any notice of termination, pay in lieu of notice of termination, severance pay or any other payments or damages, whether arising under statute, contract or at common law.</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Notwithstanding the foregoing, if applicable employment standards legislation explicitly requires continued entitlement to vesting during a statutory notice period, the Employee's right to vest in the RSUs under the Plan, if any, will terminate effective as of the last day of the Employee's minimum statutory notice period, but the Employee will not earn or be entitled to pro-rated vesting if the vesting date falls after the end of the Employee's statutory notice period, nor will the Employee be entitled to any compensation for lost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- 3</w:t>
      </w:r>
    </w:p>
    <w:p>
      <w:pPr>
        <w:sectPr>
          <w:pgSz w:w="11900" w:h="16838" w:orient="portrait"/>
          <w:cols w:equalWidth="0" w:num="1">
            <w:col w:w="11240"/>
          </w:cols>
          <w:pgMar w:left="320" w:top="37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Specified foreign property, including the RSUs, shares of Common Stock acquired under the Plan, and other rights to receive shares of a non-Canadian company held by a Canadian resident generally must be reported annually on a Form T1135 (Foreign Income Verification Statement) if the total cost of the foreign property exceeds C$100,000 at any time during the year. Thus, the unvested portion of the RSUs must be reported – generally at a nil cost – if the C$100,000 cost threshold is exceeded because the Employee holds other specified foreign property. When shares of Common Stock are acquired, their cost generally is the adjusted cost base (“ACB”) of the shares of Common Stock. The ACB ordinarily will equal the fair market value of the shares of Common Stock at the time of acquisition, but if the Employee owns other shares of Common Stock, the ACB may need to be averaged with the ACB of the other shares of Common Stock. The Employee should consult with the Employee's personal advisor(s) regarding any personal foreign asset/foreign account tax obligations the Employee may have in connection with the Employee's participation in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FRANCE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highlight w:val="white"/>
        </w:rPr>
        <w:t>. The value of any cash or securities imported to or exported from France without the use of a financial</w:t>
      </w:r>
      <w:r>
        <w:rPr>
          <w:rFonts w:ascii="Arial" w:cs="Arial" w:eastAsia="Arial" w:hAnsi="Arial"/>
          <w:sz w:val="18"/>
          <w:szCs w:val="18"/>
          <w:color w:val="auto"/>
        </w:rPr>
        <w:t xml:space="preserve"> institution must be reported to the customs and excise authorities when the value of such cash or securities is equal to or greater than a certain amount (currently €10,000). The Employee should consult with the Employee's personal advisor(s) regarding any personal legal, regulatory or foreign exchange obligations the Employee may have in connection with the Employee's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French residents must report annually any shares and bank accounts held outside France, including the accounts that were opened, used and/or closed during the tax year, to the French tax authorities, on an annual basis on a special Form N° 3916, together with the Employee's personal income tax return. Failure to report triggers a significant penalty. The Employee should consult with the Employee's personal advisor(s) regarding any personal foreign asset/foreign account tax obligations the Employee may have in connection with the Employee's participation in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Use of English Language</w:t>
      </w:r>
      <w:r>
        <w:rPr>
          <w:rFonts w:ascii="Arial" w:cs="Arial" w:eastAsia="Arial" w:hAnsi="Arial"/>
          <w:sz w:val="18"/>
          <w:szCs w:val="18"/>
          <w:color w:val="auto"/>
        </w:rPr>
        <w:t xml:space="preserve">. By accepting the RSUs, the Employee acknowledges and agrees that it is the Employee's wish that the </w:t>
      </w:r>
      <w:r>
        <w:rPr>
          <w:rFonts w:ascii="Arial" w:cs="Arial" w:eastAsia="Arial" w:hAnsi="Arial"/>
          <w:sz w:val="18"/>
          <w:szCs w:val="18"/>
          <w:b w:val="1"/>
          <w:bCs w:val="1"/>
          <w:color w:val="auto"/>
        </w:rPr>
        <w:t>Agreement</w:t>
      </w:r>
      <w:r>
        <w:rPr>
          <w:rFonts w:ascii="Arial" w:cs="Arial" w:eastAsia="Arial" w:hAnsi="Arial"/>
          <w:sz w:val="18"/>
          <w:szCs w:val="18"/>
          <w:color w:val="auto"/>
        </w:rPr>
        <w:t>, this</w:t>
      </w:r>
      <w:r>
        <w:rPr>
          <w:rFonts w:ascii="Arial" w:cs="Arial" w:eastAsia="Arial" w:hAnsi="Arial"/>
          <w:sz w:val="18"/>
          <w:szCs w:val="18"/>
          <w:b w:val="1"/>
          <w:bCs w:val="1"/>
          <w:color w:val="auto"/>
        </w:rPr>
        <w:t xml:space="preserve"> Appendix</w:t>
      </w:r>
      <w:r>
        <w:rPr>
          <w:rFonts w:ascii="Arial" w:cs="Arial" w:eastAsia="Arial" w:hAnsi="Arial"/>
          <w:sz w:val="18"/>
          <w:szCs w:val="18"/>
          <w:color w:val="auto"/>
        </w:rPr>
        <w:t>, as well as all other documents, notices and legal proceedings entered into, given or instituted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RSUs, either directly or indirectly, be drawn up in English.</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Langue anglaise</w:t>
      </w:r>
      <w:r>
        <w:rPr>
          <w:rFonts w:ascii="Arial" w:cs="Arial" w:eastAsia="Arial" w:hAnsi="Arial"/>
          <w:sz w:val="18"/>
          <w:szCs w:val="18"/>
          <w:color w:val="auto"/>
        </w:rPr>
        <w:t>. En acceptant l'allocation de vos RSUs, vous reconnaissez et acceptez avoir souhaité que le Termes et Conditions, le présent avenant, ainsi que tous autres documents exécutés, avis donnés et procédures judiciaires intentées, relatifs, directement ou indirectement, à l'allocation de vos RSUs, soient rédigés en anglais.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GERMANY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Cross-border payments in excess of €12,500 in connection with the sale of securities (including shares of Common Stock acquired under the Plan) must be reported to the German Federal Bank (Bundesbank) by the fifth day of the month following the month in which the payment is received or made. If the Employee acquire shares of Common Stock with a value in excess of €12,500, the Employer will report the acquisition of such shares of Common Stock to the German Federal Bank. If the Employee otherwise make or receive a payment in excess of €12,500, the Employee personally must report the payment to Bundesbank electronically using the “General Statistics Reporting Portal” (“Allgemeines Meldeportal Statistik”) available via Bundesbank’s website (www.bundesbank.de). The Employee should consult with the Employee's personal advisor(s) regarding any personal legal, regulatory or foreign exchange obligations the Employee may have in connection with the Employee's participation in the Plan.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German residents must notify their local tax office of the acquisition of shares of Common Stock when they file their personal income tax returns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- 4</w:t>
      </w:r>
    </w:p>
    <w:p>
      <w:pPr>
        <w:sectPr>
          <w:pgSz w:w="11900" w:h="16838" w:orient="portrait"/>
          <w:cols w:equalWidth="0" w:num="1">
            <w:col w:w="11240"/>
          </w:cols>
          <w:pgMar w:left="320" w:top="37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relevant year if the value of the shares of Common Stock acquired exceeds €150,000 or in the unlikely event that the resident holds shares of Common Stock exceeding 10% of the Company’s total shares of Common Stock outstanding. However, if the shares of Common Stock are listed on a recognized U.S. stock exchange and the Employee owns less than 1% of the total shares of Common Stock, this requirement will not apply even if shares of Common Stock with a value exceeding €150,000 are acquired. The Employee should consult with the Employee's personal advisor(s) regarding any personal foreign asset/foreign account tax obligations the Employee may have in connection with the Employee's participation in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GUATEMALA</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Consent to Receive Information in English</w:t>
      </w:r>
      <w:r>
        <w:rPr>
          <w:rFonts w:ascii="Arial" w:cs="Arial" w:eastAsia="Arial" w:hAnsi="Arial"/>
          <w:sz w:val="18"/>
          <w:szCs w:val="18"/>
          <w:color w:val="auto"/>
        </w:rPr>
        <w:t>. By participating in the Plan, the Employee acknowledges that have reviewed Section 19 of this Agreement and are sufficiently proficient in English, or, alternatively, the Employee will seek appropriate assistance, to understand the terms and conditions in this Agreement.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Consentimiento a Recibir Información en Ingles</w:t>
      </w:r>
      <w:r>
        <w:rPr>
          <w:rFonts w:ascii="Arial" w:cs="Arial" w:eastAsia="Arial" w:hAnsi="Arial"/>
          <w:sz w:val="18"/>
          <w:szCs w:val="18"/>
          <w:color w:val="auto"/>
        </w:rPr>
        <w:t>. Al participar en el Plan, usted reconoce que ha revisado la Sección 19 del Convenio y que usted domina inglés, o, en el alternativo, usted buscará la asistencia necesaria para entender los términos y las condiciones del Convenio.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INDIA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Repatriation Requirements</w:t>
      </w:r>
      <w:r>
        <w:rPr>
          <w:rFonts w:ascii="Arial" w:cs="Arial" w:eastAsia="Arial" w:hAnsi="Arial"/>
          <w:sz w:val="18"/>
          <w:szCs w:val="18"/>
          <w:color w:val="auto"/>
        </w:rPr>
        <w:t>. The Employee expressly agree to repatriate all sale proceeds and dividends attributable to shares of Common Stock acquired under the Plan in accordance with local foreign exchange rules and regulations. Neither the Company, the Employer or any of the Company's subsidiaries shall be liable for any fines or penalties resulting from the Employee's failure to comply with applicable laws, rules or regulations.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The Employee is required to declare the Employee's foreign bank accounts and any foreign financial assets (including shares of Common Stock acquired under the Plan held outside India) in the Employee's annual tax return. The Employee should consult with the Employee's personal advisor(s) regarding any personal foreign asset/foreign account tax obligations the Employee may have in connection with the Employee's participation in the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ITALY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Acknowledgement of Nature of Award Notice</w:t>
      </w:r>
      <w:r>
        <w:rPr>
          <w:rFonts w:ascii="Arial" w:cs="Arial" w:eastAsia="Arial" w:hAnsi="Arial"/>
          <w:sz w:val="18"/>
          <w:szCs w:val="18"/>
          <w:color w:val="auto"/>
        </w:rPr>
        <w:t>. In accepting the RSUs, the Employee acknowledges that (a) the Employee has received a copy of the Plan, the Agreement and this Appendix; (b) the Employee has reviewed the applicable documents in their entirety and fully understand the contents thereof; and (c) the Employee accepts all provisions of the Plan, the Agreement and this Appendix.</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Italian residents who, at any time during the fiscal year, hold foreign financial assets (including cash and shares of Common Stock)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The Employee should consult with the Employee's personal advisor(s) regarding any personal foreign asset/foreign account tax obligations the Employee may have in connection with the Employee's participation in the Plan.</w:t>
      </w:r>
    </w:p>
    <w:p>
      <w:pPr>
        <w:spacing w:after="0" w:line="18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u w:val="single" w:color="auto"/>
          <w:color w:val="auto"/>
        </w:rPr>
        <w:t>Foreign Asset Tax</w:t>
      </w:r>
      <w:r>
        <w:rPr>
          <w:rFonts w:ascii="Arial" w:cs="Arial" w:eastAsia="Arial" w:hAnsi="Arial"/>
          <w:sz w:val="18"/>
          <w:szCs w:val="18"/>
          <w:color w:val="auto"/>
        </w:rPr>
        <w:t>. The value of any shares of Common Stock (and other financial assets) held outside Italy by individuals resident of Italy may be subject to a foreign asset tax. The taxable amount will be the fair market value of the financial assets (e.g., shares of Common Stock) assessed at the end of the calendar year. The value of financial assets held abroad must be reported in Form RM of the annual return. The Employee should consult the Employee's personal tax advisor for additional information on the foreign asset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- 5</w:t>
      </w:r>
    </w:p>
    <w:p>
      <w:pPr>
        <w:sectPr>
          <w:pgSz w:w="11900" w:h="16838" w:orient="portrait"/>
          <w:cols w:equalWidth="0" w:num="1">
            <w:col w:w="11240"/>
          </w:cols>
          <w:pgMar w:left="320" w:top="37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JAMAICA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MALAYSIA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Director Notification Information.</w:t>
      </w:r>
      <w:r>
        <w:rPr>
          <w:rFonts w:ascii="Arial" w:cs="Arial" w:eastAsia="Arial" w:hAnsi="Arial"/>
          <w:sz w:val="18"/>
          <w:szCs w:val="18"/>
          <w:color w:val="auto"/>
        </w:rPr>
        <w:t xml:space="preserve"> If the Employee is a director of a subsidiary or affiliate of the Company established in Malaysia (a “</w:t>
      </w:r>
      <w:r>
        <w:rPr>
          <w:rFonts w:ascii="Arial" w:cs="Arial" w:eastAsia="Arial" w:hAnsi="Arial"/>
          <w:sz w:val="18"/>
          <w:szCs w:val="18"/>
          <w:b w:val="1"/>
          <w:bCs w:val="1"/>
          <w:color w:val="auto"/>
        </w:rPr>
        <w:t>Malaysian Entity</w:t>
      </w:r>
      <w:r>
        <w:rPr>
          <w:rFonts w:ascii="Arial" w:cs="Arial" w:eastAsia="Arial" w:hAnsi="Arial"/>
          <w:sz w:val="18"/>
          <w:szCs w:val="18"/>
          <w:color w:val="auto"/>
        </w:rPr>
        <w:t>”), the Employee is subject to certain notification requirements under the Malaysian Companies Act. Among these requirements is an obligation to notify the Malaysian Entity in writing when the Employee receives an interest (e.g., an Award, shares of Common Stock, etc.) in the Company or any of its related companies. In addition, the Employee must notify the Malaysian Entity when the Employee sells shares of the Company or any of its related companies (including when the Employee sells shares of Common Stock acquired under the Plan). The Employee must also notify the Malaysian Entity if there are any subsequent changes in the Employee's interest in the Company or any related companies. These notifications must be made within fourteen days of acquiring or disposing of any interest in the Company or any of its related companies.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MEXICO</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Commercial Relationship</w:t>
      </w:r>
      <w:r>
        <w:rPr>
          <w:rFonts w:ascii="Arial" w:cs="Arial" w:eastAsia="Arial" w:hAnsi="Arial"/>
          <w:sz w:val="18"/>
          <w:szCs w:val="18"/>
          <w:color w:val="auto"/>
        </w:rPr>
        <w:t>. The Employee expressly recognizes that the Employee’s participation in the Plan and the Company’s grant of the RSUs does not constitute an employment relationship between the Employee and the Company. The Employee has been granted the RSUs as a consequence of the commercial relationship between the Company and the subsidiary in Mexico that employs the Employee (“Conduent-Mexico”) and Conduent-Mexico is the Employee’s sole employer. Based on the foregoing, the Employee expressly recognizes that (a) the Plan and the benefits the Employee may derive from the Employee's participation in the Plan do not establish any rights between the Employee and Conduent-Mexico, (b) the Plan and the benefits the Employee may derive from the Employee's participation in the Plan are not part of the employment conditions and/or benefits provided by Conduent-Mexico, and (c) any modification or amendments of the Plan by the Company, or a termination of the Plan by the Company shall not constitute a change or impairment of the terms and conditions of the Employee’s employment with Conduent-Mexico.</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Employee further understands that the Employee’s participation in the Plan is as a result of a unilateral and discretionary decision of the Company; therefore, subject to the terms of the Plan, the Company reserves the absolute right to amend and/or discontinue the Employee’s participation at any time without any liability to the Employee.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the Employee hereby declares that the Employee does not reserve to the Employee any action or right to bring any claim against the Company for any compensation or damages regarding any provision of the Plan or the benefits derived under the Plan, and the Employee therefore grants a full and broad release to the Company, its subsidiaries, affiliates, branches, representation offices, its shareholders, officers, agents or legal representatives with respect to any claim that may arise.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Extraordinary Item of Compensation</w:t>
      </w:r>
      <w:r>
        <w:rPr>
          <w:rFonts w:ascii="Arial" w:cs="Arial" w:eastAsia="Arial" w:hAnsi="Arial"/>
          <w:sz w:val="18"/>
          <w:szCs w:val="18"/>
          <w:color w:val="auto"/>
        </w:rPr>
        <w:t>. The Employee expressly recognizes and acknowledges that the Employee’s participation in the Plan is a result of the discretionary and unilateral decision of the Company, as well as the Employee’s free and voluntary decision to participate in the Plan in accordance with the terms and conditions of the Plan, the Agreement and this Appendix. As such, the Employee acknowledges and agrees that the Company may, in its sole discretion, amend and/or discontinue the Employee’s participation in the Plan at any time and without liability. The value of the RSUs is an extraordinary item of compensation outside the scope of the Employee’s employment contract, if any. The RSUs are not part of the Employee’s regular or expected compensation for purposes of calculating any severance, resignation, redundancy, end of service payments,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- 6</w:t>
      </w:r>
    </w:p>
    <w:p>
      <w:pPr>
        <w:sectPr>
          <w:pgSz w:w="11900" w:h="16838" w:orient="portrait"/>
          <w:cols w:equalWidth="0" w:num="1">
            <w:col w:w="11240"/>
          </w:cols>
          <w:pgMar w:left="320" w:top="37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long-service awards, pension or retirement benefits, or any similar payments, which are the exclusive obligations of Conduent-Mexico.</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RSUs and any shares of Common Stock acquired under the Plan have not been registered with the National Register of Securities maintained by the Mexican National Banking and Securities Commission and cannot be offered or sold publicly in Mexico. In addition, the Plan, the Agreement and any other document relating to the RSUs may not be publicly distributed in Mexico. These materials are addressed to the Employee because of the Employee’s existing relationship with the Company or one of the Companies subsidiaries or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one of its subsidiaries or affiliates made in accordance with the provisions of the Mexican Securities Market Law, and any rights under such offering shall not be assigned or transferred.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PERU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the Grant</w:t>
      </w:r>
      <w:r>
        <w:rPr>
          <w:rFonts w:ascii="Arial" w:cs="Arial" w:eastAsia="Arial" w:hAnsi="Arial"/>
          <w:sz w:val="18"/>
          <w:szCs w:val="18"/>
          <w:color w:val="auto"/>
        </w:rPr>
        <w:t>. The following provision supplements Section 11 of the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RSU is being granted ex gratia to the Employee by the Company as an incentive to reward the Employee for the Employee's contributions to the Company.</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grant of the RSUs under the Plan is considered a private offering in Peru and accordingly, is not subject to registration in Peru. For more information concerning the grant of the RSUs, please refer to the Plan, the Agreement, and any other grant documents made available to the Employee by the Company. For more information regarding the Company, please refer to the Company's most recent annual report on Form 10-K and quarterly report on Form 10-Q available at www.sec.gov, as well as on the Company's website at https://www.conduent.com/.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PHILIPPINES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Employee will be unable to acquire shares of Common Stock upon vesting and settlement of the Employee's RSUs unless the vesting/issuance of shares of Common Stock complies with all applicable laws and regulations as determined by the Company. The Company assumes no liability if the Employee’s RSUs cannot be vested and will not provide the Employee with any benefits / compensation in lieu of the RSUs.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Employee acquires shares of Common Stock upon vesting and settlement of the Award, the Employee is permitted to dispose of or sell such shares of Common Stock, provided the offer and resale of the shares of Common Stock takes place outside of the Philippines through the facilities of a stock exchange on which the shares of Common Stock are listed. The shares of Common Stock are currently listed on the Nasdaq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ROMANIA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- 7</w:t>
      </w:r>
    </w:p>
    <w:p>
      <w:pPr>
        <w:sectPr>
          <w:pgSz w:w="11900" w:h="16838" w:orient="portrait"/>
          <w:cols w:equalWidth="0" w:num="1">
            <w:col w:w="11240"/>
          </w:cols>
          <w:pgMar w:left="320" w:top="37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4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The Employee hereby expressly agrees that the Agreement, the Plan as well as all documents, notices and proceedings entered into, relating directly or indirectly hereto, be drawn up or communicated only in the English language.</w:t>
      </w:r>
    </w:p>
    <w:p>
      <w:pPr>
        <w:spacing w:after="0" w:line="15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Angajatul consimte în mod expres prin prezentul ca acest Contract, Plan precum şi orice alte documente, notificări, înştiinţări legate direct sau indirect de acest Contract să fie redactate sau efectuate doar în limba engleză.</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The Employee is not required to seek special authorization from the National Bank of Romania in order to open or maintain a foreign bank account. However, if the Employee remits foreign currency into Romania (e.g., proceeds from the sale of shares of Common Stock), the Employee may be required to provide the Romanian bank through which the foreign currency is transferred with appropriate documentation. The Employee should consult with the Employee’s personal advisor(s) regarding any personal legal, regulatory or foreign exchange obligations the Employee may have in connection with the Employee’s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- 8</w:t>
      </w:r>
    </w:p>
    <w:p>
      <w:pPr>
        <w:sectPr>
          <w:pgSz w:w="11900" w:h="16838" w:orient="portrait"/>
          <w:cols w:equalWidth="0" w:num="1">
            <w:col w:w="11240"/>
          </w:cols>
          <w:pgMar w:left="320" w:top="37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SWITZERLAND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RSUs are not intended to be publicly offered in or from Switzerland. Neither this document nor any other materials relating to the RSUs (1) constitutes a prospectus according to articles 35 et seq. of the Swiss Federal Act on Financial Services (“FinSA”), (2) may be publicly distributed or otherwise made publicly available in Switzerland to any person other than an employee of the Company, or (3) have been or will be filed with, approved or supervised by any Swiss reviewing body according to article 51 FinSA or any Swiss regulatory authority (in particular, the Swiss Financial Market Supervisory Authority).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xml:space="preserve"> The following provision supplements Section 10 (Responsibility for Taxes) of the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Without limitation to Section 10 of the Agreement, the Employee agrees to be liable for any Tax-Related Items and hereby covenants to pay any such Tax-Related Items, as and when requested by the Company or the Employer or by HMRC (or any other tax authority or any other relevant authority). The Employee agrees to indemnify and keep indemnified the Company and the Employer against any Tax-Related Items that they are required to pay or withhold or have paid or will pay to HM Revenue &amp; Customs (“HMRC”) (or any other tax authority or any other relevant authority) on the Employee’s behalf.</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 foregoing, if the Employee is an executive officer or director (as within the meaning of Section 13(k) of the Exchange Act), the Employee understands that the Employee may not be 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(“NICs”) may be payable. The Employee acknowledges that the Employee will be personally responsible for reporting and paying any income tax due on this additional benefit directly to the HMRC under the self-assessment regime and for paying the Company or the Employer, as applicable, for the value of any employee NICs due on this additional benefit, which may also be recovered from the Employee by any of the means referred to in Section 10 of the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- 9</w:t>
      </w:r>
    </w:p>
    <w:p>
      <w:pPr>
        <w:sectPr>
          <w:pgSz w:w="11900" w:h="16838" w:orient="portrait"/>
          <w:cols w:equalWidth="0" w:num="1">
            <w:col w:w="11240"/>
          </w:cols>
          <w:pgMar w:left="320" w:top="377" w:right="339" w:bottom="1440" w:gutter="0" w:footer="0" w:header="0"/>
        </w:sectPr>
      </w:pPr>
    </w:p>
    <w:bookmarkStart w:id="59" w:name="page60"/>
    <w:bookmarkEnd w:id="59"/>
    <w:p>
      <w:pPr>
        <w:ind w:left="9710"/>
        <w:spacing w:after="0"/>
        <w:rPr>
          <w:sz w:val="20"/>
          <w:szCs w:val="20"/>
          <w:color w:val="auto"/>
        </w:rPr>
      </w:pPr>
      <w:r>
        <w:rPr>
          <w:rFonts w:ascii="Arial" w:cs="Arial" w:eastAsia="Arial" w:hAnsi="Arial"/>
          <w:sz w:val="17"/>
          <w:szCs w:val="17"/>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PERFORMANCE RESTRICTED STOCK UNIT AWARD AGREEMENT PURSUANT TO</w:t>
      </w:r>
    </w:p>
    <w:p>
      <w:pPr>
        <w:jc w:val="center"/>
        <w:ind w:right="150"/>
        <w:spacing w:after="0"/>
        <w:rPr>
          <w:sz w:val="20"/>
          <w:szCs w:val="20"/>
          <w:color w:val="auto"/>
        </w:rPr>
      </w:pPr>
      <w:r>
        <w:rPr>
          <w:rFonts w:ascii="Arial" w:cs="Arial" w:eastAsia="Arial" w:hAnsi="Arial"/>
          <w:sz w:val="18"/>
          <w:szCs w:val="18"/>
          <w:b w:val="1"/>
          <w:bCs w:val="1"/>
          <w:color w:val="auto"/>
        </w:rPr>
        <w:t>CONDUENT INCORPORATED 2021 PERFORMANCE INCENTIVE PLAN</w:t>
      </w:r>
    </w:p>
    <w:p>
      <w:pPr>
        <w:spacing w:after="0" w:line="207" w:lineRule="exact"/>
        <w:rPr>
          <w:sz w:val="20"/>
          <w:szCs w:val="20"/>
          <w:color w:val="auto"/>
        </w:rPr>
      </w:pPr>
    </w:p>
    <w:p>
      <w:pPr>
        <w:jc w:val="both"/>
        <w:ind w:left="10"/>
        <w:spacing w:after="0" w:line="265"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of the Company has authorized the execution and delivery of this Agreement.</w:t>
      </w:r>
    </w:p>
    <w:p>
      <w:pPr>
        <w:spacing w:after="0" w:line="117"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provided via email or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target number of Performance Restricted Stock Units granted pursuant hereto. The Award Summary is incorporated herein in its entirety.</w:t>
      </w:r>
    </w:p>
    <w:p>
      <w:pPr>
        <w:spacing w:after="0" w:line="117"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8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10" w:right="20" w:hanging="10"/>
        <w:spacing w:after="0" w:line="268" w:lineRule="auto"/>
        <w:tabs>
          <w:tab w:leader="none" w:pos="38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target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1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PERFORMANCE RESTRICTED STOCK UNITS</w:t>
      </w:r>
    </w:p>
    <w:p>
      <w:pPr>
        <w:spacing w:after="0" w:line="171" w:lineRule="exact"/>
        <w:rPr>
          <w:sz w:val="20"/>
          <w:szCs w:val="20"/>
          <w:color w:val="auto"/>
        </w:rPr>
      </w:pPr>
    </w:p>
    <w:p>
      <w:pPr>
        <w:jc w:val="both"/>
        <w:ind w:left="10" w:hanging="10"/>
        <w:spacing w:after="0" w:line="257" w:lineRule="auto"/>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the Vesting Date (as defined below) (or such earlier date provided in Section 8) in connection with the PRSUs,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PRSUs as determined pursuant to Section 3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22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performance-based vesting conditions (the “</w:t>
      </w:r>
      <w:r>
        <w:rPr>
          <w:rFonts w:ascii="Arial" w:cs="Arial" w:eastAsia="Arial" w:hAnsi="Arial"/>
          <w:sz w:val="18"/>
          <w:szCs w:val="18"/>
          <w:b w:val="1"/>
          <w:bCs w:val="1"/>
          <w:i w:val="1"/>
          <w:iCs w:val="1"/>
          <w:color w:val="auto"/>
        </w:rPr>
        <w:t>Performance Conditions</w:t>
      </w:r>
      <w:r>
        <w:rPr>
          <w:rFonts w:ascii="Arial" w:cs="Arial" w:eastAsia="Arial" w:hAnsi="Arial"/>
          <w:sz w:val="18"/>
          <w:szCs w:val="18"/>
          <w:color w:val="auto"/>
        </w:rPr>
        <w:t>”) which are set forth on Exhibit A. The PRSUs shall vest on December 31, 2026 or such earlier date as may be provided in Section 8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and the number of PRSUs eligible to vest shall be based on the satisfaction of the Performance Conditions as set forth on Exhibit A and subject to the Employee’s continued employment with or provision of services to the Company or a subsidiary or affiliate through the Vesting Date or as otherwise provided in Section 8.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w:t>
      </w:r>
    </w:p>
    <w:p>
      <w:pPr>
        <w:spacing w:after="0" w:line="129"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Notwithstanding, to the extent all or a portion of the PRSUs have not vested as of the Vesting Date, the unvested PRSUs will be forfeited.</w:t>
      </w:r>
    </w:p>
    <w:p>
      <w:pPr>
        <w:spacing w:after="0" w:line="171"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Upon the occurrence of an event constituting a Change in Control, notwithstanding anything to the contrary in Section 8 of the Plan, the PRSUs outstanding on the date of such Change in Control, and any dividend equivalents with respect thereto, shall be assumed by the successor company (or its parent company) and remain outstanding, and thereafter the vesting of such PRSUs, and any dividend equivalents with respect thereto, shall be eligible to vest on the Vesting Date, subject to the Employee’s continued employment with or provision of services to the Company or a subsidiary or an affiliate through the Vesting Date (and the</w:t>
      </w:r>
    </w:p>
    <w:p>
      <w:pPr>
        <w:sectPr>
          <w:pgSz w:w="11900" w:h="16838" w:orient="portrait"/>
          <w:cols w:equalWidth="0" w:num="1">
            <w:col w:w="11070"/>
          </w:cols>
          <w:pgMar w:left="490" w:top="364" w:right="339" w:bottom="1440" w:gutter="0" w:footer="0" w:header="0"/>
        </w:sectPr>
      </w:pPr>
    </w:p>
    <w:bookmarkStart w:id="60" w:name="page61"/>
    <w:bookmarkEnd w:id="60"/>
    <w:p>
      <w:pPr>
        <w:jc w:val="both"/>
        <w:ind w:left="10"/>
        <w:spacing w:after="0" w:line="257" w:lineRule="auto"/>
        <w:rPr>
          <w:sz w:val="20"/>
          <w:szCs w:val="20"/>
          <w:color w:val="auto"/>
        </w:rPr>
      </w:pPr>
      <w:r>
        <w:rPr>
          <w:rFonts w:ascii="Arial" w:cs="Arial" w:eastAsia="Arial" w:hAnsi="Arial"/>
          <w:sz w:val="18"/>
          <w:szCs w:val="18"/>
          <w:color w:val="auto"/>
        </w:rPr>
        <w:t xml:space="preserve">Performance Conditions shall each be deemed to have been achieved at the “Target” level as set forth on Exhibit A as of the date of the Change in Control), and in such instance such PRSUs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or services following such Change in Control and prior to the Vesting Date. Upon payment pursuant to the terms of the Plan, such awards shall be cancelled.</w:t>
      </w:r>
    </w:p>
    <w:p>
      <w:pPr>
        <w:spacing w:after="0" w:line="128" w:lineRule="exact"/>
        <w:rPr>
          <w:sz w:val="20"/>
          <w:szCs w:val="20"/>
          <w:color w:val="auto"/>
        </w:rPr>
      </w:pPr>
    </w:p>
    <w:p>
      <w:pPr>
        <w:jc w:val="both"/>
        <w:ind w:left="10" w:hanging="10"/>
        <w:spacing w:after="0" w:line="259" w:lineRule="auto"/>
        <w:tabs>
          <w:tab w:leader="none" w:pos="42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the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the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10" w:hanging="10"/>
        <w:spacing w:after="0" w:line="268" w:lineRule="auto"/>
        <w:tabs>
          <w:tab w:leader="none" w:pos="21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color w:val="auto"/>
        </w:rPr>
      </w:pPr>
    </w:p>
    <w:p>
      <w:pPr>
        <w:jc w:val="both"/>
        <w:ind w:left="10" w:hanging="4"/>
        <w:spacing w:after="0" w:line="268" w:lineRule="auto"/>
        <w:tabs>
          <w:tab w:leader="none" w:pos="37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pacing w:after="0" w:line="116" w:lineRule="exact"/>
        <w:rPr>
          <w:rFonts w:ascii="Arial" w:cs="Arial" w:eastAsia="Arial" w:hAnsi="Arial"/>
          <w:sz w:val="18"/>
          <w:szCs w:val="18"/>
          <w:color w:val="auto"/>
        </w:rPr>
      </w:pPr>
    </w:p>
    <w:p>
      <w:pPr>
        <w:jc w:val="both"/>
        <w:ind w:left="10" w:hanging="10"/>
        <w:spacing w:after="0" w:line="262" w:lineRule="auto"/>
        <w:tabs>
          <w:tab w:leader="none" w:pos="49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7(d)(ii) of the Plan. Any purported sale, assignment, alienation, transfer, pledge, attachment or other encumbrance of a PRSU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50" w:hanging="344"/>
        <w:spacing w:after="0"/>
        <w:tabs>
          <w:tab w:leader="none" w:pos="35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30" w:hanging="490"/>
        <w:spacing w:after="0" w:line="287" w:lineRule="auto"/>
        <w:tabs>
          <w:tab w:leader="none" w:pos="69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or services prior to December 31, 2026, the PRSUs will be treated as set forth below.</w:t>
      </w:r>
    </w:p>
    <w:p>
      <w:pPr>
        <w:spacing w:after="0" w:line="98" w:lineRule="exact"/>
        <w:rPr>
          <w:rFonts w:ascii="Arial" w:cs="Arial" w:eastAsia="Arial" w:hAnsi="Arial"/>
          <w:sz w:val="18"/>
          <w:szCs w:val="18"/>
          <w:color w:val="auto"/>
        </w:rPr>
      </w:pPr>
    </w:p>
    <w:p>
      <w:pPr>
        <w:jc w:val="both"/>
        <w:ind w:left="1130" w:firstLine="4"/>
        <w:spacing w:after="0" w:line="262" w:lineRule="auto"/>
        <w:tabs>
          <w:tab w:leader="none" w:pos="1865" w:val="left"/>
        </w:tabs>
        <w:numPr>
          <w:ilvl w:val="2"/>
          <w:numId w:val="57"/>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a Termination For Good Reason following a Change in Control or a Qualifying Retirement, the PRSUs shall be canceled and forfeited on the date of such voluntary termination of employment or services.</w:t>
      </w:r>
    </w:p>
    <w:p>
      <w:pPr>
        <w:spacing w:after="0" w:line="122" w:lineRule="exact"/>
        <w:rPr>
          <w:rFonts w:ascii="Arial" w:cs="Arial" w:eastAsia="Arial" w:hAnsi="Arial"/>
          <w:sz w:val="18"/>
          <w:szCs w:val="18"/>
          <w:color w:val="auto"/>
        </w:rPr>
      </w:pPr>
    </w:p>
    <w:p>
      <w:pPr>
        <w:jc w:val="both"/>
        <w:ind w:left="1130" w:firstLine="4"/>
        <w:spacing w:after="0" w:line="254" w:lineRule="auto"/>
        <w:tabs>
          <w:tab w:leader="none" w:pos="1557" w:val="left"/>
        </w:tabs>
        <w:numPr>
          <w:ilvl w:val="2"/>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Qualifying Retirement. </w:t>
      </w:r>
      <w:r>
        <w:rPr>
          <w:rFonts w:ascii="Arial" w:cs="Arial" w:eastAsia="Arial" w:hAnsi="Arial"/>
          <w:sz w:val="18"/>
          <w:szCs w:val="18"/>
          <w:color w:val="auto"/>
        </w:rPr>
        <w:t>In the event of a Qualifying Retirement, the Employee will remain eligible to vest in the PRSUs</w:t>
      </w:r>
      <w:r>
        <w:rPr>
          <w:rFonts w:ascii="Arial" w:cs="Arial" w:eastAsia="Arial" w:hAnsi="Arial"/>
          <w:sz w:val="18"/>
          <w:szCs w:val="18"/>
          <w:i w:val="1"/>
          <w:iCs w:val="1"/>
          <w:color w:val="auto"/>
        </w:rPr>
        <w:t xml:space="preserve"> </w:t>
      </w:r>
      <w:r>
        <w:rPr>
          <w:rFonts w:ascii="Arial" w:cs="Arial" w:eastAsia="Arial" w:hAnsi="Arial"/>
          <w:sz w:val="18"/>
          <w:szCs w:val="18"/>
          <w:color w:val="auto"/>
        </w:rPr>
        <w:t>that otherwise vest on December 31, 2026 based on the achievement of the Performance Conditions, and any dividend equivalents with respect thereto, without any pro-ration; provided that the Employee (A) completes a successful transition of responsibilities (as determined by the Board of Directors of the Company) and cooperates during the remaining vesting period, (B)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 (or, if the Employee was the CEO prior to such retirement,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70"/>
          </w:cols>
          <w:pgMar w:left="490" w:top="1093" w:right="339" w:bottom="1440" w:gutter="0" w:footer="0" w:header="0"/>
        </w:sectPr>
      </w:pPr>
    </w:p>
    <w:bookmarkStart w:id="61" w:name="page62"/>
    <w:bookmarkEnd w:id="61"/>
    <w:p>
      <w:pPr>
        <w:jc w:val="both"/>
        <w:ind w:left="806" w:firstLine="4"/>
        <w:spacing w:after="0" w:line="256" w:lineRule="auto"/>
        <w:tabs>
          <w:tab w:leader="none" w:pos="1232"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due to death, Disability, or a termination for Cause, the Employee will remain eligible to vest in a Pro-Rata Amount of PRSUs that otherwise vest on December 31, 2026 based on the achievement of the Performance Conditions, and any dividend equivalents with respect thereto, provided that the number of full months in the numerator of the Pro-Rata Amount will be increased by a number equal to the number of months of cash severance the Employee would be entitled to under the Company’s applicable severance plan or policy, but shall in no event be greater than 36.</w:t>
      </w:r>
    </w:p>
    <w:p>
      <w:pPr>
        <w:spacing w:after="0" w:line="128" w:lineRule="exact"/>
        <w:rPr>
          <w:rFonts w:ascii="Arial" w:cs="Arial" w:eastAsia="Arial" w:hAnsi="Arial"/>
          <w:sz w:val="18"/>
          <w:szCs w:val="18"/>
          <w:color w:val="auto"/>
        </w:rPr>
      </w:pPr>
    </w:p>
    <w:p>
      <w:pPr>
        <w:jc w:val="both"/>
        <w:ind w:left="806" w:firstLine="4"/>
        <w:spacing w:after="0" w:line="254" w:lineRule="auto"/>
        <w:tabs>
          <w:tab w:leader="none" w:pos="1256"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of or otherwise provide services to 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at the “Target” performance level as set forth on Exhibit A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1" w:lineRule="exact"/>
        <w:rPr>
          <w:rFonts w:ascii="Arial" w:cs="Arial" w:eastAsia="Arial" w:hAnsi="Arial"/>
          <w:sz w:val="18"/>
          <w:szCs w:val="18"/>
          <w:color w:val="auto"/>
        </w:rPr>
      </w:pPr>
    </w:p>
    <w:p>
      <w:pPr>
        <w:jc w:val="both"/>
        <w:ind w:left="806" w:firstLine="4"/>
        <w:spacing w:after="0" w:line="259" w:lineRule="auto"/>
        <w:tabs>
          <w:tab w:leader="none" w:pos="1229"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Employer by reason of death or Disability prior to a Change in Control, the PRSUs covered by this Agreement, and any dividend equivalents with respect thereto, shall remain eligible to vest pursuant to Section 3 based on the satisfaction of the Performance Conditions and as if such Employee remained employed through the Vesting Date and shall be settled within 60 days following the applicable Vesting Date in accordance with Section 2, without proration.</w:t>
      </w:r>
    </w:p>
    <w:p>
      <w:pPr>
        <w:spacing w:after="0" w:line="125" w:lineRule="exact"/>
        <w:rPr>
          <w:rFonts w:ascii="Arial" w:cs="Arial" w:eastAsia="Arial" w:hAnsi="Arial"/>
          <w:sz w:val="18"/>
          <w:szCs w:val="18"/>
          <w:color w:val="auto"/>
        </w:rPr>
      </w:pPr>
    </w:p>
    <w:p>
      <w:pPr>
        <w:jc w:val="both"/>
        <w:ind w:left="806" w:firstLine="4"/>
        <w:spacing w:after="0" w:line="262" w:lineRule="auto"/>
        <w:tabs>
          <w:tab w:leader="none" w:pos="135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due to termination for Cause, the PRSUs shall be cancelled and forfeited on the date of such termination of employment or services, in addition to any other rights reserved under the Conduent Incorporated Compensation Recoupment Policy, as may be amended from time to time, or any successor policy.</w:t>
      </w:r>
    </w:p>
    <w:p>
      <w:pPr>
        <w:spacing w:after="0" w:line="122" w:lineRule="exact"/>
        <w:rPr>
          <w:rFonts w:ascii="Arial" w:cs="Arial" w:eastAsia="Arial" w:hAnsi="Arial"/>
          <w:sz w:val="18"/>
          <w:szCs w:val="18"/>
          <w:color w:val="auto"/>
        </w:rPr>
      </w:pPr>
    </w:p>
    <w:p>
      <w:pPr>
        <w:jc w:val="both"/>
        <w:ind w:left="806" w:firstLine="4"/>
        <w:spacing w:after="0" w:line="254" w:lineRule="auto"/>
        <w:tabs>
          <w:tab w:leader="none" w:pos="1390"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For purposes of this Agreement and the PRSUs, the Employee’s employment and /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will be considered terminated as of the date the Employee is no longer is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unless otherwise determined by the Company, the Employee’s right to vest in the PRSUs, if any, will terminate as of such date and, in either case,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Employee’s period of service would not include any contractual notice period or any period of “garden leave” or similar period mandated under labor laws in the jurisdiction where the Employee provides services or the terms of the Employee's employment or other service agreement, if any). The Committee shall have the exclusive discretion to determine when the Employee no longer is actively providing services for purposes of this Agreement and the PRSUs (including whether the Employee still may be considered to be providing services while on a leave of absence).</w:t>
      </w:r>
    </w:p>
    <w:p>
      <w:pPr>
        <w:spacing w:after="0" w:line="128" w:lineRule="exact"/>
        <w:rPr>
          <w:rFonts w:ascii="Arial" w:cs="Arial" w:eastAsia="Arial" w:hAnsi="Arial"/>
          <w:sz w:val="18"/>
          <w:szCs w:val="18"/>
          <w:color w:val="auto"/>
        </w:rPr>
      </w:pPr>
    </w:p>
    <w:p>
      <w:pPr>
        <w:ind w:left="426" w:hanging="426"/>
        <w:spacing w:after="0"/>
        <w:tabs>
          <w:tab w:leader="none" w:pos="42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6" w:right="20"/>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46"/>
          </w:cols>
          <w:pgMar w:left="814" w:top="1093" w:right="339" w:bottom="1440" w:gutter="0" w:footer="0" w:header="0"/>
        </w:sectPr>
      </w:pPr>
    </w:p>
    <w:bookmarkStart w:id="62" w:name="page63"/>
    <w:bookmarkEnd w:id="62"/>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xml:space="preserve">” will be equal to the number of PRSUs that would otherwise vest on December 31, 2026 based on the achievement of the Performance Conditions, multiplied by a fraction, the numerator of which is the number of full months elapsed between January 1, 2024 and the Termination Date and the denominator of which is 36;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Any PRSUs that do not vest as set forth above shall be forfeited.</w:t>
      </w:r>
    </w:p>
    <w:p>
      <w:pPr>
        <w:spacing w:after="0" w:line="129" w:lineRule="exact"/>
        <w:rPr>
          <w:sz w:val="20"/>
          <w:szCs w:val="20"/>
          <w:color w:val="auto"/>
        </w:rPr>
      </w:pPr>
    </w:p>
    <w:p>
      <w:pPr>
        <w:jc w:val="both"/>
        <w:ind w:left="5"/>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Employee’s employment with or services to Employer where (i) the Employee is at least age sixty (60) and has at least five (5) years of service with the Employer or its parents or subsidiaries and</w:t>
      </w:r>
    </w:p>
    <w:p>
      <w:pPr>
        <w:spacing w:after="0" w:line="2" w:lineRule="exact"/>
        <w:rPr>
          <w:sz w:val="20"/>
          <w:szCs w:val="20"/>
          <w:color w:val="auto"/>
        </w:rPr>
      </w:pPr>
    </w:p>
    <w:p>
      <w:pPr>
        <w:jc w:val="both"/>
        <w:ind w:left="5" w:hanging="5"/>
        <w:spacing w:after="0" w:line="258" w:lineRule="auto"/>
        <w:tabs>
          <w:tab w:leader="none" w:pos="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Employee’s retirement has been agreed to and approved by the Chief Executive Officer of the Company (and, if Employee is a Section 16 officer of the Company, by the Board of Directors of the Company), who shall have the sole discretion to determine the date of retirement of such Employee.</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or services to the Employer.</w:t>
      </w:r>
    </w:p>
    <w:p>
      <w:pPr>
        <w:spacing w:after="0" w:line="171" w:lineRule="exact"/>
        <w:rPr>
          <w:sz w:val="20"/>
          <w:szCs w:val="20"/>
          <w:color w:val="auto"/>
        </w:rPr>
      </w:pPr>
    </w:p>
    <w:p>
      <w:pPr>
        <w:jc w:val="both"/>
        <w:ind w:left="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128" w:lineRule="exact"/>
        <w:rPr>
          <w:sz w:val="20"/>
          <w:szCs w:val="20"/>
          <w:color w:val="auto"/>
        </w:rPr>
      </w:pPr>
    </w:p>
    <w:p>
      <w:pPr>
        <w:ind w:left="385" w:firstLine="4"/>
        <w:spacing w:after="0" w:line="287" w:lineRule="auto"/>
        <w:tabs>
          <w:tab w:leader="none" w:pos="8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385" w:firstLine="4"/>
        <w:spacing w:after="0" w:line="255" w:lineRule="auto"/>
        <w:tabs>
          <w:tab w:leader="none" w:pos="8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 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30" w:lineRule="exact"/>
        <w:rPr>
          <w:rFonts w:ascii="Arial" w:cs="Arial" w:eastAsia="Arial" w:hAnsi="Arial"/>
          <w:sz w:val="18"/>
          <w:szCs w:val="18"/>
          <w:color w:val="auto"/>
        </w:rPr>
      </w:pPr>
    </w:p>
    <w:p>
      <w:pPr>
        <w:jc w:val="both"/>
        <w:ind w:left="385" w:firstLine="4"/>
        <w:spacing w:after="0" w:line="259" w:lineRule="auto"/>
        <w:tabs>
          <w:tab w:leader="none" w:pos="93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 constitutes a material change in the geographic location at which the Employee is required to perform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25"/>
          </w:cols>
          <w:pgMar w:left="1235" w:top="1093" w:right="339" w:bottom="1440" w:gutter="0" w:footer="0" w:header="0"/>
        </w:sectPr>
      </w:pPr>
    </w:p>
    <w:bookmarkStart w:id="63" w:name="page64"/>
    <w:bookmarkEnd w:id="63"/>
    <w:p>
      <w:pPr>
        <w:jc w:val="both"/>
        <w:ind w:left="1130" w:firstLine="4"/>
        <w:spacing w:after="0" w:line="256" w:lineRule="auto"/>
        <w:tabs>
          <w:tab w:leader="none" w:pos="16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1130" w:firstLine="4"/>
        <w:spacing w:after="0" w:line="287" w:lineRule="auto"/>
        <w:tabs>
          <w:tab w:leader="none" w:pos="157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99" w:lineRule="exact"/>
        <w:rPr>
          <w:sz w:val="20"/>
          <w:szCs w:val="20"/>
          <w:color w:val="auto"/>
        </w:rPr>
      </w:pPr>
    </w:p>
    <w:p>
      <w:pPr>
        <w:jc w:val="both"/>
        <w:ind w:left="750"/>
        <w:spacing w:after="0" w:line="259" w:lineRule="auto"/>
        <w:rPr>
          <w:sz w:val="20"/>
          <w:szCs w:val="20"/>
          <w:color w:val="auto"/>
        </w:rPr>
      </w:pPr>
      <w:r>
        <w:rPr>
          <w:rFonts w:ascii="Arial" w:cs="Arial" w:eastAsia="Arial" w:hAnsi="Arial"/>
          <w:sz w:val="18"/>
          <w:szCs w:val="18"/>
          <w:color w:val="auto"/>
        </w:rPr>
        <w:t>A termination by the Employee of his or her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125" w:lineRule="exact"/>
        <w:rPr>
          <w:sz w:val="20"/>
          <w:szCs w:val="20"/>
          <w:color w:val="auto"/>
        </w:rPr>
      </w:pPr>
    </w:p>
    <w:p>
      <w:pPr>
        <w:jc w:val="both"/>
        <w:ind w:left="650" w:hanging="423"/>
        <w:spacing w:after="0" w:line="256" w:lineRule="auto"/>
        <w:tabs>
          <w:tab w:leader="none" w:pos="851"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or services to the Employer in connection with the Employer’s sale (whether by sale of assets or a subsidiary, or both) of a line of business within which the Employee was employed or providing services immediately prior to such sale as determined by the Committee in its sole discretion, that does not constitute a Change in Control, shall be treated as an involuntary termination of employment or services for purposes of this Agreement and the PRSUs shall vest and be paid as provided in Section 8(a)(iii) above; provided, that, in the event the Employee is offered a comparable position with the acquirer of such line of business and does not accept such offer, the PRSUs shall be cancelled and forfeited on the date of termination of employment or services.</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38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PRSUs.</w:t>
      </w:r>
    </w:p>
    <w:p>
      <w:pPr>
        <w:spacing w:after="0" w:line="128" w:lineRule="exact"/>
        <w:rPr>
          <w:rFonts w:ascii="Arial" w:cs="Arial" w:eastAsia="Arial" w:hAnsi="Arial"/>
          <w:sz w:val="18"/>
          <w:szCs w:val="18"/>
          <w:color w:val="auto"/>
        </w:rPr>
      </w:pPr>
    </w:p>
    <w:p>
      <w:pPr>
        <w:ind w:left="450" w:hanging="450"/>
        <w:spacing w:after="0"/>
        <w:tabs>
          <w:tab w:leader="none" w:pos="45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50" w:hanging="407"/>
        <w:spacing w:after="0" w:line="253" w:lineRule="auto"/>
        <w:tabs>
          <w:tab w:leader="none" w:pos="716"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Employee acknowledges and agrees that, regardless of any action taken by the Company or, if different, the Employer, the ultimate liability for all income tax, social insurance, payroll tax, fringe benefits tax, payment on account or other tax-related items related to the Employee’s participation in the Plan and legally applicable or deemed applicable to the Employee (“</w:t>
      </w:r>
      <w:r>
        <w:rPr>
          <w:rFonts w:ascii="Arial" w:cs="Arial" w:eastAsia="Arial" w:hAnsi="Arial"/>
          <w:sz w:val="18"/>
          <w:szCs w:val="18"/>
          <w:b w:val="1"/>
          <w:bCs w:val="1"/>
          <w:i w:val="1"/>
          <w:iCs w:val="1"/>
          <w:color w:val="auto"/>
        </w:rPr>
        <w:t>Tax-Related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Items</w:t>
      </w:r>
      <w:r>
        <w:rPr>
          <w:rFonts w:ascii="Arial" w:cs="Arial" w:eastAsia="Arial" w:hAnsi="Arial"/>
          <w:sz w:val="18"/>
          <w:szCs w:val="18"/>
          <w:color w:val="auto"/>
        </w:rPr>
        <w:t>”) is and remains the Employee’s responsibility and may exceed the amount, if any, actually withheld by the Company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The Employee further acknowledges that the Company and/or the Employer (i) make no representations or undertakings regarding the treatment of any Tax-Related Items in connection with any aspect of the PRSUs or the underlying shares of Common Stock, including, but not limited to, the grant, vesting or settlement of the PRSUs, the subsequent sale of shares of Common Stock acquired upon the settlement of the PRSUs and the receipt of any dividends; and (ii) do not commit to and are under no obligation to structure the terms of the grant or any aspect of the PRSUs to reduce or eliminate the Employee’s liability for Tax-Related Items or to achieve any particular tax result. Further, if the Employee is subject to Tax-Related Items in more than one jurisdiction, the Employee acknowledges that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70"/>
          </w:cols>
          <w:pgMar w:left="490" w:top="1093" w:right="339" w:bottom="1440" w:gutter="0" w:footer="0" w:header="0"/>
        </w:sectPr>
      </w:pPr>
    </w:p>
    <w:bookmarkStart w:id="64" w:name="page65"/>
    <w:bookmarkEnd w:id="64"/>
    <w:p>
      <w:pPr>
        <w:jc w:val="both"/>
        <w:ind w:left="650" w:hanging="407"/>
        <w:spacing w:after="0" w:line="253" w:lineRule="auto"/>
        <w:tabs>
          <w:tab w:leader="none" w:pos="791" w:val="left"/>
        </w:tabs>
        <w:numPr>
          <w:ilvl w:val="1"/>
          <w:numId w:val="65"/>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Employee agrees to make adequate arrangements satisfactory to the Company and/or the Employer to satisfy all Tax-Related Items. In this regard, the Employee authorizes the Company and/or the Employer, or their respective agents, at their discretion, to satisfy any applicable withholding obligations with regard to all Tax-Related Items by one or a combination of the following: (i) requiring the Employee to make a payment in a form acceptable to the Company, (ii) withholding from the Employee’s wages or other compensation payable to the Employee, (iii) withholding from proceeds of the sale of the shares of Common Stock acquired upon the settlement of the PRSUs either through a voluntary sale or through a mandatory sale arranged by the Company (on the Employee’s behalf pursuant to this authorization without further consent), (iv) withholding from the shares of Common Stock otherwise issuable at vesting of the PRSUs, provided, however, that if the Employee is subject to the reporting and other provisions of Section 16 of the Exchange Act, the Company shall affirmatively approve, by Board action, any such withholding of shares of Common Stock as contemplated in the immediately preceding proviso, or (v) any other method of withholding determined by the Company and, to the extent required by applicable law or the Plan, approved by the Committee.</w:t>
      </w:r>
    </w:p>
    <w:p>
      <w:pPr>
        <w:spacing w:after="0" w:line="189" w:lineRule="exact"/>
        <w:rPr>
          <w:rFonts w:ascii="Arial" w:cs="Arial" w:eastAsia="Arial" w:hAnsi="Arial"/>
          <w:sz w:val="18"/>
          <w:szCs w:val="18"/>
          <w:color w:val="auto"/>
        </w:rPr>
      </w:pPr>
    </w:p>
    <w:p>
      <w:pPr>
        <w:jc w:val="both"/>
        <w:ind w:left="650" w:hanging="407"/>
        <w:spacing w:after="0" w:line="255" w:lineRule="auto"/>
        <w:tabs>
          <w:tab w:leader="none" w:pos="708"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Company and/or the Employer may withhold or account for Tax-Related Items by considering statutory withholding rates or other withholding rates, including maximum rates applicable in the Employee’s jurisdiction(s). In the event of over-withholding, the Employee may receive a refund of any over-withheld amount in cash (with no entitlement to the equivalent in shares of Common Stock) or, if not refunded, the Employee may seek a refund from the local tax authorities. In the event of under-withholding, the Employee may be required to pay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subject to the vested PRSUs, notwithstanding that a number of the shares of Common Stock is held back solely for the purpose of paying the Tax-Related Items.</w:t>
      </w:r>
    </w:p>
    <w:p>
      <w:pPr>
        <w:spacing w:after="0" w:line="184" w:lineRule="exact"/>
        <w:rPr>
          <w:rFonts w:ascii="Arial" w:cs="Arial" w:eastAsia="Arial" w:hAnsi="Arial"/>
          <w:sz w:val="18"/>
          <w:szCs w:val="18"/>
          <w:color w:val="auto"/>
        </w:rPr>
      </w:pPr>
    </w:p>
    <w:p>
      <w:pPr>
        <w:jc w:val="both"/>
        <w:ind w:left="650" w:hanging="407"/>
        <w:spacing w:after="0" w:line="259" w:lineRule="auto"/>
        <w:tabs>
          <w:tab w:leader="none" w:pos="794"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Employee agrees to pay to the Company or the Employer any amount of Tax-Related Items that the Company or the Employer may be required to withhold or account for as a result of the Employe’s participation in the Plan that cannot be satisfied by the means previously described. The Company may refuse to issue or deliver the shares of Common Stock or the proceeds of the sale of the shares of Common Stock acquired upon the vesting of the PRSUs, if the Employee fails to comply with the Employee's obligations in connection with the Tax-Related Items.</w:t>
      </w:r>
    </w:p>
    <w:p>
      <w:pPr>
        <w:spacing w:after="0" w:line="125" w:lineRule="exact"/>
        <w:rPr>
          <w:rFonts w:ascii="Arial" w:cs="Arial" w:eastAsia="Arial" w:hAnsi="Arial"/>
          <w:sz w:val="18"/>
          <w:szCs w:val="18"/>
          <w:color w:val="auto"/>
        </w:rPr>
      </w:pPr>
    </w:p>
    <w:p>
      <w:pPr>
        <w:ind w:left="430" w:hanging="430"/>
        <w:spacing w:after="0"/>
        <w:tabs>
          <w:tab w:leader="none" w:pos="43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650" w:right="20" w:hanging="407"/>
        <w:spacing w:after="0" w:line="268" w:lineRule="auto"/>
        <w:tabs>
          <w:tab w:leader="none" w:pos="71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PRSUs are subject to modification and adjustment under Section 9(c) of the Plan;</w:t>
      </w:r>
    </w:p>
    <w:p>
      <w:pPr>
        <w:spacing w:after="0" w:line="116" w:lineRule="exact"/>
        <w:rPr>
          <w:rFonts w:ascii="Arial" w:cs="Arial" w:eastAsia="Arial" w:hAnsi="Arial"/>
          <w:sz w:val="18"/>
          <w:szCs w:val="18"/>
          <w:color w:val="auto"/>
        </w:rPr>
      </w:pPr>
    </w:p>
    <w:p>
      <w:pPr>
        <w:ind w:left="250" w:right="20" w:firstLine="74"/>
        <w:spacing w:after="0" w:line="287" w:lineRule="auto"/>
        <w:tabs>
          <w:tab w:leader="none" w:pos="1131"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98" w:lineRule="exact"/>
        <w:rPr>
          <w:rFonts w:ascii="Arial" w:cs="Arial" w:eastAsia="Arial" w:hAnsi="Arial"/>
          <w:sz w:val="18"/>
          <w:szCs w:val="18"/>
          <w:color w:val="auto"/>
        </w:rPr>
      </w:pPr>
    </w:p>
    <w:p>
      <w:pPr>
        <w:ind w:left="250" w:right="20" w:firstLine="74"/>
        <w:spacing w:after="0" w:line="287" w:lineRule="auto"/>
        <w:tabs>
          <w:tab w:leader="none" w:pos="1131" w:val="left"/>
        </w:tabs>
        <w:numPr>
          <w:ilvl w:val="2"/>
          <w:numId w:val="66"/>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250" w:firstLine="74"/>
        <w:spacing w:after="0" w:line="268" w:lineRule="auto"/>
        <w:tabs>
          <w:tab w:leader="none" w:pos="1135"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PRSU award and the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1130" w:hanging="806"/>
        <w:spacing w:after="0"/>
        <w:tabs>
          <w:tab w:leader="none" w:pos="113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70"/>
          </w:cols>
          <w:pgMar w:left="490" w:top="1093" w:right="339" w:bottom="1440" w:gutter="0" w:footer="0" w:header="0"/>
        </w:sectPr>
      </w:pPr>
    </w:p>
    <w:bookmarkStart w:id="65" w:name="page66"/>
    <w:bookmarkEnd w:id="65"/>
    <w:p>
      <w:pPr>
        <w:jc w:val="both"/>
        <w:ind w:left="250" w:firstLine="74"/>
        <w:spacing w:after="0" w:line="268" w:lineRule="auto"/>
        <w:tabs>
          <w:tab w:leader="none" w:pos="113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250" w:right="20" w:firstLine="74"/>
        <w:spacing w:after="0" w:line="287" w:lineRule="auto"/>
        <w:tabs>
          <w:tab w:leader="none" w:pos="11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98" w:lineRule="exact"/>
        <w:rPr>
          <w:rFonts w:ascii="Arial" w:cs="Arial" w:eastAsia="Arial" w:hAnsi="Arial"/>
          <w:sz w:val="18"/>
          <w:szCs w:val="18"/>
          <w:color w:val="auto"/>
        </w:rPr>
      </w:pPr>
    </w:p>
    <w:p>
      <w:pPr>
        <w:jc w:val="both"/>
        <w:ind w:left="250" w:firstLine="74"/>
        <w:spacing w:after="0" w:line="262" w:lineRule="auto"/>
        <w:tabs>
          <w:tab w:leader="none" w:pos="113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22" w:lineRule="exact"/>
        <w:rPr>
          <w:rFonts w:ascii="Arial" w:cs="Arial" w:eastAsia="Arial" w:hAnsi="Arial"/>
          <w:sz w:val="18"/>
          <w:szCs w:val="18"/>
          <w:color w:val="auto"/>
        </w:rPr>
      </w:pPr>
    </w:p>
    <w:p>
      <w:pPr>
        <w:ind w:left="1130" w:hanging="806"/>
        <w:spacing w:after="0"/>
        <w:tabs>
          <w:tab w:leader="none" w:pos="11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sz w:val="20"/>
          <w:szCs w:val="20"/>
          <w:color w:val="auto"/>
        </w:rPr>
      </w:pPr>
    </w:p>
    <w:p>
      <w:pPr>
        <w:jc w:val="both"/>
        <w:ind w:left="250" w:firstLine="81"/>
        <w:spacing w:after="0" w:line="257" w:lineRule="auto"/>
        <w:rPr>
          <w:sz w:val="20"/>
          <w:szCs w:val="20"/>
          <w:color w:val="auto"/>
        </w:rPr>
      </w:pPr>
      <w:r>
        <w:rPr>
          <w:rFonts w:ascii="Arial" w:cs="Arial" w:eastAsia="Arial" w:hAnsi="Arial"/>
          <w:sz w:val="18"/>
          <w:szCs w:val="18"/>
          <w:color w:val="auto"/>
        </w:rPr>
        <w:t>(i)in consideration of the award of the PRSUs, no claim or entitlement to compensation or damages shall arise from forfeiture of the PRSUs, including, but not limited to, forfeiture resulting from termination of the Employee’s employment with or services to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28" w:lineRule="exact"/>
        <w:rPr>
          <w:sz w:val="20"/>
          <w:szCs w:val="20"/>
          <w:color w:val="auto"/>
        </w:rPr>
      </w:pPr>
    </w:p>
    <w:p>
      <w:pPr>
        <w:jc w:val="both"/>
        <w:ind w:left="250" w:right="20" w:firstLine="81"/>
        <w:spacing w:after="0" w:line="287" w:lineRule="auto"/>
        <w:rPr>
          <w:sz w:val="20"/>
          <w:szCs w:val="20"/>
          <w:color w:val="auto"/>
        </w:rPr>
      </w:pPr>
      <w:r>
        <w:rPr>
          <w:rFonts w:ascii="Arial" w:cs="Arial" w:eastAsia="Arial" w:hAnsi="Arial"/>
          <w:sz w:val="18"/>
          <w:szCs w:val="18"/>
          <w:color w:val="auto"/>
        </w:rPr>
        <w:t>(j)subject to the provisions in the Plan regarding Change in Control, PRSUs and the benefits under the Plan, if any, will not automatically transfer to another company in the case of a merger, take-over or transfer of liability.</w:t>
      </w:r>
    </w:p>
    <w:p>
      <w:pPr>
        <w:spacing w:after="0" w:line="99" w:lineRule="exact"/>
        <w:rPr>
          <w:sz w:val="20"/>
          <w:szCs w:val="20"/>
          <w:color w:val="auto"/>
        </w:rPr>
      </w:pPr>
    </w:p>
    <w:p>
      <w:pPr>
        <w:jc w:val="both"/>
        <w:ind w:left="10" w:hanging="10"/>
        <w:spacing w:after="0" w:line="262" w:lineRule="auto"/>
        <w:tabs>
          <w:tab w:leader="none" w:pos="58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the Employee’s own personal tax, legal and financial advisors regarding the Employee’s participation in the Plan before taking any action related to the Plan.</w:t>
      </w:r>
    </w:p>
    <w:p>
      <w:pPr>
        <w:spacing w:after="0" w:line="122" w:lineRule="exact"/>
        <w:rPr>
          <w:rFonts w:ascii="Arial" w:cs="Arial" w:eastAsia="Arial" w:hAnsi="Arial"/>
          <w:sz w:val="18"/>
          <w:szCs w:val="18"/>
          <w:color w:val="auto"/>
        </w:rPr>
      </w:pPr>
    </w:p>
    <w:p>
      <w:pPr>
        <w:jc w:val="both"/>
        <w:ind w:left="10" w:hanging="10"/>
        <w:spacing w:after="0" w:line="253"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settlement of the PRSUs prior to the completion of any registration or qualification of the Common Stock under any U.S. or non-U.S. local, state or federal securities or other applicable law or under rulings or regulations of the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of any other U.S. or non-U.S. governmental regulatory body, or prior to obtaining any approval or other clearance from any U.S. or non-U.S. local, state or federal governmental agency, which registration, qualification or approval the Company shall, in its absolute discretion, deem necessary or advisable. The Employee understands that the Company is under no obligation to register or qualify the shares of Common Stock subject to the PRSUs with the SEC or any U.S. state or non-U.S. securities commission or to seek approval or clearance from any governmental authority for the issuance or sale of the Common Stock. Further, the Employee agrees that the Company shall have unilateral authority to amend the Plan and this Agreement without the Employee’s consent to the extent necessary to comply with securities or other laws applicable to the issuance of the shares of Common Stock.</w:t>
      </w:r>
    </w:p>
    <w:p>
      <w:pPr>
        <w:spacing w:after="0" w:line="135" w:lineRule="exact"/>
        <w:rPr>
          <w:rFonts w:ascii="Arial" w:cs="Arial" w:eastAsia="Arial" w:hAnsi="Arial"/>
          <w:sz w:val="18"/>
          <w:szCs w:val="18"/>
          <w:color w:val="auto"/>
        </w:rPr>
      </w:pPr>
    </w:p>
    <w:p>
      <w:pPr>
        <w:ind w:left="10" w:hanging="10"/>
        <w:spacing w:after="0" w:line="287" w:lineRule="auto"/>
        <w:tabs>
          <w:tab w:leader="none" w:pos="52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98" w:lineRule="exact"/>
        <w:rPr>
          <w:rFonts w:ascii="Arial" w:cs="Arial" w:eastAsia="Arial" w:hAnsi="Arial"/>
          <w:sz w:val="18"/>
          <w:szCs w:val="18"/>
          <w:color w:val="auto"/>
        </w:rPr>
      </w:pPr>
    </w:p>
    <w:p>
      <w:pPr>
        <w:jc w:val="both"/>
        <w:ind w:left="10" w:hanging="10"/>
        <w:spacing w:after="0" w:line="265" w:lineRule="auto"/>
        <w:tabs>
          <w:tab w:leader="none" w:pos="55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Except where otherwise prohibited under applicable law, by executing this Agreement and accepting the PRSUs and the delivery of any shares of Common Stock hereunder, the Employee expressly acknowledges and agrees to be bound by and to comply with all of the terms and conditions contained in the Non-Competition and Non-Solicitation Agreement set forth as Exhibit B to this Agreement and incorporated herein by reference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70"/>
          </w:cols>
          <w:pgMar w:left="490" w:top="1093" w:right="339" w:bottom="1440" w:gutter="0" w:footer="0" w:header="0"/>
        </w:sectPr>
      </w:pPr>
    </w:p>
    <w:bookmarkStart w:id="66" w:name="page67"/>
    <w:bookmarkEnd w:id="66"/>
    <w:p>
      <w:pPr>
        <w:jc w:val="both"/>
        <w:ind w:left="10" w:hanging="10"/>
        <w:spacing w:after="0" w:line="282" w:lineRule="auto"/>
        <w:tabs>
          <w:tab w:leader="none" w:pos="487"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Recoupment</w:t>
      </w:r>
      <w:r>
        <w:rPr>
          <w:rFonts w:ascii="Arial" w:cs="Arial" w:eastAsia="Arial" w:hAnsi="Arial"/>
          <w:sz w:val="17"/>
          <w:szCs w:val="17"/>
          <w:color w:val="auto"/>
        </w:rPr>
        <w:t>. This Award shall be subject to (i) the Conduent Incorporated Compensation Recoupment Policy, as may be amended from time to time, or any successor policy and (ii) any other compensation recovery policy adopted after the PRSUs are granted to facilitate compliance with applicable law, including in response to the requirements of Section 10D of the Exchange Act, the U.S. Securities and Exchange Commission’s final rules thereunder, and any applicable listing rules or other rules and regulations implementing the foregoing.</w:t>
      </w:r>
    </w:p>
    <w:p>
      <w:pPr>
        <w:spacing w:after="0" w:line="10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For purposes of this Section 16, the Employee expressly and explicitly authorizes the Company to issue instructions, on the Employee's behalf, to any brokerage firm and/or third party administrator engaged by the Company to hold any shares of Common Stock and other amounts acquired pursuant to the PRSUs to re-convey, transfer or otherwise return such shares of Common Stock and/or other amounts to the Company upon the Company’s enforcement of the Company’s recoupment policy, the Company’s clawback policy, if any, and any other compensation recovery policy adopted by the Board or the Committee.</w:t>
      </w:r>
    </w:p>
    <w:p>
      <w:pPr>
        <w:spacing w:after="0" w:line="125" w:lineRule="exact"/>
        <w:rPr>
          <w:sz w:val="20"/>
          <w:szCs w:val="20"/>
          <w:color w:val="auto"/>
        </w:rPr>
      </w:pPr>
    </w:p>
    <w:p>
      <w:pPr>
        <w:ind w:left="10" w:hanging="10"/>
        <w:spacing w:after="0" w:line="287" w:lineRule="auto"/>
        <w:tabs>
          <w:tab w:leader="none" w:pos="55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jc w:val="both"/>
        <w:ind w:left="650" w:hanging="407"/>
        <w:spacing w:after="0" w:line="268" w:lineRule="auto"/>
        <w:tabs>
          <w:tab w:leader="none" w:pos="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16" w:lineRule="exact"/>
        <w:rPr>
          <w:rFonts w:ascii="Arial" w:cs="Arial" w:eastAsia="Arial" w:hAnsi="Arial"/>
          <w:sz w:val="18"/>
          <w:szCs w:val="18"/>
          <w:color w:val="auto"/>
        </w:rPr>
      </w:pPr>
    </w:p>
    <w:p>
      <w:pPr>
        <w:jc w:val="both"/>
        <w:ind w:left="650" w:hanging="407"/>
        <w:spacing w:after="0" w:line="262" w:lineRule="auto"/>
        <w:tabs>
          <w:tab w:leader="none" w:pos="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22" w:lineRule="exact"/>
        <w:rPr>
          <w:rFonts w:ascii="Arial" w:cs="Arial" w:eastAsia="Arial" w:hAnsi="Arial"/>
          <w:sz w:val="18"/>
          <w:szCs w:val="18"/>
          <w:color w:val="auto"/>
        </w:rPr>
      </w:pPr>
    </w:p>
    <w:p>
      <w:pPr>
        <w:jc w:val="both"/>
        <w:ind w:left="65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the Employee has made such report or disclosure, or of the Employee’s participation in an agency investigation or proceeding.</w:t>
      </w:r>
    </w:p>
    <w:p>
      <w:pPr>
        <w:spacing w:after="0" w:line="128" w:lineRule="exact"/>
        <w:rPr>
          <w:rFonts w:ascii="Arial" w:cs="Arial" w:eastAsia="Arial" w:hAnsi="Arial"/>
          <w:sz w:val="18"/>
          <w:szCs w:val="18"/>
          <w:color w:val="auto"/>
        </w:rPr>
      </w:pPr>
    </w:p>
    <w:p>
      <w:pPr>
        <w:jc w:val="both"/>
        <w:ind w:left="650" w:hanging="407"/>
        <w:spacing w:after="0" w:line="259" w:lineRule="auto"/>
        <w:tabs>
          <w:tab w:leader="none" w:pos="64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25" w:lineRule="exact"/>
        <w:rPr>
          <w:rFonts w:ascii="Arial" w:cs="Arial" w:eastAsia="Arial" w:hAnsi="Arial"/>
          <w:sz w:val="18"/>
          <w:szCs w:val="18"/>
          <w:color w:val="auto"/>
        </w:rPr>
      </w:pPr>
    </w:p>
    <w:p>
      <w:pPr>
        <w:jc w:val="both"/>
        <w:ind w:left="650" w:hanging="407"/>
        <w:spacing w:after="0" w:line="256" w:lineRule="auto"/>
        <w:tabs>
          <w:tab w:leader="none" w:pos="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jc w:val="both"/>
        <w:ind w:left="10" w:hanging="10"/>
        <w:spacing w:after="0" w:line="268" w:lineRule="auto"/>
        <w:tabs>
          <w:tab w:leader="none" w:pos="51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116" w:lineRule="exact"/>
        <w:rPr>
          <w:rFonts w:ascii="Arial" w:cs="Arial" w:eastAsia="Arial" w:hAnsi="Arial"/>
          <w:sz w:val="18"/>
          <w:szCs w:val="18"/>
          <w:color w:val="auto"/>
        </w:rPr>
      </w:pPr>
    </w:p>
    <w:p>
      <w:pPr>
        <w:ind w:left="10" w:hanging="10"/>
        <w:spacing w:after="0" w:line="287" w:lineRule="auto"/>
        <w:tabs>
          <w:tab w:leader="none" w:pos="48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70"/>
          </w:cols>
          <w:pgMar w:left="490" w:top="1093" w:right="339" w:bottom="1440" w:gutter="0" w:footer="0" w:header="0"/>
        </w:sectPr>
      </w:pPr>
    </w:p>
    <w:bookmarkStart w:id="67" w:name="page68"/>
    <w:bookmarkEnd w:id="67"/>
    <w:p>
      <w:pPr>
        <w:jc w:val="both"/>
        <w:ind w:left="10" w:hanging="10"/>
        <w:spacing w:after="0" w:line="259" w:lineRule="auto"/>
        <w:tabs>
          <w:tab w:leader="none" w:pos="47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25" w:lineRule="exact"/>
        <w:rPr>
          <w:rFonts w:ascii="Arial" w:cs="Arial" w:eastAsia="Arial" w:hAnsi="Arial"/>
          <w:sz w:val="18"/>
          <w:szCs w:val="18"/>
          <w:color w:val="auto"/>
        </w:rPr>
      </w:pPr>
    </w:p>
    <w:p>
      <w:pPr>
        <w:jc w:val="both"/>
        <w:ind w:left="10" w:hanging="10"/>
        <w:spacing w:after="0" w:line="257" w:lineRule="auto"/>
        <w:tabs>
          <w:tab w:leader="none" w:pos="51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10" w:hanging="10"/>
        <w:spacing w:after="0" w:line="287"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10" w:hanging="10"/>
        <w:spacing w:after="0" w:line="255" w:lineRule="auto"/>
        <w:tabs>
          <w:tab w:leader="none" w:pos="58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any actions taken under or relating to this Agreement, and any disputes arising out of or related to this Agreement, shall be governed by and construed in accordance with the laws of the United States and the laws of the State of Delaware without giving effect to any choice or conflict of law provision or rule (whether of the State of Delaware or any other jurisdiction) that would cause the application of the laws of any jurisdiction other than the United States and the State or Delaware. This grant is made and/or administered in the United States. For purposes of litigating any dispute that arises under this grant or the Agreement the parties hereby submit to and consent to the jurisdiction of the State of Delaware, and agree that such litigation shall only be conducted in the state or federal courts located in Delaware to the exclusion of all other courts and fora. By accepting the PRSUs, the Employee irrevocably consents to the jurisdiction of, and venue in, such courts and waives any objection that such courts are an inconvenient forum.</w:t>
      </w:r>
    </w:p>
    <w:p>
      <w:pPr>
        <w:spacing w:after="0" w:line="126" w:lineRule="exact"/>
        <w:rPr>
          <w:rFonts w:ascii="Arial" w:cs="Arial" w:eastAsia="Arial" w:hAnsi="Arial"/>
          <w:sz w:val="18"/>
          <w:szCs w:val="18"/>
          <w:color w:val="auto"/>
        </w:rPr>
      </w:pPr>
    </w:p>
    <w:p>
      <w:pPr>
        <w:jc w:val="both"/>
        <w:ind w:left="10" w:hanging="10"/>
        <w:spacing w:after="0" w:line="268" w:lineRule="auto"/>
        <w:tabs>
          <w:tab w:leader="none" w:pos="31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1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25" w:lineRule="exact"/>
        <w:rPr>
          <w:sz w:val="20"/>
          <w:szCs w:val="20"/>
          <w:color w:val="auto"/>
        </w:rPr>
      </w:pPr>
    </w:p>
    <w:p>
      <w:pPr>
        <w:jc w:val="both"/>
        <w:ind w:left="10"/>
        <w:spacing w:after="0" w:line="26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2" w:lineRule="exact"/>
        <w:rPr>
          <w:sz w:val="20"/>
          <w:szCs w:val="20"/>
          <w:color w:val="auto"/>
        </w:rPr>
      </w:pPr>
    </w:p>
    <w:p>
      <w:pPr>
        <w:jc w:val="both"/>
        <w:ind w:left="10" w:hanging="10"/>
        <w:spacing w:after="0" w:line="255" w:lineRule="auto"/>
        <w:tabs>
          <w:tab w:leader="none" w:pos="29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28" w:lineRule="exact"/>
        <w:rPr>
          <w:sz w:val="20"/>
          <w:szCs w:val="20"/>
          <w:color w:val="auto"/>
        </w:rPr>
      </w:pPr>
    </w:p>
    <w:p>
      <w:pPr>
        <w:jc w:val="both"/>
        <w:ind w:left="10"/>
        <w:spacing w:after="0" w:line="282" w:lineRule="auto"/>
        <w:rPr>
          <w:sz w:val="20"/>
          <w:szCs w:val="20"/>
          <w:color w:val="auto"/>
        </w:rPr>
      </w:pPr>
      <w:r>
        <w:rPr>
          <w:rFonts w:ascii="Arial" w:cs="Arial" w:eastAsia="Arial" w:hAnsi="Arial"/>
          <w:sz w:val="17"/>
          <w:szCs w:val="17"/>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70"/>
          </w:cols>
          <w:pgMar w:left="490" w:top="1093" w:right="339" w:bottom="1440" w:gutter="0" w:footer="0" w:header="0"/>
        </w:sectPr>
      </w:pPr>
    </w:p>
    <w:bookmarkStart w:id="68" w:name="page69"/>
    <w:bookmarkEnd w:id="68"/>
    <w:p>
      <w:pPr>
        <w:ind w:left="10"/>
        <w:spacing w:after="0" w:line="287" w:lineRule="auto"/>
        <w:rPr>
          <w:sz w:val="20"/>
          <w:szCs w:val="20"/>
          <w:color w:val="auto"/>
        </w:rPr>
      </w:pPr>
      <w:r>
        <w:rPr>
          <w:rFonts w:ascii="Arial" w:cs="Arial" w:eastAsia="Arial" w:hAnsi="Arial"/>
          <w:sz w:val="18"/>
          <w:szCs w:val="18"/>
          <w:color w:val="auto"/>
        </w:rPr>
        <w:t>(including any taxes and penalties under Section 409A), and neither the Company nor any of its Affiliates shall have any obligation to indemnify or otherwise hold the Employee harmless from any or all of such taxes or penalties.</w:t>
      </w:r>
    </w:p>
    <w:p>
      <w:pPr>
        <w:spacing w:after="0" w:line="99" w:lineRule="exact"/>
        <w:rPr>
          <w:sz w:val="20"/>
          <w:szCs w:val="20"/>
          <w:color w:val="auto"/>
        </w:rPr>
      </w:pPr>
    </w:p>
    <w:p>
      <w:pPr>
        <w:ind w:left="450" w:hanging="450"/>
        <w:spacing w:after="0"/>
        <w:tabs>
          <w:tab w:leader="none" w:pos="45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30" w:hanging="391"/>
        <w:spacing w:after="0" w:line="257" w:lineRule="auto"/>
        <w:tabs>
          <w:tab w:leader="none" w:pos="75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Data Collection and Usage</w:t>
      </w:r>
      <w:r>
        <w:rPr>
          <w:rFonts w:ascii="Arial" w:cs="Arial" w:eastAsia="Arial" w:hAnsi="Arial"/>
          <w:sz w:val="18"/>
          <w:szCs w:val="18"/>
          <w:color w:val="auto"/>
        </w:rPr>
        <w:t>. The Company and the Employer collect, process and use certain personal information about the Employee, including, but not limited to, the Employee’s name, home address and telephone number, email address, date of birth, social insurance, passport or other identification number, salary, nationality, job title, any shares of Common Stock or directorships held in the Company, details of all PRSUs or any other entitlement to shares or equivalent benefits awarded, canceled, exercised, vested, unvested or outstanding in the Employee’s favor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for the purposes of implementing, administering and managing the Plan. The legal basis, where required, for the processing of Data is the Employee’s consent.</w:t>
      </w:r>
    </w:p>
    <w:p>
      <w:pPr>
        <w:spacing w:after="0" w:line="128" w:lineRule="exact"/>
        <w:rPr>
          <w:rFonts w:ascii="Arial" w:cs="Arial" w:eastAsia="Arial" w:hAnsi="Arial"/>
          <w:sz w:val="18"/>
          <w:szCs w:val="18"/>
          <w:color w:val="auto"/>
        </w:rPr>
      </w:pPr>
    </w:p>
    <w:p>
      <w:pPr>
        <w:jc w:val="both"/>
        <w:ind w:left="630" w:hanging="391"/>
        <w:spacing w:after="0" w:line="259" w:lineRule="auto"/>
        <w:tabs>
          <w:tab w:leader="none" w:pos="742"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It may be necessary for Data to be transferred to, and processed in, the U.S. If the Employee is outside of the U.S., the Employee should note that the Employee's country has enacted data privacy laws that are different from the U.S. As a result, in the absence of appropriate safeguards, the transfer of Data to the U.S. or, as the case may be, other countries might not be subject to substantive data processing principles or supervision by data protection authorities. The Company’s legal basis, where required, for the transfer of Data is the Employee’s consent.</w:t>
      </w:r>
    </w:p>
    <w:p>
      <w:pPr>
        <w:spacing w:after="0" w:line="125" w:lineRule="exact"/>
        <w:rPr>
          <w:rFonts w:ascii="Arial" w:cs="Arial" w:eastAsia="Arial" w:hAnsi="Arial"/>
          <w:sz w:val="18"/>
          <w:szCs w:val="18"/>
          <w:color w:val="auto"/>
        </w:rPr>
      </w:pPr>
    </w:p>
    <w:p>
      <w:pPr>
        <w:jc w:val="both"/>
        <w:ind w:left="630" w:hanging="391"/>
        <w:spacing w:after="0" w:line="268" w:lineRule="auto"/>
        <w:tabs>
          <w:tab w:leader="none" w:pos="732"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the Employee’s participation in the Plan, or as required to comply with legal or regulatory obligations, including under tax, exchange control, labor and securities laws.</w:t>
      </w:r>
    </w:p>
    <w:p>
      <w:pPr>
        <w:spacing w:after="0" w:line="116" w:lineRule="exact"/>
        <w:rPr>
          <w:rFonts w:ascii="Arial" w:cs="Arial" w:eastAsia="Arial" w:hAnsi="Arial"/>
          <w:sz w:val="18"/>
          <w:szCs w:val="18"/>
          <w:color w:val="auto"/>
        </w:rPr>
      </w:pPr>
    </w:p>
    <w:p>
      <w:pPr>
        <w:jc w:val="both"/>
        <w:ind w:left="630" w:hanging="391"/>
        <w:spacing w:after="0" w:line="259" w:lineRule="auto"/>
        <w:tabs>
          <w:tab w:leader="none" w:pos="742"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Voluntariness and Consequences of Consent Denial or Withdrawal</w:t>
      </w:r>
      <w:r>
        <w:rPr>
          <w:rFonts w:ascii="Arial" w:cs="Arial" w:eastAsia="Arial" w:hAnsi="Arial"/>
          <w:sz w:val="18"/>
          <w:szCs w:val="18"/>
          <w:color w:val="auto"/>
        </w:rPr>
        <w:t>. Participation in the Plan is voluntary, and the Employee is providing the consents herein on a purely voluntary basis. If the Employee does not consent, or if the Employee later seeks to revoke the Employee's consent, the Employee’s salary from or employment and career with the Employer will not be affected; the only consequence of refusing or withdrawing consent is that the Company would not be able to grant the PRSUs or other equity awards to the Employee or administer or maintain such awards.</w:t>
      </w:r>
    </w:p>
    <w:p>
      <w:pPr>
        <w:spacing w:after="0" w:line="125" w:lineRule="exact"/>
        <w:rPr>
          <w:rFonts w:ascii="Arial" w:cs="Arial" w:eastAsia="Arial" w:hAnsi="Arial"/>
          <w:sz w:val="18"/>
          <w:szCs w:val="18"/>
          <w:color w:val="auto"/>
        </w:rPr>
      </w:pPr>
    </w:p>
    <w:p>
      <w:pPr>
        <w:jc w:val="both"/>
        <w:ind w:left="650" w:hanging="407"/>
        <w:spacing w:after="0" w:line="257" w:lineRule="auto"/>
        <w:tabs>
          <w:tab w:leader="none" w:pos="813"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privacy laws in the Employee’s jurisdiction. Depending on where the Employee is based, such rights may include the right to (i) request access or copies of Data the Company processes, (ii) rectification of incorrect Data, (iii) deletion of Data, (iv) restrictions on processing of Data, (v) portability of Data, (vi) lodge complaints with competent authorities in the Employee’s jurisdiction, and/or (vii) receive a list with the names and addresses of any potential recipients of Data. To receive clarification regarding these rights or to exercise these rights, the Employee can contact the local human resources representative.</w:t>
      </w:r>
    </w:p>
    <w:p>
      <w:pPr>
        <w:spacing w:after="0" w:line="128" w:lineRule="exact"/>
        <w:rPr>
          <w:sz w:val="20"/>
          <w:szCs w:val="20"/>
          <w:color w:val="auto"/>
        </w:rPr>
      </w:pPr>
    </w:p>
    <w:p>
      <w:pPr>
        <w:jc w:val="both"/>
        <w:ind w:left="630" w:firstLine="150"/>
        <w:spacing w:after="0" w:line="259" w:lineRule="auto"/>
        <w:rPr>
          <w:sz w:val="20"/>
          <w:szCs w:val="20"/>
          <w:color w:val="auto"/>
        </w:rPr>
      </w:pPr>
      <w:r>
        <w:rPr>
          <w:rFonts w:ascii="Arial" w:cs="Arial" w:eastAsia="Arial" w:hAnsi="Arial"/>
          <w:sz w:val="18"/>
          <w:szCs w:val="18"/>
          <w:color w:val="auto"/>
        </w:rPr>
        <w:t>By accepting the PRSUs and indicating consent via the Company’s acceptance procedure, the Employee is declaring agreement with the data processing practices described herein and consents to the collection, processing and use of Data by the Company and the transfer of Data to the recipients mentioned above, including recipients located in countries which to not adduce an adequate level of protection from a European (or other non-U.S.) data protection law perspective, for the purposes described above.</w:t>
      </w:r>
    </w:p>
    <w:p>
      <w:pPr>
        <w:spacing w:after="0" w:line="125" w:lineRule="exact"/>
        <w:rPr>
          <w:sz w:val="20"/>
          <w:szCs w:val="20"/>
          <w:color w:val="auto"/>
        </w:rPr>
      </w:pPr>
    </w:p>
    <w:p>
      <w:pPr>
        <w:jc w:val="both"/>
        <w:ind w:left="650"/>
        <w:spacing w:after="0" w:line="255" w:lineRule="auto"/>
        <w:rPr>
          <w:sz w:val="20"/>
          <w:szCs w:val="20"/>
          <w:color w:val="auto"/>
        </w:rPr>
      </w:pPr>
      <w:r>
        <w:rPr>
          <w:rFonts w:ascii="Arial" w:cs="Arial" w:eastAsia="Arial" w:hAnsi="Arial"/>
          <w:sz w:val="18"/>
          <w:szCs w:val="18"/>
          <w:color w:val="auto"/>
        </w:rPr>
        <w:t>Finally, the Employee understands that the Company may rely on a different basis for the processing or transfer of Data in the future and/or request that the Employee provide another data privacy consent. If applicable, the Employee agrees that upon request of the Company or the Employer, the Employee will provide an executed acknowledgement or data privacy consent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the Employee will not be able to participate in the Plan if the Employee fails to provide any such consent or agreement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070"/>
          </w:cols>
          <w:pgMar w:left="490" w:top="1093" w:right="339" w:bottom="1440" w:gutter="0" w:footer="0" w:header="0"/>
        </w:sectPr>
      </w:pPr>
    </w:p>
    <w:bookmarkStart w:id="69" w:name="page70"/>
    <w:bookmarkEnd w:id="69"/>
    <w:p>
      <w:pPr>
        <w:jc w:val="both"/>
        <w:ind w:left="10" w:hanging="10"/>
        <w:spacing w:after="0" w:line="268" w:lineRule="auto"/>
        <w:tabs>
          <w:tab w:leader="none" w:pos="57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10" w:hanging="10"/>
        <w:spacing w:after="0" w:line="287" w:lineRule="auto"/>
        <w:tabs>
          <w:tab w:leader="none" w:pos="52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10" w:hanging="10"/>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PRSUs shall be subject to any special terms and conditions set forth in any appendix to this Agreement for the Employee’s country of employment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0" w:hanging="10"/>
        <w:spacing w:after="0" w:line="259" w:lineRule="auto"/>
        <w:tabs>
          <w:tab w:leader="none" w:pos="56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376" w:lineRule="exact"/>
        <w:rPr>
          <w:sz w:val="20"/>
          <w:szCs w:val="20"/>
          <w:color w:val="auto"/>
        </w:rPr>
      </w:pPr>
    </w:p>
    <w:p>
      <w:pPr>
        <w:ind w:left="1030"/>
        <w:spacing w:after="0"/>
        <w:rPr>
          <w:sz w:val="20"/>
          <w:szCs w:val="20"/>
          <w:color w:val="auto"/>
        </w:rPr>
      </w:pPr>
      <w:r>
        <w:rPr>
          <w:rFonts w:ascii="Arial" w:cs="Arial" w:eastAsia="Arial" w:hAnsi="Arial"/>
          <w:sz w:val="18"/>
          <w:szCs w:val="18"/>
          <w:color w:val="auto"/>
        </w:rPr>
        <w:t>CONDUENT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17780</wp:posOffset>
            </wp:positionV>
            <wp:extent cx="1800225" cy="1028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180022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70"/>
        <w:spacing w:after="0"/>
        <w:tabs>
          <w:tab w:leader="none" w:pos="611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Christopher Kujawa,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-7620</wp:posOffset>
            </wp:positionV>
            <wp:extent cx="4127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412750" cy="8255"/>
                    </a:xfrm>
                    <a:prstGeom prst="rect">
                      <a:avLst/>
                    </a:prstGeom>
                    <a:noFill/>
                  </pic:spPr>
                </pic:pic>
              </a:graphicData>
            </a:graphic>
          </wp:anchor>
        </w:drawing>
      </w:r>
    </w:p>
    <w:p>
      <w:pPr>
        <w:spacing w:after="0" w:line="30" w:lineRule="exact"/>
        <w:rPr>
          <w:sz w:val="20"/>
          <w:szCs w:val="20"/>
          <w:color w:val="auto"/>
        </w:rPr>
      </w:pPr>
    </w:p>
    <w:p>
      <w:pPr>
        <w:ind w:left="4370"/>
        <w:spacing w:after="0"/>
        <w:rPr>
          <w:sz w:val="20"/>
          <w:szCs w:val="20"/>
          <w:color w:val="auto"/>
        </w:rPr>
      </w:pPr>
      <w:r>
        <w:rPr>
          <w:rFonts w:ascii="Arial" w:cs="Arial" w:eastAsia="Arial" w:hAnsi="Arial"/>
          <w:sz w:val="18"/>
          <w:szCs w:val="18"/>
          <w:color w:val="auto"/>
        </w:rPr>
        <w:t>Date: April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070"/>
          </w:cols>
          <w:pgMar w:left="490" w:top="1093"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019"/>
          </w:cols>
          <w:pgMar w:left="1440" w:top="1440" w:right="1440"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A-&lt;#&gt;</w:t>
      </w:r>
    </w:p>
    <w:p>
      <w:pPr>
        <w:sectPr>
          <w:pgSz w:w="11900" w:h="16838" w:orient="portrait"/>
          <w:cols w:equalWidth="0" w:num="1">
            <w:col w:w="9019"/>
          </w:cols>
          <w:pgMar w:left="1440" w:top="1440" w:right="1440"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PRSUs that vest shall be based on the satisfaction of the adjusted revenue growth goals set forth below.</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Performance is measured each year and annual results are determined. The average of the three annual results is used to determine payout at the end of the three-year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126365</wp:posOffset>
            </wp:positionV>
            <wp:extent cx="2417445" cy="1020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41744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Linear interpolation will be used for results between points.</w:t>
      </w:r>
    </w:p>
    <w:p>
      <w:pPr>
        <w:spacing w:after="0" w:line="29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goal will be adjusted for any dispositions of businesses and asset sales, and may be adjusted for other unanticipated or unbudgeted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4826000" cy="951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4826000" cy="951865"/>
                    </a:xfrm>
                    <a:prstGeom prst="rect">
                      <a:avLst/>
                    </a:prstGeom>
                    <a:noFill/>
                  </pic:spPr>
                </pic:pic>
              </a:graphicData>
            </a:graphic>
          </wp:anchor>
        </w:drawing>
      </w:r>
    </w:p>
    <w:p>
      <w:pPr>
        <w:spacing w:after="0" w:line="21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FFFFFF"/>
        </w:rPr>
        <w:t>Adjusted Revenue Growth Targets (from Previous Fiscal Year)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shd w:val="clear" w:color="auto" w:fill="468CFF"/>
          </w:tcPr>
          <w:p>
            <w:pPr>
              <w:jc w:val="center"/>
              <w:ind w:right="110"/>
              <w:spacing w:after="0"/>
              <w:rPr>
                <w:sz w:val="20"/>
                <w:szCs w:val="20"/>
                <w:color w:val="auto"/>
              </w:rPr>
            </w:pPr>
            <w:r>
              <w:rPr>
                <w:rFonts w:ascii="Arial" w:cs="Arial" w:eastAsia="Arial" w:hAnsi="Arial"/>
                <w:sz w:val="18"/>
                <w:szCs w:val="18"/>
                <w:b w:val="1"/>
                <w:bCs w:val="1"/>
                <w:color w:val="FFFFFF"/>
              </w:rPr>
              <w:t>Adjusted Revenue</w:t>
            </w:r>
          </w:p>
        </w:tc>
        <w:tc>
          <w:tcPr>
            <w:tcW w:w="1580" w:type="dxa"/>
            <w:vAlign w:val="bottom"/>
            <w:vMerge w:val="restart"/>
            <w:shd w:val="clear" w:color="auto" w:fill="468CFF"/>
          </w:tcPr>
          <w:p>
            <w:pPr>
              <w:jc w:val="center"/>
              <w:ind w:right="250"/>
              <w:spacing w:after="0"/>
              <w:rPr>
                <w:sz w:val="20"/>
                <w:szCs w:val="20"/>
                <w:color w:val="auto"/>
              </w:rPr>
            </w:pPr>
            <w:r>
              <w:rPr>
                <w:rFonts w:ascii="Arial" w:cs="Arial" w:eastAsia="Arial" w:hAnsi="Arial"/>
                <w:sz w:val="18"/>
                <w:szCs w:val="18"/>
                <w:b w:val="1"/>
                <w:bCs w:val="1"/>
                <w:color w:val="FFFFFF"/>
                <w:w w:val="99"/>
              </w:rPr>
              <w:t>2024</w:t>
            </w:r>
          </w:p>
        </w:tc>
        <w:tc>
          <w:tcPr>
            <w:tcW w:w="1960" w:type="dxa"/>
            <w:vAlign w:val="bottom"/>
            <w:vMerge w:val="restart"/>
            <w:shd w:val="clear" w:color="auto" w:fill="468CFF"/>
          </w:tcPr>
          <w:p>
            <w:pPr>
              <w:jc w:val="center"/>
              <w:ind w:right="10"/>
              <w:spacing w:after="0"/>
              <w:rPr>
                <w:sz w:val="20"/>
                <w:szCs w:val="20"/>
                <w:color w:val="auto"/>
              </w:rPr>
            </w:pPr>
            <w:r>
              <w:rPr>
                <w:rFonts w:ascii="Arial" w:cs="Arial" w:eastAsia="Arial" w:hAnsi="Arial"/>
                <w:sz w:val="18"/>
                <w:szCs w:val="18"/>
                <w:b w:val="1"/>
                <w:bCs w:val="1"/>
                <w:color w:val="FFFFFF"/>
              </w:rPr>
              <w:t>2025</w:t>
            </w:r>
          </w:p>
        </w:tc>
        <w:tc>
          <w:tcPr>
            <w:tcW w:w="2080" w:type="dxa"/>
            <w:vAlign w:val="bottom"/>
            <w:vMerge w:val="restart"/>
            <w:shd w:val="clear" w:color="auto" w:fill="468CFF"/>
          </w:tcPr>
          <w:p>
            <w:pPr>
              <w:jc w:val="center"/>
              <w:spacing w:after="0"/>
              <w:rPr>
                <w:sz w:val="20"/>
                <w:szCs w:val="20"/>
                <w:color w:val="auto"/>
              </w:rPr>
            </w:pPr>
            <w:r>
              <w:rPr>
                <w:rFonts w:ascii="Arial" w:cs="Arial" w:eastAsia="Arial" w:hAnsi="Arial"/>
                <w:sz w:val="18"/>
                <w:szCs w:val="18"/>
                <w:b w:val="1"/>
                <w:bCs w:val="1"/>
                <w:color w:val="FFFFFF"/>
                <w:w w:val="99"/>
              </w:rPr>
              <w:t>2026</w:t>
            </w:r>
          </w:p>
        </w:tc>
        <w:tc>
          <w:tcPr>
            <w:tcW w:w="0" w:type="dxa"/>
            <w:vAlign w:val="bottom"/>
          </w:tcPr>
          <w:p>
            <w:pPr>
              <w:spacing w:after="0"/>
              <w:rPr>
                <w:sz w:val="1"/>
                <w:szCs w:val="1"/>
                <w:color w:val="auto"/>
              </w:rPr>
            </w:pPr>
          </w:p>
        </w:tc>
      </w:tr>
      <w:tr>
        <w:trPr>
          <w:trHeight w:val="160"/>
        </w:trPr>
        <w:tc>
          <w:tcPr>
            <w:tcW w:w="1980" w:type="dxa"/>
            <w:vAlign w:val="bottom"/>
            <w:vMerge w:val="restart"/>
            <w:shd w:val="clear" w:color="auto" w:fill="468CFF"/>
          </w:tcPr>
          <w:p>
            <w:pPr>
              <w:jc w:val="center"/>
              <w:ind w:right="150"/>
              <w:spacing w:after="0"/>
              <w:rPr>
                <w:sz w:val="20"/>
                <w:szCs w:val="20"/>
                <w:color w:val="auto"/>
              </w:rPr>
            </w:pPr>
            <w:r>
              <w:rPr>
                <w:rFonts w:ascii="Arial" w:cs="Arial" w:eastAsia="Arial" w:hAnsi="Arial"/>
                <w:sz w:val="18"/>
                <w:szCs w:val="18"/>
                <w:b w:val="1"/>
                <w:bCs w:val="1"/>
                <w:color w:val="FFFFFF"/>
                <w:w w:val="98"/>
              </w:rPr>
              <w:t>Growth</w:t>
            </w:r>
          </w:p>
        </w:tc>
        <w:tc>
          <w:tcPr>
            <w:tcW w:w="1580" w:type="dxa"/>
            <w:vAlign w:val="bottom"/>
            <w:vMerge w:val="continue"/>
            <w:shd w:val="clear" w:color="auto" w:fill="468CFF"/>
          </w:tcPr>
          <w:p>
            <w:pPr>
              <w:spacing w:after="0"/>
              <w:rPr>
                <w:sz w:val="13"/>
                <w:szCs w:val="13"/>
                <w:color w:val="auto"/>
              </w:rPr>
            </w:pPr>
          </w:p>
        </w:tc>
        <w:tc>
          <w:tcPr>
            <w:tcW w:w="1960" w:type="dxa"/>
            <w:vAlign w:val="bottom"/>
            <w:vMerge w:val="continue"/>
            <w:shd w:val="clear" w:color="auto" w:fill="468CFF"/>
          </w:tcPr>
          <w:p>
            <w:pPr>
              <w:spacing w:after="0"/>
              <w:rPr>
                <w:sz w:val="13"/>
                <w:szCs w:val="13"/>
                <w:color w:val="auto"/>
              </w:rPr>
            </w:pPr>
          </w:p>
        </w:tc>
        <w:tc>
          <w:tcPr>
            <w:tcW w:w="2080" w:type="dxa"/>
            <w:vAlign w:val="bottom"/>
            <w:vMerge w:val="continue"/>
            <w:shd w:val="clear" w:color="auto" w:fill="468C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980" w:type="dxa"/>
            <w:vAlign w:val="bottom"/>
            <w:tcBorders>
              <w:bottom w:val="single" w:sz="8" w:color="468CFF"/>
            </w:tcBorders>
            <w:vMerge w:val="continue"/>
            <w:shd w:val="clear" w:color="auto" w:fill="468CFF"/>
          </w:tcPr>
          <w:p>
            <w:pPr>
              <w:spacing w:after="0"/>
              <w:rPr>
                <w:sz w:val="7"/>
                <w:szCs w:val="7"/>
                <w:color w:val="auto"/>
              </w:rPr>
            </w:pPr>
          </w:p>
        </w:tc>
        <w:tc>
          <w:tcPr>
            <w:tcW w:w="1580" w:type="dxa"/>
            <w:vAlign w:val="bottom"/>
            <w:tcBorders>
              <w:bottom w:val="single" w:sz="8" w:color="468CFF"/>
            </w:tcBorders>
            <w:shd w:val="clear" w:color="auto" w:fill="468CFF"/>
          </w:tcPr>
          <w:p>
            <w:pPr>
              <w:spacing w:after="0"/>
              <w:rPr>
                <w:sz w:val="7"/>
                <w:szCs w:val="7"/>
                <w:color w:val="auto"/>
              </w:rPr>
            </w:pPr>
          </w:p>
        </w:tc>
        <w:tc>
          <w:tcPr>
            <w:tcW w:w="1960" w:type="dxa"/>
            <w:vAlign w:val="bottom"/>
            <w:tcBorders>
              <w:bottom w:val="single" w:sz="8" w:color="468CFF"/>
            </w:tcBorders>
            <w:shd w:val="clear" w:color="auto" w:fill="468CFF"/>
          </w:tcPr>
          <w:p>
            <w:pPr>
              <w:spacing w:after="0"/>
              <w:rPr>
                <w:sz w:val="7"/>
                <w:szCs w:val="7"/>
                <w:color w:val="auto"/>
              </w:rPr>
            </w:pPr>
          </w:p>
        </w:tc>
        <w:tc>
          <w:tcPr>
            <w:tcW w:w="2080" w:type="dxa"/>
            <w:vAlign w:val="bottom"/>
            <w:tcBorders>
              <w:bottom w:val="single" w:sz="8" w:color="468CFF"/>
            </w:tcBorders>
            <w:shd w:val="clear" w:color="auto" w:fill="468C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980" w:type="dxa"/>
            <w:vAlign w:val="bottom"/>
            <w:shd w:val="clear" w:color="auto" w:fill="CFDBFF"/>
          </w:tcPr>
          <w:p>
            <w:pPr>
              <w:jc w:val="center"/>
              <w:ind w:right="170"/>
              <w:spacing w:after="0"/>
              <w:rPr>
                <w:sz w:val="20"/>
                <w:szCs w:val="20"/>
                <w:color w:val="auto"/>
              </w:rPr>
            </w:pPr>
            <w:r>
              <w:rPr>
                <w:rFonts w:ascii="Arial" w:cs="Arial" w:eastAsia="Arial" w:hAnsi="Arial"/>
                <w:sz w:val="18"/>
                <w:szCs w:val="18"/>
                <w:color w:val="auto"/>
                <w:w w:val="99"/>
              </w:rPr>
              <w:t>Threshold</w:t>
            </w:r>
          </w:p>
        </w:tc>
        <w:tc>
          <w:tcPr>
            <w:tcW w:w="1580" w:type="dxa"/>
            <w:vAlign w:val="bottom"/>
            <w:shd w:val="clear" w:color="auto" w:fill="CFDBFF"/>
          </w:tcPr>
          <w:p>
            <w:pPr>
              <w:jc w:val="center"/>
              <w:ind w:right="270"/>
              <w:spacing w:after="0"/>
              <w:rPr>
                <w:sz w:val="20"/>
                <w:szCs w:val="20"/>
                <w:color w:val="auto"/>
              </w:rPr>
            </w:pPr>
            <w:r>
              <w:rPr>
                <w:rFonts w:ascii="Arial" w:cs="Arial" w:eastAsia="Arial" w:hAnsi="Arial"/>
                <w:sz w:val="18"/>
                <w:szCs w:val="18"/>
                <w:color w:val="auto"/>
                <w:w w:val="99"/>
              </w:rPr>
              <w:t>- 3.27%</w:t>
            </w:r>
          </w:p>
        </w:tc>
        <w:tc>
          <w:tcPr>
            <w:tcW w:w="1960" w:type="dxa"/>
            <w:vAlign w:val="bottom"/>
            <w:shd w:val="clear" w:color="auto" w:fill="CFDBFF"/>
          </w:tcPr>
          <w:p>
            <w:pPr>
              <w:jc w:val="center"/>
              <w:ind w:right="10"/>
              <w:spacing w:after="0"/>
              <w:rPr>
                <w:sz w:val="20"/>
                <w:szCs w:val="20"/>
                <w:color w:val="auto"/>
              </w:rPr>
            </w:pPr>
            <w:r>
              <w:rPr>
                <w:rFonts w:ascii="Arial" w:cs="Arial" w:eastAsia="Arial" w:hAnsi="Arial"/>
                <w:sz w:val="18"/>
                <w:szCs w:val="18"/>
                <w:color w:val="auto"/>
                <w:w w:val="96"/>
              </w:rPr>
              <w:t>+0.5%</w:t>
            </w:r>
          </w:p>
        </w:tc>
        <w:tc>
          <w:tcPr>
            <w:tcW w:w="2080" w:type="dxa"/>
            <w:vAlign w:val="bottom"/>
            <w:shd w:val="clear" w:color="auto" w:fill="CFDBFF"/>
          </w:tcPr>
          <w:p>
            <w:pPr>
              <w:jc w:val="center"/>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1980" w:type="dxa"/>
            <w:vAlign w:val="bottom"/>
            <w:shd w:val="clear" w:color="auto" w:fill="E9EEFF"/>
          </w:tcPr>
          <w:p>
            <w:pPr>
              <w:jc w:val="center"/>
              <w:ind w:right="150"/>
              <w:spacing w:after="0"/>
              <w:rPr>
                <w:sz w:val="20"/>
                <w:szCs w:val="20"/>
                <w:color w:val="auto"/>
              </w:rPr>
            </w:pPr>
            <w:r>
              <w:rPr>
                <w:rFonts w:ascii="Arial" w:cs="Arial" w:eastAsia="Arial" w:hAnsi="Arial"/>
                <w:sz w:val="18"/>
                <w:szCs w:val="18"/>
                <w:b w:val="1"/>
                <w:bCs w:val="1"/>
                <w:color w:val="auto"/>
                <w:w w:val="98"/>
              </w:rPr>
              <w:t>Target</w:t>
            </w:r>
          </w:p>
        </w:tc>
        <w:tc>
          <w:tcPr>
            <w:tcW w:w="1580" w:type="dxa"/>
            <w:vAlign w:val="bottom"/>
            <w:shd w:val="clear" w:color="auto" w:fill="E9EEFF"/>
          </w:tcPr>
          <w:p>
            <w:pPr>
              <w:jc w:val="center"/>
              <w:ind w:right="270"/>
              <w:spacing w:after="0"/>
              <w:rPr>
                <w:sz w:val="20"/>
                <w:szCs w:val="20"/>
                <w:color w:val="auto"/>
              </w:rPr>
            </w:pPr>
            <w:r>
              <w:rPr>
                <w:rFonts w:ascii="Arial" w:cs="Arial" w:eastAsia="Arial" w:hAnsi="Arial"/>
                <w:sz w:val="18"/>
                <w:szCs w:val="18"/>
                <w:b w:val="1"/>
                <w:bCs w:val="1"/>
                <w:color w:val="auto"/>
                <w:w w:val="97"/>
              </w:rPr>
              <w:t>-1.9%</w:t>
            </w:r>
          </w:p>
        </w:tc>
        <w:tc>
          <w:tcPr>
            <w:tcW w:w="1960" w:type="dxa"/>
            <w:vAlign w:val="bottom"/>
            <w:shd w:val="clear" w:color="auto" w:fill="E9EEFF"/>
          </w:tcPr>
          <w:p>
            <w:pPr>
              <w:jc w:val="center"/>
              <w:ind w:right="10"/>
              <w:spacing w:after="0"/>
              <w:rPr>
                <w:sz w:val="20"/>
                <w:szCs w:val="20"/>
                <w:color w:val="auto"/>
              </w:rPr>
            </w:pPr>
            <w:r>
              <w:rPr>
                <w:rFonts w:ascii="Arial" w:cs="Arial" w:eastAsia="Arial" w:hAnsi="Arial"/>
                <w:sz w:val="18"/>
                <w:szCs w:val="18"/>
                <w:b w:val="1"/>
                <w:bCs w:val="1"/>
                <w:color w:val="auto"/>
                <w:w w:val="96"/>
              </w:rPr>
              <w:t>+2.0%</w:t>
            </w:r>
          </w:p>
        </w:tc>
        <w:tc>
          <w:tcPr>
            <w:tcW w:w="2080" w:type="dxa"/>
            <w:vAlign w:val="bottom"/>
            <w:shd w:val="clear" w:color="auto" w:fill="E9EEFF"/>
          </w:tcPr>
          <w:p>
            <w:pPr>
              <w:jc w:val="center"/>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43"/>
        </w:trPr>
        <w:tc>
          <w:tcPr>
            <w:tcW w:w="1980" w:type="dxa"/>
            <w:vAlign w:val="bottom"/>
            <w:shd w:val="clear" w:color="auto" w:fill="CFDBFF"/>
          </w:tcPr>
          <w:p>
            <w:pPr>
              <w:jc w:val="center"/>
              <w:ind w:right="150"/>
              <w:spacing w:after="0"/>
              <w:rPr>
                <w:sz w:val="20"/>
                <w:szCs w:val="20"/>
                <w:color w:val="auto"/>
              </w:rPr>
            </w:pPr>
            <w:r>
              <w:rPr>
                <w:rFonts w:ascii="Arial" w:cs="Arial" w:eastAsia="Arial" w:hAnsi="Arial"/>
                <w:sz w:val="18"/>
                <w:szCs w:val="18"/>
                <w:color w:val="auto"/>
                <w:w w:val="99"/>
              </w:rPr>
              <w:t>Max</w:t>
            </w:r>
          </w:p>
        </w:tc>
        <w:tc>
          <w:tcPr>
            <w:tcW w:w="1580" w:type="dxa"/>
            <w:vAlign w:val="bottom"/>
            <w:shd w:val="clear" w:color="auto" w:fill="CFDBFF"/>
          </w:tcPr>
          <w:p>
            <w:pPr>
              <w:jc w:val="center"/>
              <w:ind w:right="270"/>
              <w:spacing w:after="0"/>
              <w:rPr>
                <w:sz w:val="20"/>
                <w:szCs w:val="20"/>
                <w:color w:val="auto"/>
              </w:rPr>
            </w:pPr>
            <w:r>
              <w:rPr>
                <w:rFonts w:ascii="Arial" w:cs="Arial" w:eastAsia="Arial" w:hAnsi="Arial"/>
                <w:sz w:val="18"/>
                <w:szCs w:val="18"/>
                <w:color w:val="auto"/>
              </w:rPr>
              <w:t>0.1%</w:t>
            </w:r>
          </w:p>
        </w:tc>
        <w:tc>
          <w:tcPr>
            <w:tcW w:w="1960" w:type="dxa"/>
            <w:vAlign w:val="bottom"/>
            <w:shd w:val="clear" w:color="auto" w:fill="CFDBFF"/>
          </w:tcPr>
          <w:p>
            <w:pPr>
              <w:jc w:val="center"/>
              <w:ind w:right="10"/>
              <w:spacing w:after="0"/>
              <w:rPr>
                <w:sz w:val="20"/>
                <w:szCs w:val="20"/>
                <w:color w:val="auto"/>
              </w:rPr>
            </w:pPr>
            <w:r>
              <w:rPr>
                <w:rFonts w:ascii="Arial" w:cs="Arial" w:eastAsia="Arial" w:hAnsi="Arial"/>
                <w:sz w:val="18"/>
                <w:szCs w:val="18"/>
                <w:color w:val="auto"/>
                <w:w w:val="96"/>
              </w:rPr>
              <w:t>+4.5%</w:t>
            </w:r>
          </w:p>
        </w:tc>
        <w:tc>
          <w:tcPr>
            <w:tcW w:w="2080" w:type="dxa"/>
            <w:vAlign w:val="bottom"/>
            <w:shd w:val="clear" w:color="auto" w:fill="CFDBFF"/>
          </w:tcPr>
          <w:p>
            <w:pPr>
              <w:jc w:val="center"/>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A-1</w:t>
      </w:r>
    </w:p>
    <w:p>
      <w:pPr>
        <w:sectPr>
          <w:pgSz w:w="11900" w:h="16838" w:orient="portrait"/>
          <w:cols w:equalWidth="0" w:num="1">
            <w:col w:w="11200"/>
          </w:cols>
          <w:pgMar w:left="320" w:top="1093" w:right="37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A-2</w:t>
      </w:r>
    </w:p>
    <w:p>
      <w:pPr>
        <w:sectPr>
          <w:pgSz w:w="11900" w:h="16838" w:orient="portrait"/>
          <w:cols w:equalWidth="0" w:num="1">
            <w:col w:w="9019"/>
          </w:cols>
          <w:pgMar w:left="1440" w:top="1440"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Non-Competition and Non-Solicitation Agreement (“Agreement”) is made effective as of April 1, 2024 (“Effective Date”) between Conduent Business Services, LLC, its parent, subsidiaries, divisions and affiliates (collectively, “Conduent”) and the individual whose name appears in the Award Summary (“Employee”).</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252" w:lineRule="exact"/>
        <w:rPr>
          <w:sz w:val="20"/>
          <w:szCs w:val="20"/>
          <w:color w:val="auto"/>
        </w:rPr>
      </w:pPr>
    </w:p>
    <w:p>
      <w:pPr>
        <w:jc w:val="both"/>
        <w:ind w:left="340" w:right="60" w:hanging="332"/>
        <w:spacing w:after="0" w:line="276" w:lineRule="auto"/>
        <w:tabs>
          <w:tab w:leader="none" w:pos="328"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or render any services for (including, but not limited to, as an employee, proprietor, partner, agent, contractor, or consultant) any Entity that is engaged in any Competitive Activity in the Geographical Area.</w:t>
      </w:r>
    </w:p>
    <w:p>
      <w:pPr>
        <w:spacing w:after="0" w:line="203" w:lineRule="exact"/>
        <w:rPr>
          <w:rFonts w:ascii="Arial" w:cs="Arial" w:eastAsia="Arial" w:hAnsi="Arial"/>
          <w:sz w:val="18"/>
          <w:szCs w:val="18"/>
          <w:color w:val="auto"/>
        </w:rPr>
      </w:pPr>
    </w:p>
    <w:p>
      <w:pPr>
        <w:ind w:left="800" w:hanging="468"/>
        <w:spacing w:after="0"/>
        <w:tabs>
          <w:tab w:leader="none" w:pos="8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265" w:lineRule="exact"/>
        <w:rPr>
          <w:rFonts w:ascii="Arial" w:cs="Arial" w:eastAsia="Arial" w:hAnsi="Arial"/>
          <w:sz w:val="18"/>
          <w:szCs w:val="18"/>
          <w:color w:val="auto"/>
        </w:rPr>
      </w:pPr>
    </w:p>
    <w:p>
      <w:pPr>
        <w:jc w:val="both"/>
        <w:ind w:left="1300" w:hanging="46"/>
        <w:spacing w:after="0" w:line="267" w:lineRule="auto"/>
        <w:tabs>
          <w:tab w:leader="none" w:pos="1751" w:val="left"/>
        </w:tabs>
        <w:numPr>
          <w:ilvl w:val="2"/>
          <w:numId w:val="76"/>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1" w:lineRule="exact"/>
        <w:rPr>
          <w:sz w:val="20"/>
          <w:szCs w:val="20"/>
          <w:color w:val="auto"/>
        </w:rPr>
      </w:pPr>
    </w:p>
    <w:p>
      <w:pPr>
        <w:ind w:left="1300" w:firstLine="6"/>
        <w:spacing w:after="0" w:line="287" w:lineRule="auto"/>
        <w:tabs>
          <w:tab w:leader="none" w:pos="1909" w:val="left"/>
        </w:tabs>
        <w:numPr>
          <w:ilvl w:val="2"/>
          <w:numId w:val="77"/>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193" w:lineRule="exact"/>
        <w:rPr>
          <w:rFonts w:ascii="Arial" w:cs="Arial" w:eastAsia="Arial" w:hAnsi="Arial"/>
          <w:sz w:val="18"/>
          <w:szCs w:val="18"/>
          <w:color w:val="auto"/>
        </w:rPr>
      </w:pPr>
    </w:p>
    <w:p>
      <w:pPr>
        <w:ind w:left="1300" w:hanging="81"/>
        <w:spacing w:after="0" w:line="303" w:lineRule="auto"/>
        <w:tabs>
          <w:tab w:leader="none" w:pos="1754" w:val="left"/>
        </w:tabs>
        <w:numPr>
          <w:ilvl w:val="1"/>
          <w:numId w:val="78"/>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165" w:lineRule="exact"/>
        <w:rPr>
          <w:rFonts w:ascii="Arial" w:cs="Arial" w:eastAsia="Arial" w:hAnsi="Arial"/>
          <w:sz w:val="18"/>
          <w:szCs w:val="18"/>
          <w:color w:val="auto"/>
        </w:rPr>
      </w:pPr>
    </w:p>
    <w:p>
      <w:pPr>
        <w:jc w:val="both"/>
        <w:ind w:left="1300" w:hanging="107"/>
        <w:spacing w:after="0" w:line="284" w:lineRule="auto"/>
        <w:tabs>
          <w:tab w:leader="none" w:pos="16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B-1</w:t>
      </w:r>
    </w:p>
    <w:p>
      <w:pPr>
        <w:sectPr>
          <w:pgSz w:w="11900" w:h="16838" w:orient="portrait"/>
          <w:cols w:equalWidth="0" w:num="1">
            <w:col w:w="11240"/>
          </w:cols>
          <w:pgMar w:left="320" w:top="1336" w:right="339" w:bottom="1440" w:gutter="0" w:footer="0" w:header="0"/>
        </w:sectPr>
      </w:pPr>
    </w:p>
    <w:bookmarkStart w:id="75" w:name="page76"/>
    <w:bookmarkEnd w:id="75"/>
    <w:p>
      <w:pPr>
        <w:ind w:left="1300" w:hanging="833"/>
        <w:spacing w:after="0" w:line="303" w:lineRule="auto"/>
        <w:tabs>
          <w:tab w:leader="none" w:pos="903" w:val="left"/>
        </w:tabs>
        <w:numPr>
          <w:ilvl w:val="0"/>
          <w:numId w:val="80"/>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3" w:lineRule="exact"/>
        <w:rPr>
          <w:sz w:val="20"/>
          <w:szCs w:val="20"/>
          <w:color w:val="auto"/>
        </w:rPr>
      </w:pPr>
    </w:p>
    <w:p>
      <w:pPr>
        <w:jc w:val="both"/>
        <w:ind w:left="340" w:hanging="332"/>
        <w:spacing w:after="0" w:line="265" w:lineRule="auto"/>
        <w:tabs>
          <w:tab w:leader="none" w:pos="328"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68" w:lineRule="exact"/>
        <w:rPr>
          <w:rFonts w:ascii="Arial" w:cs="Arial" w:eastAsia="Arial" w:hAnsi="Arial"/>
          <w:sz w:val="18"/>
          <w:szCs w:val="18"/>
          <w:color w:val="auto"/>
        </w:rPr>
      </w:pPr>
    </w:p>
    <w:p>
      <w:pPr>
        <w:ind w:left="340" w:hanging="332"/>
        <w:spacing w:after="0" w:line="303" w:lineRule="auto"/>
        <w:tabs>
          <w:tab w:leader="none" w:pos="328"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During the Non-Solicit Period, as defined above, Employee will not, directly or indirectly, recruit,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induce, encourage or assist any employee of Conduent to leave such employee’s employment with Conduent.</w:t>
      </w:r>
    </w:p>
    <w:p>
      <w:pPr>
        <w:spacing w:after="0" w:line="152" w:lineRule="exact"/>
        <w:rPr>
          <w:rFonts w:ascii="Arial" w:cs="Arial" w:eastAsia="Arial" w:hAnsi="Arial"/>
          <w:sz w:val="18"/>
          <w:szCs w:val="18"/>
          <w:color w:val="auto"/>
        </w:rPr>
      </w:pPr>
    </w:p>
    <w:p>
      <w:pPr>
        <w:jc w:val="both"/>
        <w:ind w:left="340" w:hanging="332"/>
        <w:spacing w:after="0" w:line="255" w:lineRule="auto"/>
        <w:tabs>
          <w:tab w:leader="none" w:pos="328"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Employee and Conduent agree and acknowledge that Employee’s employment with Conduent is at-will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 not obligate Conduent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B-2</w:t>
      </w:r>
    </w:p>
    <w:p>
      <w:pPr>
        <w:sectPr>
          <w:pgSz w:w="11900" w:h="16838" w:orient="portrait"/>
          <w:cols w:equalWidth="0" w:num="1">
            <w:col w:w="11240"/>
          </w:cols>
          <w:pgMar w:left="320" w:top="1093" w:right="339" w:bottom="1440" w:gutter="0" w:footer="0" w:header="0"/>
        </w:sectPr>
      </w:pPr>
    </w:p>
    <w:bookmarkStart w:id="76" w:name="page77"/>
    <w:bookmarkEnd w:id="76"/>
    <w:p>
      <w:pPr>
        <w:jc w:val="both"/>
        <w:ind w:left="340" w:hanging="332"/>
        <w:spacing w:after="0" w:line="267" w:lineRule="auto"/>
        <w:tabs>
          <w:tab w:leader="none" w:pos="328"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highlight w:val="white"/>
        </w:rPr>
        <w:t>. 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reasonable attorneys’ fees and costs from the other party.</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highlight w:val="white"/>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color w:val="auto"/>
          <w:highlight w:val="white"/>
        </w:rPr>
        <w:t>. In the event that any of the provisions of this Agreement is deemed unenforceable or to exceed the protections afforded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59" w:lineRule="exact"/>
        <w:rPr>
          <w:rFonts w:ascii="Arial" w:cs="Arial" w:eastAsia="Arial" w:hAnsi="Arial"/>
          <w:sz w:val="18"/>
          <w:szCs w:val="18"/>
          <w:color w:val="auto"/>
        </w:rPr>
      </w:pPr>
    </w:p>
    <w:p>
      <w:pPr>
        <w:ind w:left="340" w:hanging="332"/>
        <w:spacing w:after="0" w:line="303" w:lineRule="auto"/>
        <w:tabs>
          <w:tab w:leader="none" w:pos="333"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33" w:lineRule="exact"/>
        <w:rPr>
          <w:rFonts w:ascii="Arial" w:cs="Arial" w:eastAsia="Arial" w:hAnsi="Arial"/>
          <w:sz w:val="18"/>
          <w:szCs w:val="18"/>
          <w:color w:val="auto"/>
        </w:rPr>
      </w:pPr>
    </w:p>
    <w:p>
      <w:pPr>
        <w:jc w:val="both"/>
        <w:ind w:left="340" w:hanging="332"/>
        <w:spacing w:after="0" w:line="276" w:lineRule="auto"/>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highlight w:val="white"/>
        </w:rPr>
        <w:t>. Any failure by Conduent to exercise any of its rights under this Agreement in the event of any breach of the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18"/>
          <w:szCs w:val="18"/>
          <w:color w:val="auto"/>
        </w:rPr>
      </w:pPr>
    </w:p>
    <w:p>
      <w:pPr>
        <w:jc w:val="both"/>
        <w:ind w:left="340" w:hanging="332"/>
        <w:spacing w:after="0" w:line="267" w:lineRule="auto"/>
        <w:tabs>
          <w:tab w:leader="none" w:pos="333"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B-3</w:t>
      </w:r>
    </w:p>
    <w:p>
      <w:pPr>
        <w:sectPr>
          <w:pgSz w:w="11900" w:h="16838" w:orient="portrait"/>
          <w:cols w:equalWidth="0" w:num="1">
            <w:col w:w="11240"/>
          </w:cols>
          <w:pgMar w:left="320" w:top="1403"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Exhibit 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TO PERFORMANCE 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CONDUENT INCORPORATED 2021 PERFORMANCE INCENTIVE PLAN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terms of the Plan and the Agreement, the PRSUs are subject to the following additional terms and conditions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xml:space="preserve">"). </w:t>
      </w:r>
      <w:r>
        <w:rPr>
          <w:rFonts w:ascii="Arial" w:cs="Arial" w:eastAsia="Arial" w:hAnsi="Arial"/>
          <w:sz w:val="18"/>
          <w:szCs w:val="18"/>
          <w:b w:val="1"/>
          <w:bCs w:val="1"/>
          <w:color w:val="auto"/>
        </w:rPr>
        <w:t>The information reflected in this Appendix is based on the securities, exchange control and other laws in effect 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respective countries as of February 2024. </w:t>
      </w:r>
      <w:r>
        <w:rPr>
          <w:rFonts w:ascii="Arial" w:cs="Arial" w:eastAsia="Arial" w:hAnsi="Arial"/>
          <w:sz w:val="18"/>
          <w:szCs w:val="18"/>
          <w:color w:val="auto"/>
        </w:rPr>
        <w:t>All capitalized terms as contained in this Appendix shall have the same meaning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the Agreement. Pursuant to Section 28 of the Agreement, if the Employee transfers residence and/or employment to another country reflected in an Appendix at the time of transfer, the additional terms and conditions for such country will apply to the Employee to the extent the Company determines, in its sole discretion, that the application of such terms and conditions is necessary or advisable in order to comply with local law, rules and regulations, or to facilitate the operation and administration of the award and the Plan (or the Company may establish alternative terms and conditions as may be necessary or advisable to accommodate the Employee's transfer).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European Union ("EU") / European Economic Area ("EEA") / Switzerland and the United Kingdom*</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If the Employee resides and/or the Employee is employed in the EU / EEA, Switzerland or the United Kingdom the following provision replaces Section 25 of the Agreement: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located at 100 CAMPUS DRIVE, FLORHAM PARK, NJ, 07932 and grants PRSUs under the Plan to employees of the Company and its affiliates and subsidiaries in its sole discretion. The Employee should review the following information about the Company's data processing practices.</w:t>
      </w:r>
    </w:p>
    <w:p>
      <w:pPr>
        <w:spacing w:after="0" w:line="171" w:lineRule="exact"/>
        <w:rPr>
          <w:sz w:val="20"/>
          <w:szCs w:val="20"/>
          <w:color w:val="auto"/>
        </w:rPr>
      </w:pPr>
    </w:p>
    <w:p>
      <w:pPr>
        <w:jc w:val="both"/>
        <w:ind w:left="660" w:hanging="328"/>
        <w:spacing w:after="0" w:line="253" w:lineRule="auto"/>
        <w:tabs>
          <w:tab w:leader="none" w:pos="65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Data Collection, Processing and Usage</w:t>
      </w:r>
      <w:r>
        <w:rPr>
          <w:rFonts w:ascii="Arial" w:cs="Arial" w:eastAsia="Arial" w:hAnsi="Arial"/>
          <w:sz w:val="18"/>
          <w:szCs w:val="18"/>
          <w:color w:val="auto"/>
        </w:rPr>
        <w:t>. Pursuant to applicable data protection laws, the Employee is hereby notified that the Company collects, processes and uses certain personally- identifiable information about the Employee for the legitimate interest of implementing, administering and managing the Plan and generally administering equity awards; specifically, including the Employee's name, home address, email address and telephone number, date of birth, social insurance number or other identification number, salary, citizenship, job title, any shares of Common Stock or directorships held in the Company, and details of all options or any other awards granted, canceled, exercised, vested, or outstanding in the Employee's favors, which the Company receives from the Employee or the Employer. In granting the PRSUs under the Plan, the Company will collect the Employee's personal data for purposes of allocating shares of Common Stock and implementing, administering and managing the Plan. The Company's collection, processing, use and transfer of the Employee's personal data is necessary for the performance of the Company's contractual obligations under the Plan and pursuant to the Company's legitimate interest of managing and generally administering employee equity awards. The Employee's refusal to provide personal data would make it impossible for the Company to perform its contractual obligations and may affect the Employee's ability to participate in the Plan. As such, by participating in the Plan, the Employee voluntarily acknowledges the collection, processing and use of the Employee's personal data as described herein.</w:t>
      </w:r>
    </w:p>
    <w:p>
      <w:pPr>
        <w:spacing w:after="0" w:line="187" w:lineRule="exact"/>
        <w:rPr>
          <w:rFonts w:ascii="Arial" w:cs="Arial" w:eastAsia="Arial" w:hAnsi="Arial"/>
          <w:sz w:val="18"/>
          <w:szCs w:val="18"/>
          <w:color w:val="auto"/>
        </w:rPr>
      </w:pPr>
    </w:p>
    <w:p>
      <w:pPr>
        <w:jc w:val="both"/>
        <w:ind w:left="660" w:right="20" w:hanging="328"/>
        <w:spacing w:after="0" w:line="259" w:lineRule="auto"/>
        <w:tabs>
          <w:tab w:leader="none" w:pos="65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Stock Plan Administration Service Provider</w:t>
      </w:r>
      <w:r>
        <w:rPr>
          <w:rFonts w:ascii="Arial" w:cs="Arial" w:eastAsia="Arial" w:hAnsi="Arial"/>
          <w:sz w:val="18"/>
          <w:szCs w:val="18"/>
          <w:color w:val="auto"/>
        </w:rPr>
        <w:t>. The Company transfers participant data to a third party assisting the Company with the implementation, administration and management of the Plan, including but not limited to Morgan Stanley Smith Barney LLC and its affiliates ("Morgan Stanley") or any successor or any other third party that the Company may engage to assist with the administration of the Plan from time to time. Morgan Stanley will open an account for the Employee, if an account is not already in place, to receive and trade shares of Common Stock acquired under the Plan. The Employee will be asked to agree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- 1</w:t>
      </w:r>
    </w:p>
    <w:p>
      <w:pPr>
        <w:sectPr>
          <w:pgSz w:w="11900" w:h="16838" w:orient="portrait"/>
          <w:cols w:equalWidth="0" w:num="1">
            <w:col w:w="11240"/>
          </w:cols>
          <w:pgMar w:left="320" w:top="1403" w:right="339" w:bottom="1440" w:gutter="0" w:footer="0" w:header="0"/>
        </w:sectPr>
      </w:pPr>
    </w:p>
    <w:bookmarkStart w:id="78" w:name="page79"/>
    <w:bookmarkEnd w:id="78"/>
    <w:p>
      <w:pPr>
        <w:ind w:left="660"/>
        <w:spacing w:after="0" w:line="287" w:lineRule="auto"/>
        <w:rPr>
          <w:sz w:val="20"/>
          <w:szCs w:val="20"/>
          <w:color w:val="auto"/>
        </w:rPr>
      </w:pPr>
      <w:r>
        <w:rPr>
          <w:rFonts w:ascii="Arial" w:cs="Arial" w:eastAsia="Arial" w:hAnsi="Arial"/>
          <w:sz w:val="18"/>
          <w:szCs w:val="18"/>
          <w:color w:val="auto"/>
        </w:rPr>
        <w:t>separate terms and data processing practices with Morgan Stanley, which is a condition to the Employee's ability to participate in the Plan.</w:t>
      </w:r>
    </w:p>
    <w:p>
      <w:pPr>
        <w:spacing w:after="0" w:line="153" w:lineRule="exact"/>
        <w:rPr>
          <w:sz w:val="20"/>
          <w:szCs w:val="20"/>
          <w:color w:val="auto"/>
        </w:rPr>
      </w:pPr>
    </w:p>
    <w:p>
      <w:pPr>
        <w:jc w:val="both"/>
        <w:ind w:left="660" w:hanging="328"/>
        <w:spacing w:after="0" w:line="259" w:lineRule="auto"/>
        <w:tabs>
          <w:tab w:leader="none" w:pos="65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The Company and Morgan Stanley are based in the United States. The Company can only meet its contractual obligations to the Employee if the Employee's personal data is transferred to the United States. The Company's legal basis for the transfer of the Employee's personal data to the United States is to satisfy its contractual obligations to the Employee and/or its use of the standard data protection clauses or other similar exceptions to the limitations on international data transfer adopted by the EU Commission or other foreign nations.</w:t>
      </w:r>
    </w:p>
    <w:p>
      <w:pPr>
        <w:spacing w:after="0" w:line="179" w:lineRule="exact"/>
        <w:rPr>
          <w:rFonts w:ascii="Arial" w:cs="Arial" w:eastAsia="Arial" w:hAnsi="Arial"/>
          <w:sz w:val="18"/>
          <w:szCs w:val="18"/>
          <w:color w:val="auto"/>
        </w:rPr>
      </w:pPr>
    </w:p>
    <w:p>
      <w:pPr>
        <w:jc w:val="both"/>
        <w:ind w:left="660" w:hanging="328"/>
        <w:spacing w:after="0" w:line="259" w:lineRule="auto"/>
        <w:tabs>
          <w:tab w:leader="none" w:pos="65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use the Employee's personal data only as long as is necessary to implement, administer and manage the Employee's participation in the Plan or as required to comply with legal or regulatory obligations, including under tax and security laws. When the Company no longer needs the Employee's personal data, the Company will remove it from its systems. If the Company keeps the Employee's data longer, it would be to satisfy legal or regulatory obligations and the Company's legal basis would be for compliance with relevant laws or regulations.</w:t>
      </w:r>
    </w:p>
    <w:p>
      <w:pPr>
        <w:spacing w:after="0" w:line="179" w:lineRule="exact"/>
        <w:rPr>
          <w:rFonts w:ascii="Arial" w:cs="Arial" w:eastAsia="Arial" w:hAnsi="Arial"/>
          <w:sz w:val="18"/>
          <w:szCs w:val="18"/>
          <w:color w:val="auto"/>
        </w:rPr>
      </w:pPr>
    </w:p>
    <w:p>
      <w:pPr>
        <w:jc w:val="both"/>
        <w:ind w:left="660" w:hanging="328"/>
        <w:spacing w:after="0" w:line="257" w:lineRule="auto"/>
        <w:tabs>
          <w:tab w:leader="none" w:pos="65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privacy laws in the Employee's country of residence. For example, the Employee's rights may include the right to (i) request access or copies of personal data the Company processes, (ii) request rectification of incorrect data, (iii) request deletion of data, (iv) place restrictions on processing, (v) lodge complaints with competent authorities in the Employee's country of residence, and/or (vi) request a list with the names and addresses of any potential recipients of the Employee's personal data. To receive clarification regarding the Employee's rights or to exercise the Employee's rights, the Employee should contact GlobalCompensation@conduent.com.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AUSTRALIA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PRSUs Conditioned on Satisfaction of Regulatory Obligations</w:t>
      </w:r>
      <w:r>
        <w:rPr>
          <w:rFonts w:ascii="Arial" w:cs="Arial" w:eastAsia="Arial" w:hAnsi="Arial"/>
          <w:sz w:val="18"/>
          <w:szCs w:val="18"/>
          <w:color w:val="auto"/>
          <w:highlight w:val="white"/>
        </w:rPr>
        <w:t>. If the Employee is (a) a director of a subsidiary incorporated in Australia, or (b)</w:t>
      </w:r>
      <w:r>
        <w:rPr>
          <w:rFonts w:ascii="Arial" w:cs="Arial" w:eastAsia="Arial" w:hAnsi="Arial"/>
          <w:sz w:val="18"/>
          <w:szCs w:val="18"/>
          <w:color w:val="auto"/>
        </w:rPr>
        <w:t xml:space="preserve"> a person who is a management-level executive of a subsidiary incorporated in Australia and who also is a director of a subsidiary incorporated outside of Australia, the grant of the PRSUs is conditioned upon satisfaction of the shareholder approval provisions of section 200B of the Corporations Act 2001 (Cth) in Australia.</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highlight w:val="white"/>
        </w:rPr>
        <w:t>. This grant of PRSUs is being made under Division 1A Part 7.12 of the Australian Corporations Act 2001 (Cth). If</w:t>
      </w:r>
      <w:r>
        <w:rPr>
          <w:rFonts w:ascii="Arial" w:cs="Arial" w:eastAsia="Arial" w:hAnsi="Arial"/>
          <w:sz w:val="18"/>
          <w:szCs w:val="18"/>
          <w:color w:val="auto"/>
        </w:rPr>
        <w:t xml:space="preserve"> shares of Common Stock acquired under the Plan are offered for sale to a person or entity resident in Australia, the Employee's offer may be subject to disclosure requirements under Australian law. The Employee should obtain legal advice on any disclosure obligations prior to making any such offer.</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highlight w:val="white"/>
        </w:rPr>
        <w:t>. Exchange control reporting is required for cash transactions exceeding AUD 10,000 and international fund</w:t>
      </w:r>
      <w:r>
        <w:rPr>
          <w:rFonts w:ascii="Arial" w:cs="Arial" w:eastAsia="Arial" w:hAnsi="Arial"/>
          <w:sz w:val="18"/>
          <w:szCs w:val="18"/>
          <w:color w:val="auto"/>
        </w:rPr>
        <w:t xml:space="preserve"> transfers. The Australian bank assisting with the transaction will file the report. If there is no Australian bank involved in the transfer, the Employee personally will be required to file the report. The Employee should consult with the Employee's personal advisor(s) regarding any personal legal, regulatory or foreign exchange obligations the Employee may have in connection with the Employee's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- 2</w:t>
      </w:r>
    </w:p>
    <w:p>
      <w:pPr>
        <w:sectPr>
          <w:pgSz w:w="11900" w:h="16838" w:orient="portrait"/>
          <w:cols w:equalWidth="0" w:num="1">
            <w:col w:w="11240"/>
          </w:cols>
          <w:pgMar w:left="320" w:top="109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highlight w:val="lightGray"/>
        </w:rPr>
        <w:t>BRAZIL</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Labor Law Acknowledgment</w:t>
      </w:r>
      <w:r>
        <w:rPr>
          <w:rFonts w:ascii="Arial" w:cs="Arial" w:eastAsia="Arial" w:hAnsi="Arial"/>
          <w:sz w:val="18"/>
          <w:szCs w:val="18"/>
          <w:color w:val="auto"/>
        </w:rPr>
        <w:t>. By accepting the PRSUs, the Employee acknowledges and agrees, for all legal purposes, that (a) the benefits provided under the Agreement and the Plan are the result of commercial transactions unrelated to the Employee's employment; (b) the Agreement and the Plan are not a part of the terms and conditions of the Employee's employment; and (c) the income from the PRSUs, if any, is not part of the Employee's remuneration from employment.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By accepting the PRSUs, the Employee acknowledges and agrees to comply with applicable Brazilian laws and to pay any and all applicable taxes associated with the vesting of the PRSUs, the issuance and/or sale of shares of Common Stock acquired under the Plan and the receipt of any dividends.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the Employee is resident or domiciled in Brazil, the Employee will be required to submit an annual declaration of assets and rights held outside of Brazil to the Central Bank of Brazil if the aggregate value of such assets and rights is greater than US$1 million as of December 31 of each year. If the aggregate value exceeds US$100 million as of the end of each quarter, a declaration must be submitted quarterly. Assets and rights that must be reported include shares of Common Stock acquired under the Plan. The Employee should consult with the Employee's personal advisor(s) regarding any personal legal, regulatory or foreign exchange obligations the Employee may have in connection with the Employee's participation in the Plan.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Tax on Financial Transaction (IOF)</w:t>
      </w:r>
      <w:r>
        <w:rPr>
          <w:rFonts w:ascii="Arial" w:cs="Arial" w:eastAsia="Arial" w:hAnsi="Arial"/>
          <w:sz w:val="18"/>
          <w:szCs w:val="18"/>
          <w:color w:val="auto"/>
        </w:rPr>
        <w:t>. Repatriation of funds (</w:t>
      </w:r>
      <w:r>
        <w:rPr>
          <w:rFonts w:ascii="Arial" w:cs="Arial" w:eastAsia="Arial" w:hAnsi="Arial"/>
          <w:sz w:val="18"/>
          <w:szCs w:val="18"/>
          <w:i w:val="1"/>
          <w:iCs w:val="1"/>
          <w:color w:val="auto"/>
        </w:rPr>
        <w:t>e.g.</w:t>
      </w:r>
      <w:r>
        <w:rPr>
          <w:rFonts w:ascii="Arial" w:cs="Arial" w:eastAsia="Arial" w:hAnsi="Arial"/>
          <w:sz w:val="18"/>
          <w:szCs w:val="18"/>
          <w:color w:val="auto"/>
        </w:rPr>
        <w:t>, the proceeds from the sale of shares of Common Stock) into Brazil and the conversion of USD into BRL associated with such fund transfers may be subject to the Tax on Financial Transactions. It is the Employee's responsibility to comply with any applicable Tax on Financial Transactions arising from the Employee's participation in the Plan. The Employee should consult with the Employee's personal tax advisor for additional details.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CANADA</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u w:val="single" w:color="auto"/>
          <w:color w:val="auto"/>
        </w:rPr>
        <w:t>Settlement in Shares</w:t>
      </w:r>
      <w:r>
        <w:rPr>
          <w:rFonts w:ascii="Arial" w:cs="Arial" w:eastAsia="Arial" w:hAnsi="Arial"/>
          <w:sz w:val="18"/>
          <w:szCs w:val="18"/>
          <w:color w:val="auto"/>
        </w:rPr>
        <w:t>. Notwithstanding anything to the contrary in the Agreement or the Plan, the PRSUs shall be settled only in shares of Common Stock (and may not be settled in cash).</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following supplements Section 8(a)(vii) of the Agreement as well as any other section required to give effect to the same: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the Employee's termination of employment and / or service relationship for any reason (other than by reason of death, Disability or Good Reason), either by the Employee or by the Employer, with or without cause, the Employee's rights to vest or to continue to vest in the PRSUs and receive shares of Common Stock under the Plan, if any, will terminate as of the actual Termination Date. For this purpose, the "Termination Date" shall mean the date that the Employee is no longer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shall not include or be extended by any period following such day during which the Employee is in receipt of or eligible to receive any notice of termination, pay in lieu of notice of termination, severance pay or any other payments or damages, whether arising under statute, contract or at common law.</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Notwithstanding the foregoing, if applicable employment standards legislation explicitly requires continued entitlement to vesting during a statutory notice period, the Employee's right to vest in the PRSUs under the Plan, if any, will terminate effective as of the last day of the Employee's minimum statutory notice period, but the Employee will not earn or be entitled to pro-rated vesting if the vesting date falls after the end of the Employee's statutory notice period, nor will the Employee be entitled to any compensation for lost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- 3</w:t>
      </w:r>
    </w:p>
    <w:p>
      <w:pPr>
        <w:sectPr>
          <w:pgSz w:w="11900" w:h="16838" w:orient="portrait"/>
          <w:cols w:equalWidth="0" w:num="1">
            <w:col w:w="11240"/>
          </w:cols>
          <w:pgMar w:left="320" w:top="1201" w:right="339" w:bottom="1440" w:gutter="0" w:footer="0" w:header="0"/>
        </w:sectPr>
      </w:pPr>
    </w:p>
    <w:bookmarkStart w:id="80" w:name="page81"/>
    <w:bookmarkEnd w:id="80"/>
    <w:p>
      <w:pPr>
        <w:jc w:val="both"/>
        <w:spacing w:after="0" w:line="255"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Specified foreign property, including the PRSUs, shares of Common Stock acquired under the Plan, and other rights to receive shares of a non-Canadian company held by a Canadian resident generally must be reported annually on a Form T1135 (Foreign Income Verification Statement) if the total cost of the foreign property exceeds C$ 100,000 at any time during the year. Thus, the unvested portion of the PRSUs must be reported – generally at a nil cost – if the C$100,000 cost threshold is exceeded because the Employee holds other specified foreign property. When shares of Common Stock are acquired, their cost generally is the adjusted cost base (“ACB”) of the shares of Common Stock. The ACB ordinarily will equal the fair market value of the shares of Common Stock at the time of acquisition, but if the Employee owns other shares of Common Stock, the ACB may need to be averaged with the ACB of the other shares of Common Stock. The Employee should consult with the Employee's personal advisor(s) regarding any personal foreign asset/foreign account tax obligations the Employee may have in connection with the Employee's participation in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FRANCE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highlight w:val="white"/>
        </w:rPr>
        <w:t>. The value of any cash or securities imported to or exported from France without the use of a financial</w:t>
      </w:r>
      <w:r>
        <w:rPr>
          <w:rFonts w:ascii="Arial" w:cs="Arial" w:eastAsia="Arial" w:hAnsi="Arial"/>
          <w:sz w:val="18"/>
          <w:szCs w:val="18"/>
          <w:color w:val="auto"/>
        </w:rPr>
        <w:t xml:space="preserve"> institution must be reported to the customs and excise authorities when the value of such cash or securities is equal to or greater than a certain amount (currently €10,000). The Employee should consult with the Employee's personal advisor(s) regarding any personal legal, regulatory or foreign exchange obligations the Employee may have in connection with the Employee's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French residents must report annually any shares and bank accounts held outside France, including the accounts that were opened, used and/or closed during the tax year, to the French tax authorities, on an annual basis on a special Form N° 3916, together with the Employee's personal income tax return. Failure to report triggers a significant penalty. The Employee should consult with the Employee's personal advisor(s) regarding any personal foreign asset/foreign account tax obligations the Employee may have in connection with the Employee's participation in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Use of English Language</w:t>
      </w:r>
      <w:r>
        <w:rPr>
          <w:rFonts w:ascii="Arial" w:cs="Arial" w:eastAsia="Arial" w:hAnsi="Arial"/>
          <w:sz w:val="18"/>
          <w:szCs w:val="18"/>
          <w:color w:val="auto"/>
        </w:rPr>
        <w:t xml:space="preserve">. By accepting the PRSUs, the Employee acknowledges and agrees that it is the Employee's wish that the </w:t>
      </w:r>
      <w:r>
        <w:rPr>
          <w:rFonts w:ascii="Arial" w:cs="Arial" w:eastAsia="Arial" w:hAnsi="Arial"/>
          <w:sz w:val="18"/>
          <w:szCs w:val="18"/>
          <w:b w:val="1"/>
          <w:bCs w:val="1"/>
          <w:color w:val="auto"/>
        </w:rPr>
        <w:t>Agreement</w:t>
      </w:r>
      <w:r>
        <w:rPr>
          <w:rFonts w:ascii="Arial" w:cs="Arial" w:eastAsia="Arial" w:hAnsi="Arial"/>
          <w:sz w:val="18"/>
          <w:szCs w:val="18"/>
          <w:color w:val="auto"/>
        </w:rPr>
        <w:t>, this</w:t>
      </w:r>
      <w:r>
        <w:rPr>
          <w:rFonts w:ascii="Arial" w:cs="Arial" w:eastAsia="Arial" w:hAnsi="Arial"/>
          <w:sz w:val="18"/>
          <w:szCs w:val="18"/>
          <w:b w:val="1"/>
          <w:bCs w:val="1"/>
          <w:color w:val="auto"/>
        </w:rPr>
        <w:t xml:space="preserve"> Appendix</w:t>
      </w:r>
      <w:r>
        <w:rPr>
          <w:rFonts w:ascii="Arial" w:cs="Arial" w:eastAsia="Arial" w:hAnsi="Arial"/>
          <w:sz w:val="18"/>
          <w:szCs w:val="18"/>
          <w:color w:val="auto"/>
        </w:rPr>
        <w:t>, as well as all other documents, notices and legal proceedings entered into, given or instituted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PRSUs, either directly or indirectly, be drawn up in English.</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u w:val="single" w:color="auto"/>
          <w:color w:val="auto"/>
        </w:rPr>
        <w:t>Langue anglaise</w:t>
      </w:r>
      <w:r>
        <w:rPr>
          <w:rFonts w:ascii="Arial" w:cs="Arial" w:eastAsia="Arial" w:hAnsi="Arial"/>
          <w:sz w:val="18"/>
          <w:szCs w:val="18"/>
          <w:i w:val="1"/>
          <w:iCs w:val="1"/>
          <w:color w:val="auto"/>
        </w:rPr>
        <w:t>. En acceptant l'allocation de vos PRSUs, vous reconnaissez et acceptez avoir souhaité que le Termes et Conditions, le présent avenant, ainsi que tous autres documents exécutés, avis donnés et procédures judiciaires intentées, relatifs, directement ou indirectement, à l'allocation de vos PRSUs, soient rédigés en anglais.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GERMANY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Cross-border payments in excess of €12,500 in connection with the sale of securities (including shares of Common Stock acquired under the Plan) must be reported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by the fifth day of the month following the month in which the payment is received or made. If the Employee acquire shares of Common Stock with a value in excess of €12,500, the Employer will report the acquisition of such shares of Common Stock to the German Federal Bank. If the Employee otherwise make or receive a payment in excess of €12,500, the Employee personally must report the payment to Bundesbank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available via Bundesbank’s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The Employee should consult with the Employee's personal advisor(s) regarding any personal legal, regulatory or foreign exchange obligations the Employee may have in connection with the Employee's participation in the Plan.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German residents must notify their local tax office of the acquisition of shares of Common Stock when they file their personal income tax returns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- 4</w:t>
      </w:r>
    </w:p>
    <w:p>
      <w:pPr>
        <w:sectPr>
          <w:pgSz w:w="11900" w:h="16838" w:orient="portrait"/>
          <w:cols w:equalWidth="0" w:num="1">
            <w:col w:w="11240"/>
          </w:cols>
          <w:pgMar w:left="320" w:top="1093" w:right="339" w:bottom="1440" w:gutter="0" w:footer="0" w:header="0"/>
        </w:sectPr>
      </w:pPr>
    </w:p>
    <w:bookmarkStart w:id="81" w:name="page82"/>
    <w:bookmarkEnd w:id="81"/>
    <w:p>
      <w:pPr>
        <w:jc w:val="both"/>
        <w:spacing w:after="0" w:line="257" w:lineRule="auto"/>
        <w:rPr>
          <w:sz w:val="20"/>
          <w:szCs w:val="20"/>
          <w:color w:val="auto"/>
        </w:rPr>
      </w:pPr>
      <w:r>
        <w:rPr>
          <w:rFonts w:ascii="Arial" w:cs="Arial" w:eastAsia="Arial" w:hAnsi="Arial"/>
          <w:sz w:val="18"/>
          <w:szCs w:val="18"/>
          <w:color w:val="auto"/>
        </w:rPr>
        <w:t>relevant year if the value of the shares of Common Stock acquired exceeds €150,000 or in the unlikely event that the resident holds shares of Common Stock exceeding 10% of the Company’s total shares of Common Stock outstanding. However, if the shares of Common Stock are listed on a recognized U.S. stock exchange and the Employee owns less than 1% of the total shares of Common Stock, this requirement will not apply even if shares of Common Stock with a value exceeding €150,000 are acquired. The Employee should consult with the Employee's personal advisor(s) regarding any personal foreign asset/foreign account tax obligations the Employee may have in connection with the Employee's participation in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GUATEMALA</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Consent to Receive Information in English</w:t>
      </w:r>
      <w:r>
        <w:rPr>
          <w:rFonts w:ascii="Arial" w:cs="Arial" w:eastAsia="Arial" w:hAnsi="Arial"/>
          <w:sz w:val="18"/>
          <w:szCs w:val="18"/>
          <w:color w:val="auto"/>
        </w:rPr>
        <w:t>. By participating in the Plan, the Employee acknowledges that have reviewed Section 19 of this Agreement and are sufficiently proficient in English, or, alternatively, the Employee will seek appropriate assistance, to understand the terms and conditions in this Agreement.</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u w:val="single" w:color="auto"/>
          <w:color w:val="auto"/>
        </w:rPr>
        <w:t>Consentimiento a Recibir Información en Ingles</w:t>
      </w:r>
      <w:r>
        <w:rPr>
          <w:rFonts w:ascii="Arial" w:cs="Arial" w:eastAsia="Arial" w:hAnsi="Arial"/>
          <w:sz w:val="18"/>
          <w:szCs w:val="18"/>
          <w:i w:val="1"/>
          <w:iCs w:val="1"/>
          <w:color w:val="auto"/>
        </w:rPr>
        <w:t>. Al participar en el Plan, usted reconoce que ha revisado la Sección 19 del Convenio y que usted domina inglés, o, en el alternativo, usted buscará la asistencia necesaria para entender los términos y las condiciones del Convenio.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INDIA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Repatriation Requirements</w:t>
      </w:r>
      <w:r>
        <w:rPr>
          <w:rFonts w:ascii="Arial" w:cs="Arial" w:eastAsia="Arial" w:hAnsi="Arial"/>
          <w:sz w:val="18"/>
          <w:szCs w:val="18"/>
          <w:color w:val="auto"/>
        </w:rPr>
        <w:t>. The Employee expressly agree to repatriate all sale proceeds and dividends attributable to shares of Common Stock acquired under the Plan in accordance with local foreign exchange rules and regulations. Neither the Company, the Employer or any of the Company's subsidiaries shall be liable for any fines or penalties resulting from the Employee's failure to comply with applicable laws, rules or regulations.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The Employee is required to declare the Employee's foreign bank accounts and any foreign financial assets (including shares of Common Stock acquired under the Plan held outside India) in the Employee's annual tax return. The Employee should consult with the Employee's personal advisor(s) regarding any personal foreign asset/foreign account tax obligations the Employee may have in connection with the Employee's participation in the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ITALY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Acknowledgement of Nature of Award Notice</w:t>
      </w:r>
      <w:r>
        <w:rPr>
          <w:rFonts w:ascii="Arial" w:cs="Arial" w:eastAsia="Arial" w:hAnsi="Arial"/>
          <w:sz w:val="18"/>
          <w:szCs w:val="18"/>
          <w:color w:val="auto"/>
        </w:rPr>
        <w:t>. In accepting the PRSUs, the Employee acknowledges that (a) the Employee has received a copy of the Plan, the Agreement and this Appendix; (b) the Employee has reviewed the applicable documents in their entirety and fully understand the contents thereof; and (c) the Employee accepts all provisions of the Plan, the Agreement and this Appendix.</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Italian residents who, at any time during the fiscal year, hold foreign financial assets (including cash and shares of Common Stock)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The Employee should consult with the Employee's personal advisor(s) regarding any personal foreign asset/foreign account tax obligations the Employee may have in connection with the Employee's participation in the Plan.</w:t>
      </w:r>
    </w:p>
    <w:p>
      <w:pPr>
        <w:spacing w:after="0" w:line="1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u w:val="single" w:color="auto"/>
          <w:color w:val="auto"/>
        </w:rPr>
        <w:t>Foreign Asset Tax</w:t>
      </w:r>
      <w:r>
        <w:rPr>
          <w:rFonts w:ascii="Arial" w:cs="Arial" w:eastAsia="Arial" w:hAnsi="Arial"/>
          <w:sz w:val="18"/>
          <w:szCs w:val="18"/>
          <w:color w:val="auto"/>
        </w:rPr>
        <w:t>. The value of any shares of Common Stock (and other financial assets) held outside Italy by individuals resident of Italy may be subject to a foreign asset tax. The taxable amount will be the fair market value of the financial assets (e.g., shares of Common Stock) assessed at the end of the calendar year. The value of financial assets held abroad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- 5</w:t>
      </w:r>
    </w:p>
    <w:p>
      <w:pPr>
        <w:sectPr>
          <w:pgSz w:w="11900" w:h="16838" w:orient="portrait"/>
          <w:cols w:equalWidth="0" w:num="1">
            <w:col w:w="11240"/>
          </w:cols>
          <w:pgMar w:left="320" w:top="1093" w:right="339" w:bottom="1440" w:gutter="0" w:footer="0" w:header="0"/>
        </w:sectPr>
      </w:pPr>
    </w:p>
    <w:bookmarkStart w:id="82" w:name="page83"/>
    <w:bookmarkEnd w:id="82"/>
    <w:p>
      <w:pPr>
        <w:jc w:val="both"/>
        <w:ind w:right="20"/>
        <w:spacing w:after="0" w:line="287" w:lineRule="auto"/>
        <w:rPr>
          <w:sz w:val="20"/>
          <w:szCs w:val="20"/>
          <w:color w:val="auto"/>
        </w:rPr>
      </w:pPr>
      <w:r>
        <w:rPr>
          <w:rFonts w:ascii="Arial" w:cs="Arial" w:eastAsia="Arial" w:hAnsi="Arial"/>
          <w:sz w:val="18"/>
          <w:szCs w:val="18"/>
          <w:color w:val="auto"/>
        </w:rPr>
        <w:t>reported in Form RM of the annual return. The Employee should consult the Employee's personal tax advisor for additional information on the foreign asset tax.</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JAMAICA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MALAYSIA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Director Notification Information.</w:t>
      </w:r>
      <w:r>
        <w:rPr>
          <w:rFonts w:ascii="Arial" w:cs="Arial" w:eastAsia="Arial" w:hAnsi="Arial"/>
          <w:sz w:val="18"/>
          <w:szCs w:val="18"/>
          <w:color w:val="auto"/>
        </w:rPr>
        <w:t xml:space="preserve"> If the Employee is a director of a subsidiary or affiliate of the Company established in Malaysia (a “</w:t>
      </w:r>
      <w:r>
        <w:rPr>
          <w:rFonts w:ascii="Arial" w:cs="Arial" w:eastAsia="Arial" w:hAnsi="Arial"/>
          <w:sz w:val="18"/>
          <w:szCs w:val="18"/>
          <w:b w:val="1"/>
          <w:bCs w:val="1"/>
          <w:i w:val="1"/>
          <w:iCs w:val="1"/>
          <w:color w:val="auto"/>
        </w:rPr>
        <w:t>Malaysian Entity</w:t>
      </w:r>
      <w:r>
        <w:rPr>
          <w:rFonts w:ascii="Arial" w:cs="Arial" w:eastAsia="Arial" w:hAnsi="Arial"/>
          <w:sz w:val="18"/>
          <w:szCs w:val="18"/>
          <w:color w:val="auto"/>
        </w:rPr>
        <w:t>”), the Employee is subject to certain notification requirements under the Malaysian Companies Act. Among these requirements is an obligation to notify the Malaysian Entity in writing when the Employee receives an interest (</w:t>
      </w:r>
      <w:r>
        <w:rPr>
          <w:rFonts w:ascii="Arial" w:cs="Arial" w:eastAsia="Arial" w:hAnsi="Arial"/>
          <w:sz w:val="18"/>
          <w:szCs w:val="18"/>
          <w:i w:val="1"/>
          <w:iCs w:val="1"/>
          <w:color w:val="auto"/>
        </w:rPr>
        <w:t>e.g.</w:t>
      </w:r>
      <w:r>
        <w:rPr>
          <w:rFonts w:ascii="Arial" w:cs="Arial" w:eastAsia="Arial" w:hAnsi="Arial"/>
          <w:sz w:val="18"/>
          <w:szCs w:val="18"/>
          <w:color w:val="auto"/>
        </w:rPr>
        <w:t>, an Award, shares of Common Stock, etc.) in the Company or any of its related companies. In addition, the Employee must notify the Malaysian Entity when the Employee sells shares of the Company or any of its related companies (including when the Employee sells shares of Common Stock acquired under the Plan). The Employee must also notify the Malaysian Entity if there are any subsequent changes in the Employee's interest in the Company or any related companies. These notifications must be made within fourteen days of acquiring or disposing of any interest in the Company or any of its related companies.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MEXICO</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Commercial Relationship</w:t>
      </w:r>
      <w:r>
        <w:rPr>
          <w:rFonts w:ascii="Arial" w:cs="Arial" w:eastAsia="Arial" w:hAnsi="Arial"/>
          <w:sz w:val="18"/>
          <w:szCs w:val="18"/>
          <w:color w:val="auto"/>
        </w:rPr>
        <w:t>. The Employee expressly recognizes that the Employee’s participation in the Plan and the Company’s grant of the PRSUs does not constitute an employment relationship between the Employee and the Company. The Employee has been granted the PRSUs as a consequence of the commercial relationship between the Company and the subsidiary in Mexico that employs the Employee (“Conduent-Mexico”) and Conduent-Mexico is the Employee’s sole employer. Based on the foregoing, the Employee expressly recognizes that (a) the Plan and the benefits the Employee may derive from the Employee's participation in the Plan do not establish any rights between the Employee and Conduent-Mexico, (b) the Plan and the benefits the Employee may derive from the Employee's participation in the Plan are not part of the employment conditions and/or benefits provided by Conduent-Mexico, and (c) any modification or amendments of the Plan by the Company, or a termination of the Plan by the Company shall not constitute a change or impairment of the terms and conditions of the Employee’s employment with Conduent-Mexico.</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Employee further understands that the Employee’s participation in the Plan is as a result of a unilateral and discretionary decision of the Company; therefore, subject to the terms of the Plan, the Company reserves the absolute right to amend and/or discontinue the Employee’s participation at any time without any liability to the Employee.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the Employee hereby declares that the Employee does not reserve to the Employee any action or right to bring any claim against the Company for any compensation or damages regarding any provision of the Plan or the benefits derived under the Plan, and the Employee therefore grants a full and broad release to the Company, its subsidiaries, affiliates, branches, representation offices, its shareholders, officers, agents or legal representatives with respect to any claim that may arise.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Extraordinary Item of Compensation</w:t>
      </w:r>
      <w:r>
        <w:rPr>
          <w:rFonts w:ascii="Arial" w:cs="Arial" w:eastAsia="Arial" w:hAnsi="Arial"/>
          <w:sz w:val="18"/>
          <w:szCs w:val="18"/>
          <w:color w:val="auto"/>
        </w:rPr>
        <w:t>. The Employee expressly recognizes and acknowledges that the Employee’s participation in the Plan is a result of the discretionary and unilateral decision of the Company, as well as the Employee’s free and voluntary decision to participate in the Plan in accordance with the terms and conditions of the Plan, the Agreement and this Appendix. As such, the Employee acknowledges and agrees that the Company may, in its sole discretion, amend and/or discontinue the Employee’s participation in the Plan at any time and without liability. The value of the PRSUs is an extraordinary item of compensation outside the scope of the Employee’s employment contract, if any. The PRSUs are not part of the Employee’s regular or expected compensation for purposes of calculating any severance, resignation, redundancy, end of service payments, bonuses, long-service awards, pension or retirement benefits, or any similar payments, which are the exclusive obligations of Conduent-Mexico.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- 6</w:t>
      </w:r>
    </w:p>
    <w:p>
      <w:pPr>
        <w:sectPr>
          <w:pgSz w:w="11900" w:h="16838" w:orient="portrait"/>
          <w:cols w:equalWidth="0" w:num="1">
            <w:col w:w="11240"/>
          </w:cols>
          <w:pgMar w:left="320" w:top="1093" w:right="339" w:bottom="1440" w:gutter="0" w:footer="0" w:header="0"/>
        </w:sectPr>
      </w:pPr>
    </w:p>
    <w:bookmarkStart w:id="83" w:name="page84"/>
    <w:bookmarkEnd w:id="83"/>
    <w:p>
      <w:pPr>
        <w:jc w:val="both"/>
        <w:spacing w:after="0" w:line="255"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PRSUs and any shares of Common Stock acquired under the Plan have not been registered with the National Register of Securities maintained by the Mexican National Banking and Securities Commission and cannot be offered or sold publicly in Mexico. In addition, the Plan, the Agreement and any other document relating to the PRSUs may not be publicly distributed in Mexico. These materials are addressed to the Employee because of the Employee’s existing relationship with the Company or one of the Companies subsidiaries or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one of its subsidiaries or affiliates made in accordance with the provisions of the Mexican Securities Market Law, and any rights under such offering shall not be assigned or transferred.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PERU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the Grant</w:t>
      </w:r>
      <w:r>
        <w:rPr>
          <w:rFonts w:ascii="Arial" w:cs="Arial" w:eastAsia="Arial" w:hAnsi="Arial"/>
          <w:sz w:val="18"/>
          <w:szCs w:val="18"/>
          <w:color w:val="auto"/>
        </w:rPr>
        <w:t>. The following provision supplements Section 11 of the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PRSU is being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Employee by the Company as an incentive to reward the Employee for the Employee's contributions to the Company.</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grant of the PRSUs under the Plan is considered a private offering in Peru and accordingly, is not subject to registration in Peru. For more information concerning the grant of the PRSUs, please refer to the Plan, the Agreement, and any other grant documents made available to the Employee by the Company. For more information regarding the Company, please refer to the Company's most recent annual report on Form 10-K and quarterly report on Form 10-Q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on the Company's website at </w:t>
      </w:r>
      <w:r>
        <w:rPr>
          <w:rFonts w:ascii="Arial" w:cs="Arial" w:eastAsia="Arial" w:hAnsi="Arial"/>
          <w:sz w:val="18"/>
          <w:szCs w:val="18"/>
          <w:u w:val="single" w:color="auto"/>
          <w:color w:val="auto"/>
        </w:rPr>
        <w:t>https://www.conduent.com/</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PHILIPPINES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Employee will be unable to acquire shares of Common Stock upon vesting and settlement of the Employee's PRSUs unless the vesting/issuance of shares of Common Stock complies with all applicable laws and regulations as determined by the Company. The Company assumes no liability if the Employee’s PRSUs cannot be vested and will not provide the Employee with any benefits / compensation in lieu of the PRSUs.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Employee acquires shares of Common Stock upon vesting and settlement of the Award, the Employee is permitted to dispose of or sell such shares of Common Stock, provided the offer and resale of the shares of Common Stock takes place outside of the Philippines through the facilities of a stock exchange on which the shares of Common Stock are listed. The shares of Common Stock are currently listed on the Nasdaq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ROMANIA</w:t>
      </w:r>
    </w:p>
    <w:p>
      <w:pPr>
        <w:spacing w:after="0" w:line="227"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i w:val="1"/>
          <w:iCs w:val="1"/>
          <w:u w:val="single" w:color="auto"/>
          <w:color w:val="auto"/>
        </w:rPr>
        <w:t>English Language</w:t>
      </w:r>
      <w:r>
        <w:rPr>
          <w:rFonts w:ascii="Arial" w:cs="Arial" w:eastAsia="Arial" w:hAnsi="Arial"/>
          <w:sz w:val="18"/>
          <w:szCs w:val="18"/>
          <w:i w:val="1"/>
          <w:iCs w:val="1"/>
          <w:color w:val="auto"/>
        </w:rPr>
        <w:t>. The Employee hereby expressly agrees that the Agreement, the Plan as well as all documents, notices and proceedings entered into, relating directly or indirectly hereto, be drawn up or communicated only in the English language.</w:t>
      </w:r>
    </w:p>
    <w:p>
      <w:pPr>
        <w:spacing w:after="0" w:line="15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Angajatul consimte în mod expres prin prezentul ca acest Contract, Plan precum şi orice alte documente, notificări, înştiinţări legate direct sau indirect de acest Contract să fie redactate sau efectuate doar în limba engleză.</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The Employee is not required to seek special authorization from the National Bank of Romania in order to open or maintain a foreign bank account. However, if the Employee remits foreign currency into Romania (</w:t>
      </w:r>
      <w:r>
        <w:rPr>
          <w:rFonts w:ascii="Arial" w:cs="Arial" w:eastAsia="Arial" w:hAnsi="Arial"/>
          <w:sz w:val="18"/>
          <w:szCs w:val="18"/>
          <w:i w:val="1"/>
          <w:iCs w:val="1"/>
          <w:color w:val="auto"/>
        </w:rPr>
        <w:t>e.g.</w:t>
      </w:r>
      <w:r>
        <w:rPr>
          <w:rFonts w:ascii="Arial" w:cs="Arial" w:eastAsia="Arial" w:hAnsi="Arial"/>
          <w:sz w:val="18"/>
          <w:szCs w:val="18"/>
          <w:color w:val="auto"/>
        </w:rPr>
        <w:t>, proceeds from the sale of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- 7</w:t>
      </w:r>
    </w:p>
    <w:p>
      <w:pPr>
        <w:sectPr>
          <w:pgSz w:w="11900" w:h="16838" w:orient="portrait"/>
          <w:cols w:equalWidth="0" w:num="1">
            <w:col w:w="11240"/>
          </w:cols>
          <w:pgMar w:left="320" w:top="1093" w:right="339" w:bottom="1440" w:gutter="0" w:footer="0" w:header="0"/>
        </w:sectPr>
      </w:pPr>
    </w:p>
    <w:bookmarkStart w:id="84" w:name="page85"/>
    <w:bookmarkEnd w:id="84"/>
    <w:p>
      <w:pPr>
        <w:jc w:val="both"/>
        <w:spacing w:after="0" w:line="268" w:lineRule="auto"/>
        <w:rPr>
          <w:sz w:val="20"/>
          <w:szCs w:val="20"/>
          <w:color w:val="auto"/>
        </w:rPr>
      </w:pPr>
      <w:r>
        <w:rPr>
          <w:rFonts w:ascii="Arial" w:cs="Arial" w:eastAsia="Arial" w:hAnsi="Arial"/>
          <w:sz w:val="18"/>
          <w:szCs w:val="18"/>
          <w:color w:val="auto"/>
        </w:rPr>
        <w:t>Stock), the Employee may be required to provide the Romanian bank through which the foreign currency is transferred with appropriate documentation. The Employee should consult with the Employee’s personal advisor(s) regarding any personal legal, regulatory or foreign exchange obligations the Employee may have in connection with the Employee’s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 - 8</w:t>
      </w:r>
    </w:p>
    <w:p>
      <w:pPr>
        <w:sectPr>
          <w:pgSz w:w="11900" w:h="16838" w:orient="portrait"/>
          <w:cols w:equalWidth="0" w:num="1">
            <w:col w:w="11240"/>
          </w:cols>
          <w:pgMar w:left="320" w:top="1093"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highlight w:val="lightGray"/>
        </w:rPr>
        <w:t>SWITZERLAND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PRSUs are not intended to be publicly offered in or from Switzerland. Neither this document nor any other materials relating to the PRSUs (1) constitutes a prospectus according to articles 35 et seq. of the Swiss Federal Act on Financial Services (“FinSA”), (2) may be publicly distributed or otherwise made publicly available in Switzerland to any person other than an employee of the Company, or (3) have been or will be filed with, approved or supervised by any Swiss reviewing body according to article 51 FinSA or any Swiss regulatory authority (in particular, the Swiss Financial Market Supervisory Authority).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xml:space="preserve"> The following provision supplements Section 10 (Responsibility for Taxes) of the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Without limitation to Section 10 of the Agreement, the Employee agrees to be liable for any Tax-Related Items and hereby covenants to pay any such Tax-Related Items, as and when requested by the Company or the Employer or by HMRC (or any other tax authority or any other relevant authority). The Employee agrees to indemnify and keep indemnified the Company and the Employer against any Tax-Related Items that they are required to pay or withhold or have paid or will pay to HM Revenue &amp; Customs (“HMRC”) (or any other tax authority or any other relevant authority) on the Employee’s behalf.</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 foregoing, if the Employee is an executive officer or director (as within the meaning of Section 13(k) of the Exchange Act), the Employee understands that the Employee may not be 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(“NICs”) may be payable. The Employee acknowledges that the Employee will be personally responsible for reporting and paying any income tax due on this additional benefit directly to the HMRC under the self-assessment regime and for paying the Company or the Employer, as applicable, for the value of any employee NICs due on this additional benefit, which may also be recovered from the Employee by any of the means referred to in Section 10 of the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- 9</w:t>
      </w:r>
    </w:p>
    <w:p>
      <w:pPr>
        <w:sectPr>
          <w:pgSz w:w="11900" w:h="16838" w:orient="portrait"/>
          <w:cols w:equalWidth="0" w:num="1">
            <w:col w:w="11240"/>
          </w:cols>
          <w:pgMar w:left="320" w:top="1093"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10.6(a)(iii)</w:t>
      </w:r>
    </w:p>
    <w:p>
      <w:pPr>
        <w:spacing w:after="0" w:line="200" w:lineRule="exact"/>
        <w:rPr>
          <w:sz w:val="20"/>
          <w:szCs w:val="20"/>
          <w:color w:val="auto"/>
        </w:rPr>
      </w:pPr>
    </w:p>
    <w:p>
      <w:pPr>
        <w:spacing w:after="0" w:line="376"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PERFORMANCE RESTRICTED STOCK UNIT AWARD AGREEMENT PURSUANT TO</w:t>
      </w:r>
    </w:p>
    <w:p>
      <w:pPr>
        <w:jc w:val="center"/>
        <w:ind w:right="150"/>
        <w:spacing w:after="0"/>
        <w:rPr>
          <w:sz w:val="20"/>
          <w:szCs w:val="20"/>
          <w:color w:val="auto"/>
        </w:rPr>
      </w:pPr>
      <w:r>
        <w:rPr>
          <w:rFonts w:ascii="Arial" w:cs="Arial" w:eastAsia="Arial" w:hAnsi="Arial"/>
          <w:sz w:val="18"/>
          <w:szCs w:val="18"/>
          <w:b w:val="1"/>
          <w:bCs w:val="1"/>
          <w:color w:val="auto"/>
        </w:rPr>
        <w:t>CONDUENT INCORPORATED 2021 PERFORMANCE INCENTIVE PLAN</w:t>
      </w:r>
    </w:p>
    <w:p>
      <w:pPr>
        <w:spacing w:after="0" w:line="207" w:lineRule="exact"/>
        <w:rPr>
          <w:sz w:val="20"/>
          <w:szCs w:val="20"/>
          <w:color w:val="auto"/>
        </w:rPr>
      </w:pPr>
    </w:p>
    <w:p>
      <w:pPr>
        <w:jc w:val="both"/>
        <w:ind w:left="10"/>
        <w:spacing w:after="0" w:line="265"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of the Company has authorized the execution and delivery of this Agreement.</w:t>
      </w:r>
    </w:p>
    <w:p>
      <w:pPr>
        <w:spacing w:after="0" w:line="117"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provided via email or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target number of Performance Restricted Stock Units granted pursuant hereto. The Award Summary is incorporated herein in its entirety.</w:t>
      </w:r>
    </w:p>
    <w:p>
      <w:pPr>
        <w:spacing w:after="0" w:line="117"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8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10" w:right="20" w:hanging="10"/>
        <w:spacing w:after="0" w:line="268" w:lineRule="auto"/>
        <w:tabs>
          <w:tab w:leader="none" w:pos="38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target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1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PERFORMANCE RESTRICTED STOCK UNITS</w:t>
      </w:r>
    </w:p>
    <w:p>
      <w:pPr>
        <w:spacing w:after="0" w:line="171" w:lineRule="exact"/>
        <w:rPr>
          <w:sz w:val="20"/>
          <w:szCs w:val="20"/>
          <w:color w:val="auto"/>
        </w:rPr>
      </w:pPr>
    </w:p>
    <w:p>
      <w:pPr>
        <w:jc w:val="both"/>
        <w:ind w:left="10" w:hanging="10"/>
        <w:spacing w:after="0" w:line="257" w:lineRule="auto"/>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the Vesting Date (as defined below) (or such earlier date provided in Section 8) in connection with the PRSUs,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PRSUs as determined pursuant to Section 3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223"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performance-based vesting conditions (the “</w:t>
      </w:r>
      <w:r>
        <w:rPr>
          <w:rFonts w:ascii="Arial" w:cs="Arial" w:eastAsia="Arial" w:hAnsi="Arial"/>
          <w:sz w:val="18"/>
          <w:szCs w:val="18"/>
          <w:b w:val="1"/>
          <w:bCs w:val="1"/>
          <w:i w:val="1"/>
          <w:iCs w:val="1"/>
          <w:color w:val="auto"/>
        </w:rPr>
        <w:t>Performance Conditions</w:t>
      </w:r>
      <w:r>
        <w:rPr>
          <w:rFonts w:ascii="Arial" w:cs="Arial" w:eastAsia="Arial" w:hAnsi="Arial"/>
          <w:sz w:val="18"/>
          <w:szCs w:val="18"/>
          <w:color w:val="auto"/>
        </w:rPr>
        <w:t>”) which are set forth on Exhibit A. The PRSUs shall vest on December 31, 2026 or such earlier date as may be provided in Section 8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and the number of PRSUs eligible to vest shall be based on the satisfaction of the Performance Conditions as set forth on Exhibit A and subject to the Employee’s continued employment with or provision of services to the Company or a subsidiary or affiliate through the Vesting Date or as otherwise provided in Section 8.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w:t>
      </w:r>
    </w:p>
    <w:p>
      <w:pPr>
        <w:spacing w:after="0" w:line="129" w:lineRule="exact"/>
        <w:rPr>
          <w:sz w:val="20"/>
          <w:szCs w:val="20"/>
          <w:color w:val="auto"/>
        </w:rPr>
      </w:pPr>
    </w:p>
    <w:p>
      <w:pPr>
        <w:ind w:left="10"/>
        <w:spacing w:after="0"/>
        <w:rPr>
          <w:sz w:val="20"/>
          <w:szCs w:val="20"/>
          <w:color w:val="auto"/>
        </w:rPr>
      </w:pPr>
      <w:r>
        <w:rPr>
          <w:rFonts w:ascii="Arial" w:cs="Arial" w:eastAsia="Arial" w:hAnsi="Arial"/>
          <w:sz w:val="18"/>
          <w:szCs w:val="18"/>
          <w:color w:val="auto"/>
        </w:rPr>
        <w:t>Notwithstanding, to the extent all or a portion of the PRSUs have not vested as of the Vesting Date, the unvested PRSUs will be forfeited.</w:t>
      </w:r>
    </w:p>
    <w:p>
      <w:pPr>
        <w:spacing w:after="0" w:line="171"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Upon the occurrence of an event constituting a Change in Control, notwithstanding anything to the contrary in Section 8 of the Plan, the PRSUs outstanding on the date of such Change in Control, and any dividend equivalents with respect thereto, shall be assumed by the successor company (or its parent company) and remain outstanding, and thereafter the vesting of such PRSUs, and any dividend equivalents with respect thereto, shall be eligible to vest on the Vesting Date, subject to the Employee’s continued employment with or provision of services to the Company or a subsidiary or an affiliate through the Vesting Date (and the</w:t>
      </w:r>
    </w:p>
    <w:p>
      <w:pPr>
        <w:sectPr>
          <w:pgSz w:w="11900" w:h="16838" w:orient="portrait"/>
          <w:cols w:equalWidth="0" w:num="1">
            <w:col w:w="11070"/>
          </w:cols>
          <w:pgMar w:left="490" w:top="607" w:right="339" w:bottom="1440" w:gutter="0" w:footer="0" w:header="0"/>
        </w:sectPr>
      </w:pPr>
    </w:p>
    <w:bookmarkStart w:id="87" w:name="page88"/>
    <w:bookmarkEnd w:id="87"/>
    <w:p>
      <w:pPr>
        <w:jc w:val="both"/>
        <w:ind w:left="10"/>
        <w:spacing w:after="0" w:line="257" w:lineRule="auto"/>
        <w:rPr>
          <w:sz w:val="20"/>
          <w:szCs w:val="20"/>
          <w:color w:val="auto"/>
        </w:rPr>
      </w:pPr>
      <w:r>
        <w:rPr>
          <w:rFonts w:ascii="Arial" w:cs="Arial" w:eastAsia="Arial" w:hAnsi="Arial"/>
          <w:sz w:val="18"/>
          <w:szCs w:val="18"/>
          <w:color w:val="auto"/>
        </w:rPr>
        <w:t xml:space="preserve">Performance Conditions shall each be deemed to have been achieved at the “Target” level as set forth on Exhibit A as of the date of the Change in Control), and in such instance such PRSUs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or services following such Change in Control and prior to the Vesting Date. Upon payment pursuant to the terms of the Plan, such awards shall be cancelled.</w:t>
      </w:r>
    </w:p>
    <w:p>
      <w:pPr>
        <w:spacing w:after="0" w:line="128" w:lineRule="exact"/>
        <w:rPr>
          <w:sz w:val="20"/>
          <w:szCs w:val="20"/>
          <w:color w:val="auto"/>
        </w:rPr>
      </w:pPr>
    </w:p>
    <w:p>
      <w:pPr>
        <w:jc w:val="both"/>
        <w:ind w:left="10" w:hanging="10"/>
        <w:spacing w:after="0" w:line="259" w:lineRule="auto"/>
        <w:tabs>
          <w:tab w:leader="none" w:pos="42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the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the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10" w:hanging="10"/>
        <w:spacing w:after="0" w:line="268" w:lineRule="auto"/>
        <w:tabs>
          <w:tab w:leader="none" w:pos="21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color w:val="auto"/>
        </w:rPr>
      </w:pPr>
    </w:p>
    <w:p>
      <w:pPr>
        <w:jc w:val="both"/>
        <w:ind w:left="10" w:hanging="4"/>
        <w:spacing w:after="0" w:line="268" w:lineRule="auto"/>
        <w:tabs>
          <w:tab w:leader="none" w:pos="37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pacing w:after="0" w:line="116" w:lineRule="exact"/>
        <w:rPr>
          <w:rFonts w:ascii="Arial" w:cs="Arial" w:eastAsia="Arial" w:hAnsi="Arial"/>
          <w:sz w:val="18"/>
          <w:szCs w:val="18"/>
          <w:color w:val="auto"/>
        </w:rPr>
      </w:pPr>
    </w:p>
    <w:p>
      <w:pPr>
        <w:jc w:val="both"/>
        <w:ind w:left="10" w:hanging="10"/>
        <w:spacing w:after="0" w:line="262" w:lineRule="auto"/>
        <w:tabs>
          <w:tab w:leader="none" w:pos="4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7(d)(ii) of the Plan. Any purported sale, assignment, alienation, transfer, pledge, attachment or other encumbrance of a PRSU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50" w:hanging="344"/>
        <w:spacing w:after="0"/>
        <w:tabs>
          <w:tab w:leader="none" w:pos="35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30" w:hanging="490"/>
        <w:spacing w:after="0" w:line="287" w:lineRule="auto"/>
        <w:tabs>
          <w:tab w:leader="none" w:pos="695"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or services prior to December 31, 2026, the PRSUs will be treated as set forth below.</w:t>
      </w:r>
    </w:p>
    <w:p>
      <w:pPr>
        <w:spacing w:after="0" w:line="98" w:lineRule="exact"/>
        <w:rPr>
          <w:rFonts w:ascii="Arial" w:cs="Arial" w:eastAsia="Arial" w:hAnsi="Arial"/>
          <w:sz w:val="18"/>
          <w:szCs w:val="18"/>
          <w:color w:val="auto"/>
        </w:rPr>
      </w:pPr>
    </w:p>
    <w:p>
      <w:pPr>
        <w:jc w:val="both"/>
        <w:ind w:left="1130" w:firstLine="4"/>
        <w:spacing w:after="0" w:line="262" w:lineRule="auto"/>
        <w:tabs>
          <w:tab w:leader="none" w:pos="1865" w:val="left"/>
        </w:tabs>
        <w:numPr>
          <w:ilvl w:val="2"/>
          <w:numId w:val="88"/>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a Termination For Good Reason following a Change in Control or a Qualifying Retirement, the PRSUs shall be canceled and forfeited on the date of such voluntary termination of employment or services.</w:t>
      </w:r>
    </w:p>
    <w:p>
      <w:pPr>
        <w:spacing w:after="0" w:line="122" w:lineRule="exact"/>
        <w:rPr>
          <w:rFonts w:ascii="Arial" w:cs="Arial" w:eastAsia="Arial" w:hAnsi="Arial"/>
          <w:sz w:val="18"/>
          <w:szCs w:val="18"/>
          <w:color w:val="auto"/>
        </w:rPr>
      </w:pPr>
    </w:p>
    <w:p>
      <w:pPr>
        <w:jc w:val="both"/>
        <w:ind w:left="1130" w:firstLine="4"/>
        <w:spacing w:after="0" w:line="254" w:lineRule="auto"/>
        <w:tabs>
          <w:tab w:leader="none" w:pos="1570" w:val="left"/>
        </w:tabs>
        <w:numPr>
          <w:ilvl w:val="2"/>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Qualifying Retirement. </w:t>
      </w:r>
      <w:r>
        <w:rPr>
          <w:rFonts w:ascii="Arial" w:cs="Arial" w:eastAsia="Arial" w:hAnsi="Arial"/>
          <w:sz w:val="18"/>
          <w:szCs w:val="18"/>
          <w:color w:val="auto"/>
        </w:rPr>
        <w:t>In the event of a Qualifying Retirement, the Employee will remain eligible to vest in a Pro-Rata</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PRSUs that otherwise vest on December 31, 2026 based on the achievement of the Performance Conditions, and any dividend equivalents with respect thereto; provided that the Employee (A) completes a successful transition of responsibilities (as determined by the Board of Directors of the Company) and cooperates during the remaining vesting period, (B)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 (or, if the Employee was the CEO prior to such retirement,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70"/>
          </w:cols>
          <w:pgMar w:left="490" w:top="1174" w:right="339" w:bottom="1440" w:gutter="0" w:footer="0" w:header="0"/>
        </w:sectPr>
      </w:pPr>
    </w:p>
    <w:bookmarkStart w:id="88" w:name="page89"/>
    <w:bookmarkEnd w:id="88"/>
    <w:p>
      <w:pPr>
        <w:jc w:val="both"/>
        <w:ind w:left="806" w:firstLine="4"/>
        <w:spacing w:after="0" w:line="256" w:lineRule="auto"/>
        <w:tabs>
          <w:tab w:leader="none" w:pos="1273"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due to death, Disability, or a termination for Cause, the Employee will remain eligible to vest in a Pro-Rata Amount of PRSUs that otherwise vest on December 31, 2026 based on the achievement of the Performance Conditions, and any dividend equivalents with respect thereto, provided that the number of full months in the numerator of the Pro-Rata Amount will be increased by a number equal to the number of months of cash severance the Employee would be entitled to under the Company’s applicable severance plan or policy, but shall in no event be greater than 36.</w:t>
      </w:r>
    </w:p>
    <w:p>
      <w:pPr>
        <w:spacing w:after="0" w:line="128" w:lineRule="exact"/>
        <w:rPr>
          <w:rFonts w:ascii="Arial" w:cs="Arial" w:eastAsia="Arial" w:hAnsi="Arial"/>
          <w:sz w:val="18"/>
          <w:szCs w:val="18"/>
          <w:color w:val="auto"/>
        </w:rPr>
      </w:pPr>
    </w:p>
    <w:p>
      <w:pPr>
        <w:jc w:val="both"/>
        <w:ind w:left="806" w:firstLine="4"/>
        <w:spacing w:after="0" w:line="254" w:lineRule="auto"/>
        <w:tabs>
          <w:tab w:leader="none" w:pos="1256"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of or otherwise provide services to 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at the “Target” performance level as set forth on Exhibit A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1" w:lineRule="exact"/>
        <w:rPr>
          <w:rFonts w:ascii="Arial" w:cs="Arial" w:eastAsia="Arial" w:hAnsi="Arial"/>
          <w:sz w:val="18"/>
          <w:szCs w:val="18"/>
          <w:color w:val="auto"/>
        </w:rPr>
      </w:pPr>
    </w:p>
    <w:p>
      <w:pPr>
        <w:jc w:val="both"/>
        <w:ind w:left="806" w:firstLine="4"/>
        <w:spacing w:after="0" w:line="259" w:lineRule="auto"/>
        <w:tabs>
          <w:tab w:leader="none" w:pos="1229"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Employer by reason of death or Disability prior to a Change in Control, the PRSUs covered by this Agreement, and any dividend equivalents with respect thereto, shall remain eligible to vest pursuant to Section 3 based on the satisfaction of the Performance Conditions and as if such Employee remained employed through the Vesting Date and shall be settled within 60 days following the applicable Vesting Date in accordance with Section 2, without proration.</w:t>
      </w:r>
    </w:p>
    <w:p>
      <w:pPr>
        <w:spacing w:after="0" w:line="125" w:lineRule="exact"/>
        <w:rPr>
          <w:rFonts w:ascii="Arial" w:cs="Arial" w:eastAsia="Arial" w:hAnsi="Arial"/>
          <w:sz w:val="18"/>
          <w:szCs w:val="18"/>
          <w:color w:val="auto"/>
        </w:rPr>
      </w:pPr>
    </w:p>
    <w:p>
      <w:pPr>
        <w:jc w:val="both"/>
        <w:ind w:left="806" w:firstLine="4"/>
        <w:spacing w:after="0" w:line="262" w:lineRule="auto"/>
        <w:tabs>
          <w:tab w:leader="none" w:pos="1350"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due to termination for Cause, the PRSUs shall be cancelled and forfeited on the date of such termination of employment or services, in addition to any other rights reserved under the Conduent Incorporated Compensation Recoupment Policy, as may be amended from time to time, or any successor policy.</w:t>
      </w:r>
    </w:p>
    <w:p>
      <w:pPr>
        <w:spacing w:after="0" w:line="122" w:lineRule="exact"/>
        <w:rPr>
          <w:rFonts w:ascii="Arial" w:cs="Arial" w:eastAsia="Arial" w:hAnsi="Arial"/>
          <w:sz w:val="18"/>
          <w:szCs w:val="18"/>
          <w:color w:val="auto"/>
        </w:rPr>
      </w:pPr>
    </w:p>
    <w:p>
      <w:pPr>
        <w:jc w:val="both"/>
        <w:ind w:left="806" w:firstLine="4"/>
        <w:spacing w:after="0" w:line="254" w:lineRule="auto"/>
        <w:tabs>
          <w:tab w:leader="none" w:pos="1390"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For purposes of this Agreement and the PRSUs, the Employee’s employment and /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will be considered terminated as of the date the Employee is no longer is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unless otherwise determined by the Company, the Employee’s right to vest in the PRSUs, if any, will terminate as of such date and, in either case,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Employee’s period of service would not include any contractual notice period or any period of “garden leave” or similar period mandated under labor laws in the jurisdiction where the Employee provides services or the terms of the Employee's employment or other service agreement, if any). The Committee shall have the exclusive discretion to determine when the Employee no longer is actively providing services for purposes of this Agreement and the PRSUs (including whether the Employee still may be considered to be providing services while on a leave of absence).</w:t>
      </w:r>
    </w:p>
    <w:p>
      <w:pPr>
        <w:spacing w:after="0" w:line="128" w:lineRule="exact"/>
        <w:rPr>
          <w:rFonts w:ascii="Arial" w:cs="Arial" w:eastAsia="Arial" w:hAnsi="Arial"/>
          <w:sz w:val="18"/>
          <w:szCs w:val="18"/>
          <w:color w:val="auto"/>
        </w:rPr>
      </w:pPr>
    </w:p>
    <w:p>
      <w:pPr>
        <w:ind w:left="426" w:hanging="426"/>
        <w:spacing w:after="0"/>
        <w:tabs>
          <w:tab w:leader="none" w:pos="42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6" w:right="20"/>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46"/>
          </w:cols>
          <w:pgMar w:left="814" w:top="1174" w:right="339" w:bottom="1440" w:gutter="0" w:footer="0" w:header="0"/>
        </w:sectPr>
      </w:pPr>
    </w:p>
    <w:bookmarkStart w:id="89" w:name="page90"/>
    <w:bookmarkEnd w:id="89"/>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xml:space="preserve">” will be equal to the number of PRSUs that would otherwise vest on December 31, 2026 based on the achievement of the Performance Conditions, multiplied by a fraction, the numerator of which is the number of full months elapsed between January 1, 2024 and the Termination Date and the denominator of which is 36;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Any PRSUs that do not vest as set forth above shall be forfeited.</w:t>
      </w:r>
    </w:p>
    <w:p>
      <w:pPr>
        <w:spacing w:after="0" w:line="129" w:lineRule="exact"/>
        <w:rPr>
          <w:sz w:val="20"/>
          <w:szCs w:val="20"/>
          <w:color w:val="auto"/>
        </w:rPr>
      </w:pPr>
    </w:p>
    <w:p>
      <w:pPr>
        <w:jc w:val="both"/>
        <w:ind w:left="5"/>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Employee’s employment with or services to Employer where (i) the Employee is at least age sixty (60) and has at least five (5) years of service with the Employer or its parents or subsidiaries and</w:t>
      </w:r>
    </w:p>
    <w:p>
      <w:pPr>
        <w:spacing w:after="0" w:line="2" w:lineRule="exact"/>
        <w:rPr>
          <w:sz w:val="20"/>
          <w:szCs w:val="20"/>
          <w:color w:val="auto"/>
        </w:rPr>
      </w:pPr>
    </w:p>
    <w:p>
      <w:pPr>
        <w:jc w:val="both"/>
        <w:ind w:left="5" w:hanging="5"/>
        <w:spacing w:after="0" w:line="258" w:lineRule="auto"/>
        <w:tabs>
          <w:tab w:leader="none" w:pos="2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Employee’s retirement has been agreed to and approved by the Chief Executive Officer of the Company (and, if Employee is a Section 16 officer of the Company, by the Board of Directors of the Company), who shall have the sole discretion to determine the date of retirement of such Employee.</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or services to the Employer.</w:t>
      </w:r>
    </w:p>
    <w:p>
      <w:pPr>
        <w:spacing w:after="0" w:line="171" w:lineRule="exact"/>
        <w:rPr>
          <w:sz w:val="20"/>
          <w:szCs w:val="20"/>
          <w:color w:val="auto"/>
        </w:rPr>
      </w:pPr>
    </w:p>
    <w:p>
      <w:pPr>
        <w:jc w:val="both"/>
        <w:ind w:left="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128" w:lineRule="exact"/>
        <w:rPr>
          <w:sz w:val="20"/>
          <w:szCs w:val="20"/>
          <w:color w:val="auto"/>
        </w:rPr>
      </w:pPr>
    </w:p>
    <w:p>
      <w:pPr>
        <w:ind w:left="385" w:firstLine="4"/>
        <w:spacing w:after="0" w:line="287" w:lineRule="auto"/>
        <w:tabs>
          <w:tab w:leader="none" w:pos="80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385" w:firstLine="4"/>
        <w:spacing w:after="0" w:line="255" w:lineRule="auto"/>
        <w:tabs>
          <w:tab w:leader="none" w:pos="84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 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30" w:lineRule="exact"/>
        <w:rPr>
          <w:rFonts w:ascii="Arial" w:cs="Arial" w:eastAsia="Arial" w:hAnsi="Arial"/>
          <w:sz w:val="18"/>
          <w:szCs w:val="18"/>
          <w:color w:val="auto"/>
        </w:rPr>
      </w:pPr>
    </w:p>
    <w:p>
      <w:pPr>
        <w:jc w:val="both"/>
        <w:ind w:left="385" w:firstLine="4"/>
        <w:spacing w:after="0" w:line="259" w:lineRule="auto"/>
        <w:tabs>
          <w:tab w:leader="none" w:pos="93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 constitutes a material change in the geographic location at which the Employee is required to perform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25"/>
          </w:cols>
          <w:pgMar w:left="1235" w:top="1174" w:right="339" w:bottom="1440" w:gutter="0" w:footer="0" w:header="0"/>
        </w:sectPr>
      </w:pPr>
    </w:p>
    <w:bookmarkStart w:id="90" w:name="page91"/>
    <w:bookmarkEnd w:id="90"/>
    <w:p>
      <w:pPr>
        <w:jc w:val="both"/>
        <w:ind w:left="1130" w:firstLine="4"/>
        <w:spacing w:after="0" w:line="256" w:lineRule="auto"/>
        <w:tabs>
          <w:tab w:leader="none" w:pos="163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1130" w:firstLine="4"/>
        <w:spacing w:after="0" w:line="287" w:lineRule="auto"/>
        <w:tabs>
          <w:tab w:leader="none" w:pos="157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99" w:lineRule="exact"/>
        <w:rPr>
          <w:sz w:val="20"/>
          <w:szCs w:val="20"/>
          <w:color w:val="auto"/>
        </w:rPr>
      </w:pPr>
    </w:p>
    <w:p>
      <w:pPr>
        <w:jc w:val="both"/>
        <w:ind w:left="750"/>
        <w:spacing w:after="0" w:line="259" w:lineRule="auto"/>
        <w:rPr>
          <w:sz w:val="20"/>
          <w:szCs w:val="20"/>
          <w:color w:val="auto"/>
        </w:rPr>
      </w:pPr>
      <w:r>
        <w:rPr>
          <w:rFonts w:ascii="Arial" w:cs="Arial" w:eastAsia="Arial" w:hAnsi="Arial"/>
          <w:sz w:val="18"/>
          <w:szCs w:val="18"/>
          <w:color w:val="auto"/>
        </w:rPr>
        <w:t>A termination by the Employee of his or her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125" w:lineRule="exact"/>
        <w:rPr>
          <w:sz w:val="20"/>
          <w:szCs w:val="20"/>
          <w:color w:val="auto"/>
        </w:rPr>
      </w:pPr>
    </w:p>
    <w:p>
      <w:pPr>
        <w:jc w:val="both"/>
        <w:ind w:left="650" w:hanging="423"/>
        <w:spacing w:after="0" w:line="256" w:lineRule="auto"/>
        <w:tabs>
          <w:tab w:leader="none" w:pos="851"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or services to the Employer in connection with the Employer’s sale (whether by sale of assets or a subsidiary, or both) of a line of business within which the Employee was employed or providing services immediately prior to such sale as determined by the Committee in its sole discretion, that does not constitute a Change in Control, shall be treated as an involuntary termination of employment or services for purposes of this Agreement and the PRSUs shall vest and be paid as provided in Section 8(a)(iii) above; provided, that, in the event the Employee is offered a comparable position with the acquirer of such line of business and does not accept such offer, the PRSUs shall be cancelled and forfeited on the date of termination of employment or services.</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38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PRSUs.</w:t>
      </w:r>
    </w:p>
    <w:p>
      <w:pPr>
        <w:spacing w:after="0" w:line="128" w:lineRule="exact"/>
        <w:rPr>
          <w:rFonts w:ascii="Arial" w:cs="Arial" w:eastAsia="Arial" w:hAnsi="Arial"/>
          <w:sz w:val="18"/>
          <w:szCs w:val="18"/>
          <w:color w:val="auto"/>
        </w:rPr>
      </w:pPr>
    </w:p>
    <w:p>
      <w:pPr>
        <w:ind w:left="450" w:hanging="450"/>
        <w:spacing w:after="0"/>
        <w:tabs>
          <w:tab w:leader="none" w:pos="45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50" w:hanging="407"/>
        <w:spacing w:after="0" w:line="253" w:lineRule="auto"/>
        <w:tabs>
          <w:tab w:leader="none" w:pos="716"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Employee acknowledges and agrees that, regardless of any action taken by the Company or, if different, the Employer, the ultimate liability for all income tax, social insurance, payroll tax, fringe benefits tax, payment on account or other tax-related items related to the Employee’s participation in the Plan and legally applicable or deemed applicable to the Employee (“</w:t>
      </w:r>
      <w:r>
        <w:rPr>
          <w:rFonts w:ascii="Arial" w:cs="Arial" w:eastAsia="Arial" w:hAnsi="Arial"/>
          <w:sz w:val="18"/>
          <w:szCs w:val="18"/>
          <w:b w:val="1"/>
          <w:bCs w:val="1"/>
          <w:i w:val="1"/>
          <w:iCs w:val="1"/>
          <w:color w:val="auto"/>
        </w:rPr>
        <w:t>Tax-Related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Items</w:t>
      </w:r>
      <w:r>
        <w:rPr>
          <w:rFonts w:ascii="Arial" w:cs="Arial" w:eastAsia="Arial" w:hAnsi="Arial"/>
          <w:sz w:val="18"/>
          <w:szCs w:val="18"/>
          <w:color w:val="auto"/>
        </w:rPr>
        <w:t>”) is and remains the Employee’s responsibility and may exceed the amount, if any, actually withheld by the Company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The Employee further acknowledges that the Company and/or the Employer (i) make no representations or undertakings regarding the treatment of any Tax-Related Items in connection with any aspect of the PRSUs or the underlying shares of Common Stock, including, but not limited to, the grant, vesting or settlement of the PRSUs, the subsequent sale of shares of Common Stock acquired upon the settlement of the PRSUs and the receipt of any dividends; and (ii) do not commit to and are under no obligation to structure the terms of the grant or any aspect of the PRSUs to reduce or eliminate the Employee’s liability for Tax-Related Items or to achieve any particular tax result. Further, if the Employee is subject to Tax-Related Items in more than one jurisdiction, the Employee acknowledges that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70"/>
          </w:cols>
          <w:pgMar w:left="490" w:top="1174" w:right="339" w:bottom="1440" w:gutter="0" w:footer="0" w:header="0"/>
        </w:sectPr>
      </w:pPr>
    </w:p>
    <w:bookmarkStart w:id="91" w:name="page92"/>
    <w:bookmarkEnd w:id="91"/>
    <w:p>
      <w:pPr>
        <w:jc w:val="both"/>
        <w:ind w:left="650" w:hanging="407"/>
        <w:spacing w:after="0" w:line="253" w:lineRule="auto"/>
        <w:tabs>
          <w:tab w:leader="none" w:pos="791" w:val="left"/>
        </w:tabs>
        <w:numPr>
          <w:ilvl w:val="1"/>
          <w:numId w:val="96"/>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Employee agrees to make adequate arrangements satisfactory to the Company and/or the Employer to satisfy all Tax-Related Items. In this regard, the Employee authorizes the Company and/or the Employer, or their respective agents, at their discretion, to satisfy any applicable withholding obligations with regard to all Tax-Related Items by one or a combination of the following: (i) requiring the Employee to make a payment in a form acceptable to the Company, (ii) withholding from the Employee’s wages or other compensation payable to the Employee, (iii) withholding from proceeds of the sale of the shares of Common Stock acquired upon the settlement of the PRSUs either through a voluntary sale or through a mandatory sale arranged by the Company (on the Employee’s behalf pursuant to this authorization without further consent), (iv) withholding from the shares of Common Stock otherwise issuable at vesting of the PRSUs, provided, however, that if the Employee is subject to the reporting and other provisions of Section 16 of the Exchange Act, the Company shall affirmatively approve, by Board action, any such withholding of shares of Common Stock as contemplated in the immediately preceding proviso, or (v) any other method of withholding determined by the Company and, to the extent required by applicable law or the Plan, approved by the Committee.</w:t>
      </w:r>
    </w:p>
    <w:p>
      <w:pPr>
        <w:spacing w:after="0" w:line="189" w:lineRule="exact"/>
        <w:rPr>
          <w:rFonts w:ascii="Arial" w:cs="Arial" w:eastAsia="Arial" w:hAnsi="Arial"/>
          <w:sz w:val="18"/>
          <w:szCs w:val="18"/>
          <w:color w:val="auto"/>
        </w:rPr>
      </w:pPr>
    </w:p>
    <w:p>
      <w:pPr>
        <w:jc w:val="both"/>
        <w:ind w:left="650" w:hanging="407"/>
        <w:spacing w:after="0" w:line="255" w:lineRule="auto"/>
        <w:tabs>
          <w:tab w:leader="none" w:pos="708"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Company and/or the Employer may withhold or account for Tax-Related Items by considering statutory withholding rates or other withholding rates, including maximum rates applicable in the Employee’s jurisdiction(s). In the event of over-withholding, the Employee may receive a refund of any over-withheld amount in cash (with no entitlement to the equivalent in shares of Common Stock) or, if not refunded, the Employee may seek a refund from the local tax authorities. In the event of under-withholding, the Employee may be required to pay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subject to the vested PRSUs, notwithstanding that a number of the shares of Common Stock is held back solely for the purpose of paying the Tax-Related Items.</w:t>
      </w:r>
    </w:p>
    <w:p>
      <w:pPr>
        <w:spacing w:after="0" w:line="184" w:lineRule="exact"/>
        <w:rPr>
          <w:rFonts w:ascii="Arial" w:cs="Arial" w:eastAsia="Arial" w:hAnsi="Arial"/>
          <w:sz w:val="18"/>
          <w:szCs w:val="18"/>
          <w:color w:val="auto"/>
        </w:rPr>
      </w:pPr>
    </w:p>
    <w:p>
      <w:pPr>
        <w:jc w:val="both"/>
        <w:ind w:left="650" w:hanging="407"/>
        <w:spacing w:after="0" w:line="259" w:lineRule="auto"/>
        <w:tabs>
          <w:tab w:leader="none" w:pos="794"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Employee agrees to pay to the Company or the Employer any amount of Tax-Related Items that the Company or the Employer may be required to withhold or account for as a result of the Employe’s participation in the Plan that cannot be satisfied by the means previously described. The Company may refuse to issue or deliver the shares of Common Stock or the proceeds of the sale of the shares of Common Stock acquired upon the vesting of the PRSUs, if the Employee fails to comply with the Employee's obligations in connection with the Tax-Related Items.</w:t>
      </w:r>
    </w:p>
    <w:p>
      <w:pPr>
        <w:spacing w:after="0" w:line="125" w:lineRule="exact"/>
        <w:rPr>
          <w:rFonts w:ascii="Arial" w:cs="Arial" w:eastAsia="Arial" w:hAnsi="Arial"/>
          <w:sz w:val="18"/>
          <w:szCs w:val="18"/>
          <w:color w:val="auto"/>
        </w:rPr>
      </w:pPr>
    </w:p>
    <w:p>
      <w:pPr>
        <w:ind w:left="430" w:hanging="430"/>
        <w:spacing w:after="0"/>
        <w:tabs>
          <w:tab w:leader="none" w:pos="43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650" w:right="20" w:hanging="407"/>
        <w:spacing w:after="0" w:line="268" w:lineRule="auto"/>
        <w:tabs>
          <w:tab w:leader="none" w:pos="714"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PRSUs are subject to modification and adjustment under Section 9(c) of the Plan;</w:t>
      </w:r>
    </w:p>
    <w:p>
      <w:pPr>
        <w:spacing w:after="0" w:line="116" w:lineRule="exact"/>
        <w:rPr>
          <w:rFonts w:ascii="Arial" w:cs="Arial" w:eastAsia="Arial" w:hAnsi="Arial"/>
          <w:sz w:val="18"/>
          <w:szCs w:val="18"/>
          <w:color w:val="auto"/>
        </w:rPr>
      </w:pPr>
    </w:p>
    <w:p>
      <w:pPr>
        <w:ind w:left="250" w:right="20" w:firstLine="74"/>
        <w:spacing w:after="0" w:line="287" w:lineRule="auto"/>
        <w:tabs>
          <w:tab w:leader="none" w:pos="1131"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98" w:lineRule="exact"/>
        <w:rPr>
          <w:rFonts w:ascii="Arial" w:cs="Arial" w:eastAsia="Arial" w:hAnsi="Arial"/>
          <w:sz w:val="18"/>
          <w:szCs w:val="18"/>
          <w:color w:val="auto"/>
        </w:rPr>
      </w:pPr>
    </w:p>
    <w:p>
      <w:pPr>
        <w:ind w:left="250" w:right="20" w:firstLine="74"/>
        <w:spacing w:after="0" w:line="287" w:lineRule="auto"/>
        <w:tabs>
          <w:tab w:leader="none" w:pos="1131" w:val="left"/>
        </w:tabs>
        <w:numPr>
          <w:ilvl w:val="2"/>
          <w:numId w:val="97"/>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250" w:firstLine="74"/>
        <w:spacing w:after="0" w:line="268" w:lineRule="auto"/>
        <w:tabs>
          <w:tab w:leader="none" w:pos="1135"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PRSU award and the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1130" w:hanging="806"/>
        <w:spacing w:after="0"/>
        <w:tabs>
          <w:tab w:leader="none" w:pos="113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70"/>
          </w:cols>
          <w:pgMar w:left="490" w:top="1174" w:right="339" w:bottom="1440" w:gutter="0" w:footer="0" w:header="0"/>
        </w:sectPr>
      </w:pPr>
    </w:p>
    <w:bookmarkStart w:id="92" w:name="page93"/>
    <w:bookmarkEnd w:id="92"/>
    <w:p>
      <w:pPr>
        <w:jc w:val="both"/>
        <w:ind w:left="250" w:firstLine="74"/>
        <w:spacing w:after="0" w:line="268" w:lineRule="auto"/>
        <w:tabs>
          <w:tab w:leader="none" w:pos="113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250" w:right="20" w:firstLine="74"/>
        <w:spacing w:after="0" w:line="287" w:lineRule="auto"/>
        <w:tabs>
          <w:tab w:leader="none" w:pos="11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98" w:lineRule="exact"/>
        <w:rPr>
          <w:rFonts w:ascii="Arial" w:cs="Arial" w:eastAsia="Arial" w:hAnsi="Arial"/>
          <w:sz w:val="18"/>
          <w:szCs w:val="18"/>
          <w:color w:val="auto"/>
        </w:rPr>
      </w:pPr>
    </w:p>
    <w:p>
      <w:pPr>
        <w:jc w:val="both"/>
        <w:ind w:left="250" w:firstLine="74"/>
        <w:spacing w:after="0" w:line="262" w:lineRule="auto"/>
        <w:tabs>
          <w:tab w:leader="none" w:pos="113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22" w:lineRule="exact"/>
        <w:rPr>
          <w:rFonts w:ascii="Arial" w:cs="Arial" w:eastAsia="Arial" w:hAnsi="Arial"/>
          <w:sz w:val="18"/>
          <w:szCs w:val="18"/>
          <w:color w:val="auto"/>
        </w:rPr>
      </w:pPr>
    </w:p>
    <w:p>
      <w:pPr>
        <w:ind w:left="1130" w:hanging="806"/>
        <w:spacing w:after="0"/>
        <w:tabs>
          <w:tab w:leader="none" w:pos="113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sz w:val="20"/>
          <w:szCs w:val="20"/>
          <w:color w:val="auto"/>
        </w:rPr>
      </w:pPr>
    </w:p>
    <w:p>
      <w:pPr>
        <w:jc w:val="both"/>
        <w:ind w:left="250" w:firstLine="81"/>
        <w:spacing w:after="0" w:line="257" w:lineRule="auto"/>
        <w:rPr>
          <w:sz w:val="20"/>
          <w:szCs w:val="20"/>
          <w:color w:val="auto"/>
        </w:rPr>
      </w:pPr>
      <w:r>
        <w:rPr>
          <w:rFonts w:ascii="Arial" w:cs="Arial" w:eastAsia="Arial" w:hAnsi="Arial"/>
          <w:sz w:val="18"/>
          <w:szCs w:val="18"/>
          <w:color w:val="auto"/>
        </w:rPr>
        <w:t>(i)in consideration of the award of the PRSUs, no claim or entitlement to compensation or damages shall arise from forfeiture of the PRSUs, including, but not limited to, forfeiture resulting from termination of the Employee’s employment with or services to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28" w:lineRule="exact"/>
        <w:rPr>
          <w:sz w:val="20"/>
          <w:szCs w:val="20"/>
          <w:color w:val="auto"/>
        </w:rPr>
      </w:pPr>
    </w:p>
    <w:p>
      <w:pPr>
        <w:jc w:val="both"/>
        <w:ind w:left="250" w:right="20" w:firstLine="81"/>
        <w:spacing w:after="0" w:line="287" w:lineRule="auto"/>
        <w:rPr>
          <w:sz w:val="20"/>
          <w:szCs w:val="20"/>
          <w:color w:val="auto"/>
        </w:rPr>
      </w:pPr>
      <w:r>
        <w:rPr>
          <w:rFonts w:ascii="Arial" w:cs="Arial" w:eastAsia="Arial" w:hAnsi="Arial"/>
          <w:sz w:val="18"/>
          <w:szCs w:val="18"/>
          <w:color w:val="auto"/>
        </w:rPr>
        <w:t>(j)subject to the provisions in the Plan regarding Change in Control, PRSUs and the benefits under the Plan, if any, will not automatically transfer to another company in the case of a merger, take-over or transfer of liability.</w:t>
      </w:r>
    </w:p>
    <w:p>
      <w:pPr>
        <w:spacing w:after="0" w:line="99" w:lineRule="exact"/>
        <w:rPr>
          <w:sz w:val="20"/>
          <w:szCs w:val="20"/>
          <w:color w:val="auto"/>
        </w:rPr>
      </w:pPr>
    </w:p>
    <w:p>
      <w:pPr>
        <w:jc w:val="both"/>
        <w:ind w:left="10" w:hanging="10"/>
        <w:spacing w:after="0" w:line="262" w:lineRule="auto"/>
        <w:tabs>
          <w:tab w:leader="none" w:pos="58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the Employee’s own personal tax, legal and financial advisors regarding the Employee’s participation in the Plan before taking any action related to the Plan.</w:t>
      </w:r>
    </w:p>
    <w:p>
      <w:pPr>
        <w:spacing w:after="0" w:line="122" w:lineRule="exact"/>
        <w:rPr>
          <w:rFonts w:ascii="Arial" w:cs="Arial" w:eastAsia="Arial" w:hAnsi="Arial"/>
          <w:sz w:val="18"/>
          <w:szCs w:val="18"/>
          <w:color w:val="auto"/>
        </w:rPr>
      </w:pPr>
    </w:p>
    <w:p>
      <w:pPr>
        <w:jc w:val="both"/>
        <w:ind w:left="10" w:hanging="10"/>
        <w:spacing w:after="0" w:line="253"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settlement of the PRSUs prior to the completion of any registration or qualification of the Common Stock under any U.S. or non-U.S. local, state or federal securities or other applicable law or under rulings or regulations of the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of any other U.S. or non-U.S. governmental regulatory body, or prior to obtaining any approval or other clearance from any U.S. or non-U.S. local, state or federal governmental agency, which registration, qualification or approval the Company shall, in its absolute discretion, deem necessary or advisable. The Employee understands that the Company is under no obligation to register or qualify the shares of Common Stock subject to the PRSUs with the SEC or any U.S. state or non-U.S. securities commission or to seek approval or clearance from any governmental authority for the issuance or sale of the Common Stock. Further, the Employee agrees that the Company shall have unilateral authority to amend the Plan and this Agreement without the Employee’s consent to the extent necessary to comply with securities or other laws applicable to the issuance of the shares of Common Stock.</w:t>
      </w:r>
    </w:p>
    <w:p>
      <w:pPr>
        <w:spacing w:after="0" w:line="135" w:lineRule="exact"/>
        <w:rPr>
          <w:rFonts w:ascii="Arial" w:cs="Arial" w:eastAsia="Arial" w:hAnsi="Arial"/>
          <w:sz w:val="18"/>
          <w:szCs w:val="18"/>
          <w:color w:val="auto"/>
        </w:rPr>
      </w:pPr>
    </w:p>
    <w:p>
      <w:pPr>
        <w:ind w:left="10" w:hanging="10"/>
        <w:spacing w:after="0" w:line="287" w:lineRule="auto"/>
        <w:tabs>
          <w:tab w:leader="none" w:pos="52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98" w:lineRule="exact"/>
        <w:rPr>
          <w:rFonts w:ascii="Arial" w:cs="Arial" w:eastAsia="Arial" w:hAnsi="Arial"/>
          <w:sz w:val="18"/>
          <w:szCs w:val="18"/>
          <w:color w:val="auto"/>
        </w:rPr>
      </w:pPr>
    </w:p>
    <w:p>
      <w:pPr>
        <w:jc w:val="both"/>
        <w:ind w:left="10" w:hanging="10"/>
        <w:spacing w:after="0" w:line="265" w:lineRule="auto"/>
        <w:tabs>
          <w:tab w:leader="none" w:pos="55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Except where otherwise prohibited under applicable law, by executing this Agreement and accepting the PRSUs and the delivery of any shares of Common Stock hereunder, the Employee expressly acknowledges and agrees to be bound by and to comply with all of the terms and conditions contained in the Non-Competition and Non-Solicitation Agreement set forth as Exhibit B to this Agreement and incorporated herein by reference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70"/>
          </w:cols>
          <w:pgMar w:left="490" w:top="1174" w:right="339" w:bottom="1440" w:gutter="0" w:footer="0" w:header="0"/>
        </w:sectPr>
      </w:pPr>
    </w:p>
    <w:bookmarkStart w:id="93" w:name="page94"/>
    <w:bookmarkEnd w:id="93"/>
    <w:p>
      <w:pPr>
        <w:jc w:val="both"/>
        <w:ind w:left="10" w:hanging="10"/>
        <w:spacing w:after="0" w:line="282" w:lineRule="auto"/>
        <w:tabs>
          <w:tab w:leader="none" w:pos="487"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Recoupment</w:t>
      </w:r>
      <w:r>
        <w:rPr>
          <w:rFonts w:ascii="Arial" w:cs="Arial" w:eastAsia="Arial" w:hAnsi="Arial"/>
          <w:sz w:val="17"/>
          <w:szCs w:val="17"/>
          <w:color w:val="auto"/>
        </w:rPr>
        <w:t>. This Award shall be subject to (i) the Conduent Incorporated Compensation Recoupment Policy, as may be amended from time to time, or any successor policy and (ii) any other compensation recovery policy adopted after the PRSUs are granted to facilitate compliance with applicable law, including in response to the requirements of Section 10D of the Exchange Act, the U.S. Securities and Exchange Commission’s final rules thereunder, and any applicable listing rules or other rules and regulations implementing the foregoing.</w:t>
      </w:r>
    </w:p>
    <w:p>
      <w:pPr>
        <w:spacing w:after="0" w:line="10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For purposes of this Section 16, the Employee expressly and explicitly authorizes the Company to issue instructions, on the Employee's behalf, to any brokerage firm and/or third party administrator engaged by the Company to hold any shares of Common Stock and other amounts acquired pursuant to the PRSUs to re-convey, transfer or otherwise return such shares of Common Stock and/or other amounts to the Company upon the Company’s enforcement of the Company’s recoupment policy, the Company’s clawback policy, if any, and any other compensation recovery policy adopted by the Board or the Committee.</w:t>
      </w:r>
    </w:p>
    <w:p>
      <w:pPr>
        <w:spacing w:after="0" w:line="125" w:lineRule="exact"/>
        <w:rPr>
          <w:sz w:val="20"/>
          <w:szCs w:val="20"/>
          <w:color w:val="auto"/>
        </w:rPr>
      </w:pPr>
    </w:p>
    <w:p>
      <w:pPr>
        <w:ind w:left="10" w:hanging="10"/>
        <w:spacing w:after="0" w:line="287" w:lineRule="auto"/>
        <w:tabs>
          <w:tab w:leader="none" w:pos="554"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jc w:val="both"/>
        <w:ind w:left="650" w:hanging="407"/>
        <w:spacing w:after="0" w:line="268" w:lineRule="auto"/>
        <w:tabs>
          <w:tab w:leader="none" w:pos="6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16" w:lineRule="exact"/>
        <w:rPr>
          <w:rFonts w:ascii="Arial" w:cs="Arial" w:eastAsia="Arial" w:hAnsi="Arial"/>
          <w:sz w:val="18"/>
          <w:szCs w:val="18"/>
          <w:color w:val="auto"/>
        </w:rPr>
      </w:pPr>
    </w:p>
    <w:p>
      <w:pPr>
        <w:jc w:val="both"/>
        <w:ind w:left="650" w:hanging="407"/>
        <w:spacing w:after="0" w:line="262" w:lineRule="auto"/>
        <w:tabs>
          <w:tab w:leader="none" w:pos="6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22" w:lineRule="exact"/>
        <w:rPr>
          <w:rFonts w:ascii="Arial" w:cs="Arial" w:eastAsia="Arial" w:hAnsi="Arial"/>
          <w:sz w:val="18"/>
          <w:szCs w:val="18"/>
          <w:color w:val="auto"/>
        </w:rPr>
      </w:pPr>
    </w:p>
    <w:p>
      <w:pPr>
        <w:jc w:val="both"/>
        <w:ind w:left="65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the Employee has made such report or disclosure, or of the Employee’s participation in an agency investigation or proceeding.</w:t>
      </w:r>
    </w:p>
    <w:p>
      <w:pPr>
        <w:spacing w:after="0" w:line="128" w:lineRule="exact"/>
        <w:rPr>
          <w:rFonts w:ascii="Arial" w:cs="Arial" w:eastAsia="Arial" w:hAnsi="Arial"/>
          <w:sz w:val="18"/>
          <w:szCs w:val="18"/>
          <w:color w:val="auto"/>
        </w:rPr>
      </w:pPr>
    </w:p>
    <w:p>
      <w:pPr>
        <w:jc w:val="both"/>
        <w:ind w:left="650" w:hanging="407"/>
        <w:spacing w:after="0" w:line="259" w:lineRule="auto"/>
        <w:tabs>
          <w:tab w:leader="none" w:pos="64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25" w:lineRule="exact"/>
        <w:rPr>
          <w:rFonts w:ascii="Arial" w:cs="Arial" w:eastAsia="Arial" w:hAnsi="Arial"/>
          <w:sz w:val="18"/>
          <w:szCs w:val="18"/>
          <w:color w:val="auto"/>
        </w:rPr>
      </w:pPr>
    </w:p>
    <w:p>
      <w:pPr>
        <w:jc w:val="both"/>
        <w:ind w:left="650" w:hanging="407"/>
        <w:spacing w:after="0" w:line="256" w:lineRule="auto"/>
        <w:tabs>
          <w:tab w:leader="none" w:pos="6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jc w:val="both"/>
        <w:ind w:left="10" w:hanging="10"/>
        <w:spacing w:after="0" w:line="268" w:lineRule="auto"/>
        <w:tabs>
          <w:tab w:leader="none" w:pos="514"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116" w:lineRule="exact"/>
        <w:rPr>
          <w:rFonts w:ascii="Arial" w:cs="Arial" w:eastAsia="Arial" w:hAnsi="Arial"/>
          <w:sz w:val="18"/>
          <w:szCs w:val="18"/>
          <w:color w:val="auto"/>
        </w:rPr>
      </w:pPr>
    </w:p>
    <w:p>
      <w:pPr>
        <w:ind w:left="10" w:hanging="10"/>
        <w:spacing w:after="0" w:line="287" w:lineRule="auto"/>
        <w:tabs>
          <w:tab w:leader="none" w:pos="487"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70"/>
          </w:cols>
          <w:pgMar w:left="490" w:top="1174" w:right="339" w:bottom="1440" w:gutter="0" w:footer="0" w:header="0"/>
        </w:sectPr>
      </w:pPr>
    </w:p>
    <w:bookmarkStart w:id="94" w:name="page95"/>
    <w:bookmarkEnd w:id="94"/>
    <w:p>
      <w:pPr>
        <w:jc w:val="both"/>
        <w:ind w:left="10" w:hanging="10"/>
        <w:spacing w:after="0" w:line="259" w:lineRule="auto"/>
        <w:tabs>
          <w:tab w:leader="none" w:pos="47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25" w:lineRule="exact"/>
        <w:rPr>
          <w:rFonts w:ascii="Arial" w:cs="Arial" w:eastAsia="Arial" w:hAnsi="Arial"/>
          <w:sz w:val="18"/>
          <w:szCs w:val="18"/>
          <w:color w:val="auto"/>
        </w:rPr>
      </w:pPr>
    </w:p>
    <w:p>
      <w:pPr>
        <w:jc w:val="both"/>
        <w:ind w:left="10" w:hanging="10"/>
        <w:spacing w:after="0" w:line="257" w:lineRule="auto"/>
        <w:tabs>
          <w:tab w:leader="none" w:pos="51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10" w:hanging="10"/>
        <w:spacing w:after="0" w:line="287"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10" w:hanging="10"/>
        <w:spacing w:after="0" w:line="255" w:lineRule="auto"/>
        <w:tabs>
          <w:tab w:leader="none" w:pos="58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any actions taken under or relating to this Agreement, and any disputes arising out of or related to this Agreement, shall be governed by and construed in accordance with the laws of the United States and the laws of the State of Delaware without giving effect to any choice or conflict of law provision or rule (whether of the State of Delaware or any other jurisdiction) that would cause the application of the laws of any jurisdiction other than the United States and the State or Delaware. This grant is made and/or administered in the United States. For purposes of litigating any dispute that arises under this grant or the Agreement the parties hereby submit to and consent to the jurisdiction of the State of Delaware, and agree that such litigation shall only be conducted in the state or federal courts located in Delaware to the exclusion of all other courts and fora. By accepting the PRSUs, the Employee irrevocably consents to the jurisdiction of, and venue in, such courts and waives any objection that such courts are an inconvenient forum.</w:t>
      </w:r>
    </w:p>
    <w:p>
      <w:pPr>
        <w:spacing w:after="0" w:line="126" w:lineRule="exact"/>
        <w:rPr>
          <w:rFonts w:ascii="Arial" w:cs="Arial" w:eastAsia="Arial" w:hAnsi="Arial"/>
          <w:sz w:val="18"/>
          <w:szCs w:val="18"/>
          <w:color w:val="auto"/>
        </w:rPr>
      </w:pPr>
    </w:p>
    <w:p>
      <w:pPr>
        <w:jc w:val="both"/>
        <w:ind w:left="10" w:hanging="10"/>
        <w:spacing w:after="0" w:line="268" w:lineRule="auto"/>
        <w:tabs>
          <w:tab w:leader="none" w:pos="31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1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25" w:lineRule="exact"/>
        <w:rPr>
          <w:sz w:val="20"/>
          <w:szCs w:val="20"/>
          <w:color w:val="auto"/>
        </w:rPr>
      </w:pPr>
    </w:p>
    <w:p>
      <w:pPr>
        <w:jc w:val="both"/>
        <w:ind w:left="10"/>
        <w:spacing w:after="0" w:line="26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2" w:lineRule="exact"/>
        <w:rPr>
          <w:sz w:val="20"/>
          <w:szCs w:val="20"/>
          <w:color w:val="auto"/>
        </w:rPr>
      </w:pPr>
    </w:p>
    <w:p>
      <w:pPr>
        <w:jc w:val="both"/>
        <w:ind w:left="10" w:hanging="10"/>
        <w:spacing w:after="0" w:line="255" w:lineRule="auto"/>
        <w:tabs>
          <w:tab w:leader="none" w:pos="29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28" w:lineRule="exact"/>
        <w:rPr>
          <w:sz w:val="20"/>
          <w:szCs w:val="20"/>
          <w:color w:val="auto"/>
        </w:rPr>
      </w:pPr>
    </w:p>
    <w:p>
      <w:pPr>
        <w:jc w:val="both"/>
        <w:ind w:left="10"/>
        <w:spacing w:after="0" w:line="282" w:lineRule="auto"/>
        <w:rPr>
          <w:sz w:val="20"/>
          <w:szCs w:val="20"/>
          <w:color w:val="auto"/>
        </w:rPr>
      </w:pPr>
      <w:r>
        <w:rPr>
          <w:rFonts w:ascii="Arial" w:cs="Arial" w:eastAsia="Arial" w:hAnsi="Arial"/>
          <w:sz w:val="17"/>
          <w:szCs w:val="17"/>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70"/>
          </w:cols>
          <w:pgMar w:left="490" w:top="1174" w:right="339" w:bottom="1440" w:gutter="0" w:footer="0" w:header="0"/>
        </w:sectPr>
      </w:pPr>
    </w:p>
    <w:bookmarkStart w:id="95" w:name="page96"/>
    <w:bookmarkEnd w:id="95"/>
    <w:p>
      <w:pPr>
        <w:ind w:left="10"/>
        <w:spacing w:after="0" w:line="287" w:lineRule="auto"/>
        <w:rPr>
          <w:sz w:val="20"/>
          <w:szCs w:val="20"/>
          <w:color w:val="auto"/>
        </w:rPr>
      </w:pPr>
      <w:r>
        <w:rPr>
          <w:rFonts w:ascii="Arial" w:cs="Arial" w:eastAsia="Arial" w:hAnsi="Arial"/>
          <w:sz w:val="18"/>
          <w:szCs w:val="18"/>
          <w:color w:val="auto"/>
        </w:rPr>
        <w:t>(including any taxes and penalties under Section 409A), and neither the Company nor any of its Affiliates shall have any obligation to indemnify or otherwise hold the Employee harmless from any or all of such taxes or penalties.</w:t>
      </w:r>
    </w:p>
    <w:p>
      <w:pPr>
        <w:spacing w:after="0" w:line="99" w:lineRule="exact"/>
        <w:rPr>
          <w:sz w:val="20"/>
          <w:szCs w:val="20"/>
          <w:color w:val="auto"/>
        </w:rPr>
      </w:pPr>
    </w:p>
    <w:p>
      <w:pPr>
        <w:ind w:left="450" w:hanging="450"/>
        <w:spacing w:after="0"/>
        <w:tabs>
          <w:tab w:leader="none" w:pos="45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30" w:hanging="391"/>
        <w:spacing w:after="0" w:line="257" w:lineRule="auto"/>
        <w:tabs>
          <w:tab w:leader="none" w:pos="755"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Data Collection and Usage</w:t>
      </w:r>
      <w:r>
        <w:rPr>
          <w:rFonts w:ascii="Arial" w:cs="Arial" w:eastAsia="Arial" w:hAnsi="Arial"/>
          <w:sz w:val="18"/>
          <w:szCs w:val="18"/>
          <w:color w:val="auto"/>
        </w:rPr>
        <w:t>. The Company and the Employer collect, process and use certain personal information about the Employee, including, but not limited to, the Employee’s name, home address and telephone number, email address, date of birth, social insurance, passport or other identification number, salary, nationality, job title, any shares of Common Stock or directorships held in the Company, details of all PRSUs or any other entitlement to shares or equivalent benefits awarded, canceled, exercised, vested, unvested or outstanding in the Employee’s favor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for the purposes of implementing, administering and managing the Plan. The legal basis, where required, for the processing of Data is the Employee’s consent.</w:t>
      </w:r>
    </w:p>
    <w:p>
      <w:pPr>
        <w:spacing w:after="0" w:line="128" w:lineRule="exact"/>
        <w:rPr>
          <w:rFonts w:ascii="Arial" w:cs="Arial" w:eastAsia="Arial" w:hAnsi="Arial"/>
          <w:sz w:val="18"/>
          <w:szCs w:val="18"/>
          <w:color w:val="auto"/>
        </w:rPr>
      </w:pPr>
    </w:p>
    <w:p>
      <w:pPr>
        <w:jc w:val="both"/>
        <w:ind w:left="630" w:hanging="391"/>
        <w:spacing w:after="0" w:line="259" w:lineRule="auto"/>
        <w:tabs>
          <w:tab w:leader="none" w:pos="742"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It may be necessary for Data to be transferred to, and processed in, the U.S. If the Employee is outside of the U.S., the Employee should note that the Employee's country has enacted data privacy laws that are different from the U.S. As a result, in the absence of appropriate safeguards, the transfer of Data to the U.S. or, as the case may be, other countries might not be subject to substantive data processing principles or supervision by data protection authorities. The Company’s legal basis, where required, for the transfer of Data is the Employee’s consent.</w:t>
      </w:r>
    </w:p>
    <w:p>
      <w:pPr>
        <w:spacing w:after="0" w:line="125" w:lineRule="exact"/>
        <w:rPr>
          <w:rFonts w:ascii="Arial" w:cs="Arial" w:eastAsia="Arial" w:hAnsi="Arial"/>
          <w:sz w:val="18"/>
          <w:szCs w:val="18"/>
          <w:color w:val="auto"/>
        </w:rPr>
      </w:pPr>
    </w:p>
    <w:p>
      <w:pPr>
        <w:jc w:val="both"/>
        <w:ind w:left="630" w:hanging="391"/>
        <w:spacing w:after="0" w:line="268" w:lineRule="auto"/>
        <w:tabs>
          <w:tab w:leader="none" w:pos="732"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the Employee’s participation in the Plan, or as required to comply with legal or regulatory obligations, including under tax, exchange control, labor and securities laws.</w:t>
      </w:r>
    </w:p>
    <w:p>
      <w:pPr>
        <w:spacing w:after="0" w:line="116" w:lineRule="exact"/>
        <w:rPr>
          <w:rFonts w:ascii="Arial" w:cs="Arial" w:eastAsia="Arial" w:hAnsi="Arial"/>
          <w:sz w:val="18"/>
          <w:szCs w:val="18"/>
          <w:color w:val="auto"/>
        </w:rPr>
      </w:pPr>
    </w:p>
    <w:p>
      <w:pPr>
        <w:jc w:val="both"/>
        <w:ind w:left="630" w:hanging="391"/>
        <w:spacing w:after="0" w:line="259" w:lineRule="auto"/>
        <w:tabs>
          <w:tab w:leader="none" w:pos="742"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Voluntariness and Consequences of Consent Denial or Withdrawal</w:t>
      </w:r>
      <w:r>
        <w:rPr>
          <w:rFonts w:ascii="Arial" w:cs="Arial" w:eastAsia="Arial" w:hAnsi="Arial"/>
          <w:sz w:val="18"/>
          <w:szCs w:val="18"/>
          <w:color w:val="auto"/>
        </w:rPr>
        <w:t>. Participation in the Plan is voluntary, and the Employee is providing the consents herein on a purely voluntary basis. If the Employee does not consent, or if the Employee later seeks to revoke the Employee's consent, the Employee’s salary from or employment and career with the Employer will not be affected; the only consequence of refusing or withdrawing consent is that the Company would not be able to grant the PRSUs or other equity awards to the Employee or administer or maintain such awards.</w:t>
      </w:r>
    </w:p>
    <w:p>
      <w:pPr>
        <w:spacing w:after="0" w:line="125" w:lineRule="exact"/>
        <w:rPr>
          <w:rFonts w:ascii="Arial" w:cs="Arial" w:eastAsia="Arial" w:hAnsi="Arial"/>
          <w:sz w:val="18"/>
          <w:szCs w:val="18"/>
          <w:color w:val="auto"/>
        </w:rPr>
      </w:pPr>
    </w:p>
    <w:p>
      <w:pPr>
        <w:jc w:val="both"/>
        <w:ind w:left="650" w:hanging="407"/>
        <w:spacing w:after="0" w:line="257" w:lineRule="auto"/>
        <w:tabs>
          <w:tab w:leader="none" w:pos="813"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privacy laws in the Employee’s jurisdiction. Depending on where the Employee is based, such rights may include the right to (i) request access or copies of Data the Company processes, (ii) rectification of incorrect Data, (iii) deletion of Data, (iv) restrictions on processing of Data, (v) portability of Data, (vi) lodge complaints with competent authorities in the Employee’s jurisdiction, and/or (vii) receive a list with the names and addresses of any potential recipients of Data. To receive clarification regarding these rights or to exercise these rights, the Employee can contact the local human resources representative.</w:t>
      </w:r>
    </w:p>
    <w:p>
      <w:pPr>
        <w:spacing w:after="0" w:line="128" w:lineRule="exact"/>
        <w:rPr>
          <w:sz w:val="20"/>
          <w:szCs w:val="20"/>
          <w:color w:val="auto"/>
        </w:rPr>
      </w:pPr>
    </w:p>
    <w:p>
      <w:pPr>
        <w:jc w:val="both"/>
        <w:ind w:left="630" w:firstLine="150"/>
        <w:spacing w:after="0" w:line="259" w:lineRule="auto"/>
        <w:rPr>
          <w:sz w:val="20"/>
          <w:szCs w:val="20"/>
          <w:color w:val="auto"/>
        </w:rPr>
      </w:pPr>
      <w:r>
        <w:rPr>
          <w:rFonts w:ascii="Arial" w:cs="Arial" w:eastAsia="Arial" w:hAnsi="Arial"/>
          <w:sz w:val="18"/>
          <w:szCs w:val="18"/>
          <w:color w:val="auto"/>
        </w:rPr>
        <w:t>By accepting the PRSUs and indicating consent via the Company’s acceptance procedure, the Employee is declaring agreement with the data processing practices described herein and consents to the collection, processing and use of Data by the Company and the transfer of Data to the recipients mentioned above, including recipients located in countries which to not adduce an adequate level of protection from a European (or other non-U.S.) data protection law perspective, for the purposes described above.</w:t>
      </w:r>
    </w:p>
    <w:p>
      <w:pPr>
        <w:spacing w:after="0" w:line="125" w:lineRule="exact"/>
        <w:rPr>
          <w:sz w:val="20"/>
          <w:szCs w:val="20"/>
          <w:color w:val="auto"/>
        </w:rPr>
      </w:pPr>
    </w:p>
    <w:p>
      <w:pPr>
        <w:jc w:val="both"/>
        <w:ind w:left="650"/>
        <w:spacing w:after="0" w:line="255" w:lineRule="auto"/>
        <w:rPr>
          <w:sz w:val="20"/>
          <w:szCs w:val="20"/>
          <w:color w:val="auto"/>
        </w:rPr>
      </w:pPr>
      <w:r>
        <w:rPr>
          <w:rFonts w:ascii="Arial" w:cs="Arial" w:eastAsia="Arial" w:hAnsi="Arial"/>
          <w:sz w:val="18"/>
          <w:szCs w:val="18"/>
          <w:color w:val="auto"/>
        </w:rPr>
        <w:t>Finally, the Employee understands that the Company may rely on a different basis for the processing or transfer of Data in the future and/or request that the Employee provide another data privacy consent. If applicable, the Employee agrees that upon request of the Company or the Employer, the Employee will provide an executed acknowledgement or data privacy consent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the Employee will not be able to participate in the Plan if the Employee fails to provide any such consent or agreement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070"/>
          </w:cols>
          <w:pgMar w:left="490" w:top="1174" w:right="339" w:bottom="1440" w:gutter="0" w:footer="0" w:header="0"/>
        </w:sectPr>
      </w:pPr>
    </w:p>
    <w:bookmarkStart w:id="96" w:name="page97"/>
    <w:bookmarkEnd w:id="96"/>
    <w:p>
      <w:pPr>
        <w:jc w:val="both"/>
        <w:ind w:left="180" w:hanging="10"/>
        <w:spacing w:after="0" w:line="268" w:lineRule="auto"/>
        <w:tabs>
          <w:tab w:leader="none" w:pos="74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180" w:hanging="10"/>
        <w:spacing w:after="0" w:line="287" w:lineRule="auto"/>
        <w:tabs>
          <w:tab w:leader="none" w:pos="69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180" w:hanging="10"/>
        <w:spacing w:after="0" w:line="259" w:lineRule="auto"/>
        <w:tabs>
          <w:tab w:leader="none" w:pos="63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PRSUs shall be subject to any special terms and conditions set forth in any appendix to this Agreement for the Employee’s country of employment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80" w:hanging="10"/>
        <w:spacing w:after="0" w:line="259"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CONDUENT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34925</wp:posOffset>
            </wp:positionV>
            <wp:extent cx="1800225" cy="1028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180022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1174" w:right="339" w:bottom="1440" w:gutter="0" w:footer="0" w:header="0"/>
        </w:sectPr>
      </w:pPr>
    </w:p>
    <w:bookmarkStart w:id="97" w:name="page98"/>
    <w:bookmarkEnd w:id="97"/>
    <w:p>
      <w:pPr>
        <w:ind w:left="3420"/>
        <w:spacing w:after="0"/>
        <w:rPr>
          <w:sz w:val="20"/>
          <w:szCs w:val="20"/>
          <w:color w:val="auto"/>
        </w:rPr>
      </w:pPr>
      <w:r>
        <w:rPr>
          <w:rFonts w:ascii="Arial" w:cs="Arial" w:eastAsia="Arial" w:hAnsi="Arial"/>
          <w:sz w:val="18"/>
          <w:szCs w:val="18"/>
          <w:color w:val="auto"/>
        </w:rPr>
        <w:t>Christopher Kujawa, Chief Human Resources Officer</w:t>
      </w:r>
    </w:p>
    <w:p>
      <w:pPr>
        <w:spacing w:after="0" w:line="50"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Date: April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019"/>
          </w:cols>
          <w:pgMar w:left="1440" w:top="1201" w:right="1440"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A-&lt;#&gt;</w:t>
      </w:r>
    </w:p>
    <w:p>
      <w:pPr>
        <w:sectPr>
          <w:pgSz w:w="11900" w:h="16838" w:orient="portrait"/>
          <w:cols w:equalWidth="0" w:num="1">
            <w:col w:w="9019"/>
          </w:cols>
          <w:pgMar w:left="1440" w:top="1440"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PRSUs that vest shall be based on the satisfaction of the relative total shareholder return (rTSR) goal set forth below.</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Conduent’s TSR rank for the period from 4/1/2024 through 12/31/2026, as compared to the 2024 Proxy Peer Group as approved in August 2023 and as set forth in the table below:</w:t>
      </w:r>
    </w:p>
    <w:p>
      <w:pPr>
        <w:spacing w:after="0" w:line="206" w:lineRule="exact"/>
        <w:rPr>
          <w:sz w:val="20"/>
          <w:szCs w:val="20"/>
          <w:color w:val="auto"/>
        </w:rPr>
      </w:pPr>
    </w:p>
    <w:tbl>
      <w:tblPr>
        <w:tblLayout w:type="fixed"/>
        <w:tblInd w:w="1970" w:type="dxa"/>
        <w:tblCellMar>
          <w:top w:w="0" w:type="dxa"/>
          <w:left w:w="0" w:type="dxa"/>
          <w:bottom w:w="0" w:type="dxa"/>
          <w:right w:w="0" w:type="dxa"/>
        </w:tblCellMar>
      </w:tblPr>
      <w:tr>
        <w:trPr>
          <w:trHeight w:val="243"/>
        </w:trPr>
        <w:tc>
          <w:tcPr>
            <w:tcW w:w="2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rTSR</w:t>
            </w:r>
          </w:p>
        </w:tc>
        <w:tc>
          <w:tcPr>
            <w:tcW w:w="234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Payout (as % of Target)</w:t>
            </w:r>
          </w:p>
        </w:tc>
      </w:tr>
      <w:tr>
        <w:trPr>
          <w:trHeight w:val="263"/>
        </w:trPr>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75</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150%</w:t>
            </w:r>
          </w:p>
        </w:tc>
      </w:tr>
      <w:tr>
        <w:trPr>
          <w:trHeight w:val="223"/>
        </w:trPr>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Median</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64"/>
        </w:trPr>
        <w:tc>
          <w:tcPr>
            <w:tcW w:w="2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25</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bl>
    <w:p>
      <w:pPr>
        <w:spacing w:after="0" w:line="319"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Linear interpolation will be used for results between points.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Number of PRSUs vesting is capped at 100% of target if absolute TSR for Conduent during the period is negative.</w:t>
      </w:r>
    </w:p>
    <w:p>
      <w:pPr>
        <w:spacing w:after="0" w:line="8"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55"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In the event that the number of PRSUs vesting have an aggregate fair market value as of the date of vesting that is greater than six times the aggregate fair market value of the target number of PRSUs on the date of grant (the “Vesting Limit”), the number of PRSUs vesting shall be reduced to the number of PRSUs with an aggregate fair market value as of the date of vesting equal to the Vesting Limit.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TSR for Conduent and the Proxy Peer Group are measured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TSR = </w:t>
      </w:r>
      <w:r>
        <w:rPr>
          <w:rFonts w:ascii="Arial" w:cs="Arial" w:eastAsia="Arial" w:hAnsi="Arial"/>
          <w:sz w:val="18"/>
          <w:szCs w:val="18"/>
          <w:u w:val="single" w:color="auto"/>
          <w:color w:val="auto"/>
        </w:rPr>
        <w:t>Ending Stock Price - Beginning Stock Price + Reinvested Dividends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Beginning Stock Price</w:t>
      </w:r>
    </w:p>
    <w:p>
      <w:pPr>
        <w:spacing w:after="0" w:line="234"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Beginning Price = Average closing stock price for the 90 trading days preceding the start of the performance period</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Ending Price = Average closing stock price for the last 90 trading days of the performance period</w:t>
      </w:r>
    </w:p>
    <w:p>
      <w:pPr>
        <w:spacing w:after="0" w:line="251" w:lineRule="exact"/>
        <w:rPr>
          <w:rFonts w:ascii="Times New Roman" w:cs="Times New Roman" w:eastAsia="Times New Roman" w:hAnsi="Times New Roman"/>
          <w:sz w:val="18"/>
          <w:szCs w:val="18"/>
          <w:color w:val="auto"/>
        </w:rPr>
      </w:pPr>
    </w:p>
    <w:p>
      <w:pPr>
        <w:ind w:left="4680" w:right="1940" w:hanging="4348"/>
        <w:spacing w:after="0" w:line="557" w:lineRule="auto"/>
        <w:tabs>
          <w:tab w:leader="none" w:pos="653"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Reinvested Dividends = Dividends are assumed to be reinvested as of the ex-dividend date in the calculation 2024 Proxy Peer Group</w:t>
      </w:r>
    </w:p>
    <w:tbl>
      <w:tblPr>
        <w:tblLayout w:type="fixed"/>
        <w:tblInd w:w="10" w:type="dxa"/>
        <w:tblCellMar>
          <w:top w:w="0" w:type="dxa"/>
          <w:left w:w="0" w:type="dxa"/>
          <w:bottom w:w="0" w:type="dxa"/>
          <w:right w:w="0" w:type="dxa"/>
        </w:tblCellMar>
      </w:tblPr>
      <w:tr>
        <w:trPr>
          <w:trHeight w:val="224"/>
        </w:trPr>
        <w:tc>
          <w:tcPr>
            <w:tcW w:w="5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Alight</w:t>
            </w:r>
          </w:p>
        </w:tc>
        <w:tc>
          <w:tcPr>
            <w:tcW w:w="56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Genpact LTD</w:t>
            </w:r>
          </w:p>
        </w:tc>
      </w:tr>
      <w:tr>
        <w:trPr>
          <w:trHeight w:val="22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CACI International</w:t>
            </w: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ICF Intl</w:t>
            </w:r>
          </w:p>
        </w:tc>
      </w:tr>
      <w:tr>
        <w:trPr>
          <w:trHeight w:val="22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CGI Group</w:t>
            </w: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Leidos Holdings, Inc.</w:t>
            </w:r>
          </w:p>
        </w:tc>
      </w:tr>
      <w:tr>
        <w:trPr>
          <w:trHeight w:val="22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Concentrix</w:t>
            </w: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Maximus, Inc.</w:t>
            </w:r>
          </w:p>
        </w:tc>
      </w:tr>
      <w:tr>
        <w:trPr>
          <w:trHeight w:val="22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CSG Systems Intl</w:t>
            </w: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TELUS Intl</w:t>
            </w:r>
          </w:p>
        </w:tc>
      </w:tr>
      <w:tr>
        <w:trPr>
          <w:trHeight w:val="22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ExlService</w:t>
            </w: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TriNet Group</w:t>
            </w:r>
          </w:p>
        </w:tc>
      </w:tr>
      <w:tr>
        <w:trPr>
          <w:trHeight w:val="223"/>
        </w:trPr>
        <w:tc>
          <w:tcPr>
            <w:tcW w:w="5640" w:type="dxa"/>
            <w:vAlign w:val="bottom"/>
            <w:tcBorders>
              <w:left w:val="single" w:sz="8" w:color="auto"/>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Veradigm (formerly Allscripts)</w:t>
            </w:r>
          </w:p>
        </w:tc>
      </w:tr>
      <w:tr>
        <w:trPr>
          <w:trHeight w:val="196"/>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bl>
    <w:p>
      <w:pPr>
        <w:spacing w:after="0" w:line="305"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Acquired peers (not the surviving company) will be removed from peer group for measurement.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Bankrupt peers will be forced rank to the bottom (assume -100%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ectPr>
          <w:pgSz w:w="11900" w:h="16838" w:orient="portrait"/>
          <w:cols w:equalWidth="0" w:num="1">
            <w:col w:w="11240"/>
          </w:cols>
          <w:pgMar w:left="320" w:top="1093" w:right="339" w:bottom="1440" w:gutter="0" w:footer="0" w:header="0"/>
        </w:sectPr>
      </w:pPr>
    </w:p>
    <w:bookmarkStart w:id="100" w:name="page101"/>
    <w:bookmarkEnd w:id="100"/>
    <w:p>
      <w:pPr>
        <w:ind w:left="328" w:hanging="328"/>
        <w:spacing w:after="0"/>
        <w:tabs>
          <w:tab w:leader="none" w:pos="328" w:val="left"/>
        </w:tabs>
        <w:numPr>
          <w:ilvl w:val="0"/>
          <w:numId w:val="110"/>
        </w:numPr>
        <w:rPr>
          <w:rFonts w:ascii="Times New Roman" w:cs="Times New Roman" w:eastAsia="Times New Roman" w:hAnsi="Times New Roman"/>
          <w:sz w:val="17"/>
          <w:szCs w:val="17"/>
          <w:color w:val="auto"/>
        </w:rPr>
      </w:pPr>
      <w:r>
        <w:rPr>
          <w:rFonts w:ascii="Arial" w:cs="Arial" w:eastAsia="Arial" w:hAnsi="Arial"/>
          <w:sz w:val="17"/>
          <w:szCs w:val="17"/>
          <w:color w:val="auto"/>
        </w:rPr>
        <w:t>Peer spins off business--keep peer and include in SpinCo distribution/dividend in calculation of the peer's TSR.</w:t>
      </w:r>
    </w:p>
    <w:p>
      <w:pPr>
        <w:sectPr>
          <w:pgSz w:w="11900" w:h="16838" w:orient="portrait"/>
          <w:cols w:equalWidth="0" w:num="1">
            <w:col w:w="9807"/>
          </w:cols>
          <w:pgMar w:left="652" w:top="10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168"/>
        <w:spacing w:after="0"/>
        <w:rPr>
          <w:sz w:val="20"/>
          <w:szCs w:val="20"/>
          <w:color w:val="auto"/>
        </w:rPr>
      </w:pPr>
      <w:r>
        <w:rPr>
          <w:rFonts w:ascii="Times New Roman" w:cs="Times New Roman" w:eastAsia="Times New Roman" w:hAnsi="Times New Roman"/>
          <w:sz w:val="16"/>
          <w:szCs w:val="16"/>
          <w:color w:val="auto"/>
        </w:rPr>
        <w:t>A-2</w:t>
      </w:r>
    </w:p>
    <w:p>
      <w:pPr>
        <w:sectPr>
          <w:pgSz w:w="11900" w:h="16838" w:orient="portrait"/>
          <w:cols w:equalWidth="0" w:num="1">
            <w:col w:w="9807"/>
          </w:cols>
          <w:pgMar w:left="652" w:top="1093" w:right="1440"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Non-Competition and Non-Solicitation Agreement (“Agreement”) is made effective as of April 1, 2024 (“Effective Date”) between Conduent Business Services, LLC, its parent, subsidiaries, divisions and affiliates (collectively, “Conduent”) and the individual whose name appears in the Award Summary (“Employee”).</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252" w:lineRule="exact"/>
        <w:rPr>
          <w:sz w:val="20"/>
          <w:szCs w:val="20"/>
          <w:color w:val="auto"/>
        </w:rPr>
      </w:pPr>
    </w:p>
    <w:p>
      <w:pPr>
        <w:jc w:val="both"/>
        <w:ind w:left="340" w:right="60" w:hanging="332"/>
        <w:spacing w:after="0" w:line="276" w:lineRule="auto"/>
        <w:tabs>
          <w:tab w:leader="none" w:pos="328"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or render any services for (including, but not limited to, as an employee, proprietor, partner, agent, contractor, or consultant) any Entity that is engaged in any Competitive Activity in the Geographical Area.</w:t>
      </w:r>
    </w:p>
    <w:p>
      <w:pPr>
        <w:spacing w:after="0" w:line="203" w:lineRule="exact"/>
        <w:rPr>
          <w:rFonts w:ascii="Arial" w:cs="Arial" w:eastAsia="Arial" w:hAnsi="Arial"/>
          <w:sz w:val="18"/>
          <w:szCs w:val="18"/>
          <w:color w:val="auto"/>
        </w:rPr>
      </w:pPr>
    </w:p>
    <w:p>
      <w:pPr>
        <w:ind w:left="800" w:hanging="468"/>
        <w:spacing w:after="0"/>
        <w:tabs>
          <w:tab w:leader="none" w:pos="8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265" w:lineRule="exact"/>
        <w:rPr>
          <w:rFonts w:ascii="Arial" w:cs="Arial" w:eastAsia="Arial" w:hAnsi="Arial"/>
          <w:sz w:val="18"/>
          <w:szCs w:val="18"/>
          <w:color w:val="auto"/>
        </w:rPr>
      </w:pPr>
    </w:p>
    <w:p>
      <w:pPr>
        <w:jc w:val="both"/>
        <w:ind w:left="1300" w:hanging="46"/>
        <w:spacing w:after="0" w:line="267" w:lineRule="auto"/>
        <w:tabs>
          <w:tab w:leader="none" w:pos="1751" w:val="left"/>
        </w:tabs>
        <w:numPr>
          <w:ilvl w:val="2"/>
          <w:numId w:val="111"/>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1" w:lineRule="exact"/>
        <w:rPr>
          <w:sz w:val="20"/>
          <w:szCs w:val="20"/>
          <w:color w:val="auto"/>
        </w:rPr>
      </w:pPr>
    </w:p>
    <w:p>
      <w:pPr>
        <w:ind w:left="1300" w:firstLine="6"/>
        <w:spacing w:after="0" w:line="287" w:lineRule="auto"/>
        <w:tabs>
          <w:tab w:leader="none" w:pos="1909" w:val="left"/>
        </w:tabs>
        <w:numPr>
          <w:ilvl w:val="2"/>
          <w:numId w:val="112"/>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193" w:lineRule="exact"/>
        <w:rPr>
          <w:rFonts w:ascii="Arial" w:cs="Arial" w:eastAsia="Arial" w:hAnsi="Arial"/>
          <w:sz w:val="18"/>
          <w:szCs w:val="18"/>
          <w:color w:val="auto"/>
        </w:rPr>
      </w:pPr>
    </w:p>
    <w:p>
      <w:pPr>
        <w:ind w:left="1300" w:hanging="81"/>
        <w:spacing w:after="0" w:line="303" w:lineRule="auto"/>
        <w:tabs>
          <w:tab w:leader="none" w:pos="175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165" w:lineRule="exact"/>
        <w:rPr>
          <w:rFonts w:ascii="Arial" w:cs="Arial" w:eastAsia="Arial" w:hAnsi="Arial"/>
          <w:sz w:val="18"/>
          <w:szCs w:val="18"/>
          <w:color w:val="auto"/>
        </w:rPr>
      </w:pPr>
    </w:p>
    <w:p>
      <w:pPr>
        <w:jc w:val="both"/>
        <w:ind w:left="1300" w:hanging="107"/>
        <w:spacing w:after="0" w:line="284" w:lineRule="auto"/>
        <w:tabs>
          <w:tab w:leader="none" w:pos="16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B-1</w:t>
      </w:r>
    </w:p>
    <w:p>
      <w:pPr>
        <w:sectPr>
          <w:pgSz w:w="11900" w:h="16838" w:orient="portrait"/>
          <w:cols w:equalWidth="0" w:num="1">
            <w:col w:w="11240"/>
          </w:cols>
          <w:pgMar w:left="320" w:top="1336" w:right="339" w:bottom="1440" w:gutter="0" w:footer="0" w:header="0"/>
        </w:sectPr>
      </w:pPr>
    </w:p>
    <w:bookmarkStart w:id="102" w:name="page103"/>
    <w:bookmarkEnd w:id="102"/>
    <w:p>
      <w:pPr>
        <w:ind w:left="1300" w:hanging="833"/>
        <w:spacing w:after="0" w:line="303" w:lineRule="auto"/>
        <w:tabs>
          <w:tab w:leader="none" w:pos="90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3" w:lineRule="exact"/>
        <w:rPr>
          <w:sz w:val="20"/>
          <w:szCs w:val="20"/>
          <w:color w:val="auto"/>
        </w:rPr>
      </w:pPr>
    </w:p>
    <w:p>
      <w:pPr>
        <w:jc w:val="both"/>
        <w:ind w:left="340" w:hanging="332"/>
        <w:spacing w:after="0" w:line="265" w:lineRule="auto"/>
        <w:tabs>
          <w:tab w:leader="none" w:pos="328"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68" w:lineRule="exact"/>
        <w:rPr>
          <w:rFonts w:ascii="Arial" w:cs="Arial" w:eastAsia="Arial" w:hAnsi="Arial"/>
          <w:sz w:val="18"/>
          <w:szCs w:val="18"/>
          <w:color w:val="auto"/>
        </w:rPr>
      </w:pPr>
    </w:p>
    <w:p>
      <w:pPr>
        <w:ind w:left="340" w:hanging="332"/>
        <w:spacing w:after="0" w:line="303" w:lineRule="auto"/>
        <w:tabs>
          <w:tab w:leader="none" w:pos="328"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During the Non-Solicit Period, as defined above, Employee will not, directly or indirectly, recruit,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induce, encourage or assist any employee of Conduent to leave such employee’s employment with Conduent.</w:t>
      </w:r>
    </w:p>
    <w:p>
      <w:pPr>
        <w:spacing w:after="0" w:line="152" w:lineRule="exact"/>
        <w:rPr>
          <w:rFonts w:ascii="Arial" w:cs="Arial" w:eastAsia="Arial" w:hAnsi="Arial"/>
          <w:sz w:val="18"/>
          <w:szCs w:val="18"/>
          <w:color w:val="auto"/>
        </w:rPr>
      </w:pPr>
    </w:p>
    <w:p>
      <w:pPr>
        <w:jc w:val="both"/>
        <w:ind w:left="340" w:hanging="332"/>
        <w:spacing w:after="0" w:line="255" w:lineRule="auto"/>
        <w:tabs>
          <w:tab w:leader="none" w:pos="328"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Employee and Conduent agree and acknowledge that Employee’s employment with Conduent is at-will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 not obligate Conduent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B-2</w:t>
      </w:r>
    </w:p>
    <w:p>
      <w:pPr>
        <w:sectPr>
          <w:pgSz w:w="11900" w:h="16838" w:orient="portrait"/>
          <w:cols w:equalWidth="0" w:num="1">
            <w:col w:w="11240"/>
          </w:cols>
          <w:pgMar w:left="320" w:top="1093" w:right="339" w:bottom="1440" w:gutter="0" w:footer="0" w:header="0"/>
        </w:sectPr>
      </w:pPr>
    </w:p>
    <w:bookmarkStart w:id="103" w:name="page104"/>
    <w:bookmarkEnd w:id="103"/>
    <w:p>
      <w:pPr>
        <w:jc w:val="both"/>
        <w:ind w:left="340" w:hanging="332"/>
        <w:spacing w:after="0" w:line="267" w:lineRule="auto"/>
        <w:tabs>
          <w:tab w:leader="none" w:pos="328"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highlight w:val="white"/>
        </w:rPr>
        <w:t>. 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reasonable attorneys’ fees and costs from the other party.</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highlight w:val="white"/>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color w:val="auto"/>
          <w:highlight w:val="white"/>
        </w:rPr>
        <w:t>. In the event that any of the provisions of this Agreement is deemed unenforceable or to exceed the protections afforded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59" w:lineRule="exact"/>
        <w:rPr>
          <w:rFonts w:ascii="Arial" w:cs="Arial" w:eastAsia="Arial" w:hAnsi="Arial"/>
          <w:sz w:val="18"/>
          <w:szCs w:val="18"/>
          <w:color w:val="auto"/>
        </w:rPr>
      </w:pPr>
    </w:p>
    <w:p>
      <w:pPr>
        <w:ind w:left="340" w:hanging="332"/>
        <w:spacing w:after="0" w:line="303" w:lineRule="auto"/>
        <w:tabs>
          <w:tab w:leader="none" w:pos="333"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33" w:lineRule="exact"/>
        <w:rPr>
          <w:rFonts w:ascii="Arial" w:cs="Arial" w:eastAsia="Arial" w:hAnsi="Arial"/>
          <w:sz w:val="18"/>
          <w:szCs w:val="18"/>
          <w:color w:val="auto"/>
        </w:rPr>
      </w:pPr>
    </w:p>
    <w:p>
      <w:pPr>
        <w:jc w:val="both"/>
        <w:ind w:left="340" w:hanging="332"/>
        <w:spacing w:after="0" w:line="276" w:lineRule="auto"/>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highlight w:val="white"/>
        </w:rPr>
        <w:t>. Any failure by Conduent to exercise any of its rights under this Agreement in the event of any breach of the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18"/>
          <w:szCs w:val="18"/>
          <w:color w:val="auto"/>
        </w:rPr>
      </w:pPr>
    </w:p>
    <w:p>
      <w:pPr>
        <w:jc w:val="both"/>
        <w:ind w:left="340" w:hanging="332"/>
        <w:spacing w:after="0" w:line="267" w:lineRule="auto"/>
        <w:tabs>
          <w:tab w:leader="none" w:pos="333"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B-3</w:t>
      </w:r>
    </w:p>
    <w:p>
      <w:pPr>
        <w:sectPr>
          <w:pgSz w:w="11900" w:h="16838" w:orient="portrait"/>
          <w:cols w:equalWidth="0" w:num="1">
            <w:col w:w="11240"/>
          </w:cols>
          <w:pgMar w:left="320" w:top="1403"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Exhibit 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TO PERFORMANCE 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CONDUENT INCORPORATED 2021 PERFORMANCE INCENTIVE PLAN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terms of the Plan and the Agreement, the PRSUs are subject to the following additional terms and conditions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xml:space="preserve">"). </w:t>
      </w:r>
      <w:r>
        <w:rPr>
          <w:rFonts w:ascii="Arial" w:cs="Arial" w:eastAsia="Arial" w:hAnsi="Arial"/>
          <w:sz w:val="18"/>
          <w:szCs w:val="18"/>
          <w:b w:val="1"/>
          <w:bCs w:val="1"/>
          <w:color w:val="auto"/>
        </w:rPr>
        <w:t>The information reflected in this Appendix is based on the securities, exchange control and other laws in effect 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respective countries as of February 2024. </w:t>
      </w:r>
      <w:r>
        <w:rPr>
          <w:rFonts w:ascii="Arial" w:cs="Arial" w:eastAsia="Arial" w:hAnsi="Arial"/>
          <w:sz w:val="18"/>
          <w:szCs w:val="18"/>
          <w:color w:val="auto"/>
        </w:rPr>
        <w:t>All capitalized terms as contained in this Appendix shall have the same meaning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the Agreement. Pursuant to Section 28 of the Agreement, if the Employee transfers residence and/or employment to another country reflected in an Appendix at the time of transfer, the additional terms and conditions for such country will apply to the Employee to the extent the Company determines, in its sole discretion, that the application of such terms and conditions is necessary or advisable in order to comply with local law, rules and regulations, or to facilitate the operation and administration of the award and the Plan (or the Company may establish alternative terms and conditions as may be necessary or advisable to accommodate the Employee's transfer).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European Union ("EU") / European Economic Area ("EEA") / Switzerland and the United Kingdom*</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If the Employee resides and/or the Employee is employed in the EU / EEA, Switzerland or the United Kingdom the following provision replaces Section 25 of the Agreement: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located at 100 CAMPUS DRIVE, FLORHAM PARK, NJ, 07932 and grants PRSUs under the Plan to employees of the Company and its affiliates and subsidiaries in its sole discretion. The Employee should review the following information about the Company's data processing practices.</w:t>
      </w:r>
    </w:p>
    <w:p>
      <w:pPr>
        <w:spacing w:after="0" w:line="171" w:lineRule="exact"/>
        <w:rPr>
          <w:sz w:val="20"/>
          <w:szCs w:val="20"/>
          <w:color w:val="auto"/>
        </w:rPr>
      </w:pPr>
    </w:p>
    <w:p>
      <w:pPr>
        <w:jc w:val="both"/>
        <w:ind w:left="660" w:hanging="328"/>
        <w:spacing w:after="0" w:line="253" w:lineRule="auto"/>
        <w:tabs>
          <w:tab w:leader="none" w:pos="65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Data Collection, Processing and Usage</w:t>
      </w:r>
      <w:r>
        <w:rPr>
          <w:rFonts w:ascii="Arial" w:cs="Arial" w:eastAsia="Arial" w:hAnsi="Arial"/>
          <w:sz w:val="18"/>
          <w:szCs w:val="18"/>
          <w:color w:val="auto"/>
        </w:rPr>
        <w:t>. Pursuant to applicable data protection laws, the Employee is hereby notified that the Company collects, processes and uses certain personally- identifiable information about the Employee for the legitimate interest of implementing, administering and managing the Plan and generally administering equity awards; specifically, including the Employee's name, home address, email address and telephone number, date of birth, social insurance number or other identification number, salary, citizenship, job title, any shares of Common Stock or directorships held in the Company, and details of all options or any other awards granted, canceled, exercised, vested, or outstanding in the Employee's favors, which the Company receives from the Employee or the Employer. In granting the RSUs under the Plan, the Company will collect the Employee's personal data for purposes of allocating shares of Common Stock and implementing, administering and managing the Plan. The Company's collection, processing, use and transfer of the Employee's personal data is necessary for the performance of the Company's contractual obligations under the Plan and pursuant to the Company's legitimate interest of managing and generally administering employee equity awards. The Employee's refusal to provide personal data would make it impossible for the Company to perform its contractual obligations and may affect the Employee's ability to participate in the Plan. As such, by participating in the Plan, the Employee voluntarily acknowledges the collection, processing and use of the Employee's personal data as described herein.</w:t>
      </w:r>
    </w:p>
    <w:p>
      <w:pPr>
        <w:spacing w:after="0" w:line="187" w:lineRule="exact"/>
        <w:rPr>
          <w:rFonts w:ascii="Arial" w:cs="Arial" w:eastAsia="Arial" w:hAnsi="Arial"/>
          <w:sz w:val="18"/>
          <w:szCs w:val="18"/>
          <w:color w:val="auto"/>
        </w:rPr>
      </w:pPr>
    </w:p>
    <w:p>
      <w:pPr>
        <w:jc w:val="both"/>
        <w:ind w:left="660" w:right="20" w:hanging="328"/>
        <w:spacing w:after="0" w:line="259" w:lineRule="auto"/>
        <w:tabs>
          <w:tab w:leader="none" w:pos="65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Stock Plan Administration Service Provider</w:t>
      </w:r>
      <w:r>
        <w:rPr>
          <w:rFonts w:ascii="Arial" w:cs="Arial" w:eastAsia="Arial" w:hAnsi="Arial"/>
          <w:sz w:val="18"/>
          <w:szCs w:val="18"/>
          <w:color w:val="auto"/>
        </w:rPr>
        <w:t>. The Company transfers participant data to a third party assisting the Company with the implementation, administration and management of the Plan, including but not limited to Morgan Stanley Smith Barney LLC and its affiliates ("Morgan Stanley") or any successor or any other third party that the Company may engage to assist with the administration of the Plan from time to time. Morgan Stanley will open an account for the Employee, if an account is not already in place, to receive and trade shares of Common Stock acquired under the Plan. The Employee will be asked to agree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- 1</w:t>
      </w:r>
    </w:p>
    <w:p>
      <w:pPr>
        <w:sectPr>
          <w:pgSz w:w="11900" w:h="16838" w:orient="portrait"/>
          <w:cols w:equalWidth="0" w:num="1">
            <w:col w:w="11240"/>
          </w:cols>
          <w:pgMar w:left="320" w:top="1403" w:right="339" w:bottom="1440" w:gutter="0" w:footer="0" w:header="0"/>
        </w:sectPr>
      </w:pPr>
    </w:p>
    <w:bookmarkStart w:id="105" w:name="page106"/>
    <w:bookmarkEnd w:id="105"/>
    <w:p>
      <w:pPr>
        <w:ind w:left="660"/>
        <w:spacing w:after="0" w:line="287" w:lineRule="auto"/>
        <w:rPr>
          <w:sz w:val="20"/>
          <w:szCs w:val="20"/>
          <w:color w:val="auto"/>
        </w:rPr>
      </w:pPr>
      <w:r>
        <w:rPr>
          <w:rFonts w:ascii="Arial" w:cs="Arial" w:eastAsia="Arial" w:hAnsi="Arial"/>
          <w:sz w:val="18"/>
          <w:szCs w:val="18"/>
          <w:color w:val="auto"/>
        </w:rPr>
        <w:t>separate terms and data processing practices with Morgan Stanley, which is a condition to the Employee's ability to participate in the Plan.</w:t>
      </w:r>
    </w:p>
    <w:p>
      <w:pPr>
        <w:spacing w:after="0" w:line="153" w:lineRule="exact"/>
        <w:rPr>
          <w:sz w:val="20"/>
          <w:szCs w:val="20"/>
          <w:color w:val="auto"/>
        </w:rPr>
      </w:pPr>
    </w:p>
    <w:p>
      <w:pPr>
        <w:jc w:val="both"/>
        <w:ind w:left="660" w:hanging="328"/>
        <w:spacing w:after="0" w:line="259" w:lineRule="auto"/>
        <w:tabs>
          <w:tab w:leader="none" w:pos="654"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The Company and Morgan Stanley are based in the United States. The Company can only meet its contractual obligations to the Employee if the Employee's personal data is transferred to the United States. The Company's legal basis for the transfer of the Employee's personal data to the United States is to satisfy its contractual obligations to the Employee and/or its use of the standard data protection clauses or other similar exceptions to the limitations on international data transfer adopted by the EU Commission or other foreign nations.</w:t>
      </w:r>
    </w:p>
    <w:p>
      <w:pPr>
        <w:spacing w:after="0" w:line="179" w:lineRule="exact"/>
        <w:rPr>
          <w:rFonts w:ascii="Arial" w:cs="Arial" w:eastAsia="Arial" w:hAnsi="Arial"/>
          <w:sz w:val="18"/>
          <w:szCs w:val="18"/>
          <w:color w:val="auto"/>
        </w:rPr>
      </w:pPr>
    </w:p>
    <w:p>
      <w:pPr>
        <w:jc w:val="both"/>
        <w:ind w:left="660" w:hanging="328"/>
        <w:spacing w:after="0" w:line="259" w:lineRule="auto"/>
        <w:tabs>
          <w:tab w:leader="none" w:pos="65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use the Employee's personal data only as long as is necessary to implement, administer and manage the Employee's participation in the Plan or as required to comply with legal or regulatory obligations, including under tax and security laws. When the Company no longer needs the Employee's personal data, the Company will remove it from its systems. If the Company keeps the Employee's data longer, it would be to satisfy legal or regulatory obligations and the Company's legal basis would be for compliance with relevant laws or regulations.</w:t>
      </w:r>
    </w:p>
    <w:p>
      <w:pPr>
        <w:spacing w:after="0" w:line="179" w:lineRule="exact"/>
        <w:rPr>
          <w:rFonts w:ascii="Arial" w:cs="Arial" w:eastAsia="Arial" w:hAnsi="Arial"/>
          <w:sz w:val="18"/>
          <w:szCs w:val="18"/>
          <w:color w:val="auto"/>
        </w:rPr>
      </w:pPr>
    </w:p>
    <w:p>
      <w:pPr>
        <w:jc w:val="both"/>
        <w:ind w:left="660" w:hanging="328"/>
        <w:spacing w:after="0" w:line="257" w:lineRule="auto"/>
        <w:tabs>
          <w:tab w:leader="none" w:pos="65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privacy laws in the Employee's country of residence. For example, the Employee's rights may include the right to (i) request access or copies of personal data the Company processes, (ii) request rectification of incorrect data, (iii) request deletion of data, (iv) place restrictions on processing, (v) lodge complaints with competent authorities in the Employee's country of residence, and/or (vi) request a list with the names and addresses of any potential recipients of the Employee's personal data. To receive clarification regarding the Employee's rights or to exercise the Employee's rights, the Employee should contact GlobalCompensation@conduent.com.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AUSTRALIA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PRSUs Conditioned on Satisfaction of Regulatory Obligations</w:t>
      </w:r>
      <w:r>
        <w:rPr>
          <w:rFonts w:ascii="Arial" w:cs="Arial" w:eastAsia="Arial" w:hAnsi="Arial"/>
          <w:sz w:val="18"/>
          <w:szCs w:val="18"/>
          <w:color w:val="auto"/>
          <w:highlight w:val="white"/>
        </w:rPr>
        <w:t>. If the Employee is (a) a director of a subsidiary incorporated in Australia, or (b)</w:t>
      </w:r>
      <w:r>
        <w:rPr>
          <w:rFonts w:ascii="Arial" w:cs="Arial" w:eastAsia="Arial" w:hAnsi="Arial"/>
          <w:sz w:val="18"/>
          <w:szCs w:val="18"/>
          <w:color w:val="auto"/>
        </w:rPr>
        <w:t xml:space="preserve"> a person who is a management-level executive of a subsidiary incorporated in Australia and who also is a director of a subsidiary incorporated outside of Australia, the grant of the PRSUs is conditioned upon satisfaction of the shareholder approval provisions of section 200B of the Corporations Act 2001 (Cth) in Australia.</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highlight w:val="white"/>
        </w:rPr>
        <w:t>. This grant of PRSUs is being made under Division 1A Part 7.12 of the Australian Corporations Act 2001 (Cth). If</w:t>
      </w:r>
      <w:r>
        <w:rPr>
          <w:rFonts w:ascii="Arial" w:cs="Arial" w:eastAsia="Arial" w:hAnsi="Arial"/>
          <w:sz w:val="18"/>
          <w:szCs w:val="18"/>
          <w:color w:val="auto"/>
        </w:rPr>
        <w:t xml:space="preserve"> shares of Common Stock acquired under the Plan are offered for sale to a person or entity resident in Australia, the Employee's offer may be subject to disclosure requirements under Australian law. The Employee should obtain legal advice on any disclosure obligations prior to making any such offer.</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highlight w:val="white"/>
        </w:rPr>
        <w:t>. Exchange control reporting is required for cash transactions exceeding AUD 10,000 and international fund</w:t>
      </w:r>
      <w:r>
        <w:rPr>
          <w:rFonts w:ascii="Arial" w:cs="Arial" w:eastAsia="Arial" w:hAnsi="Arial"/>
          <w:sz w:val="18"/>
          <w:szCs w:val="18"/>
          <w:color w:val="auto"/>
        </w:rPr>
        <w:t xml:space="preserve"> transfers. The Australian bank assisting with the transaction will file the report. If there is no Australian bank involved in the transfer, the Employee personally will be required to file the report. The Employee should consult with the Employee's personal advisor(s) regarding any personal legal, regulatory or foreign exchange obligations the Employee may have in connection with the Employee's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- 2</w:t>
      </w:r>
    </w:p>
    <w:p>
      <w:pPr>
        <w:sectPr>
          <w:pgSz w:w="11900" w:h="16838" w:orient="portrait"/>
          <w:cols w:equalWidth="0" w:num="1">
            <w:col w:w="11240"/>
          </w:cols>
          <w:pgMar w:left="320" w:top="1093"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highlight w:val="lightGray"/>
        </w:rPr>
        <w:t>BRAZIL</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Labor Law Acknowledgment</w:t>
      </w:r>
      <w:r>
        <w:rPr>
          <w:rFonts w:ascii="Arial" w:cs="Arial" w:eastAsia="Arial" w:hAnsi="Arial"/>
          <w:sz w:val="18"/>
          <w:szCs w:val="18"/>
          <w:color w:val="auto"/>
        </w:rPr>
        <w:t>. By accepting the PRSUs, the Employee acknowledges and agrees, for all legal purposes, that (a) the benefits provided under the Agreement and the Plan are the result of commercial transactions unrelated to the Employee's employment; (b) the Agreement and the Plan are not a part of the terms and conditions of the Employee's employment; and (c) the income from the PRSUs, if any, is not part of the Employee's remuneration from employment.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By accepting the PRSUs, the Employee acknowledges and agrees to comply with applicable Brazilian laws and to pay any and all applicable taxes associated with the vesting of the PRSUs, the issuance and/or sale of shares of Common Stock acquired under the Plan and the receipt of any dividends.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the Employee is resident or domiciled in Brazil, the Employee will be required to submit an annual declaration of assets and rights held outside of Brazil to the Central Bank of Brazil if the aggregate value of such assets and rights is greater than US$1 million as of December 31 of each year. If the aggregate value exceeds US$100 million as of the end of each quarter, a declaration must be submitted quarterly. Assets and rights that must be reported include shares of Common Stock acquired under the Plan. The Employee should consult with the Employee's personal advisor(s) regarding any personal legal, regulatory or foreign exchange obligations the Employee may have in connection with the Employee's participation in the Plan.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Tax on Financial Transaction (IOF)</w:t>
      </w:r>
      <w:r>
        <w:rPr>
          <w:rFonts w:ascii="Arial" w:cs="Arial" w:eastAsia="Arial" w:hAnsi="Arial"/>
          <w:sz w:val="18"/>
          <w:szCs w:val="18"/>
          <w:color w:val="auto"/>
        </w:rPr>
        <w:t>. Repatriation of funds (</w:t>
      </w:r>
      <w:r>
        <w:rPr>
          <w:rFonts w:ascii="Arial" w:cs="Arial" w:eastAsia="Arial" w:hAnsi="Arial"/>
          <w:sz w:val="18"/>
          <w:szCs w:val="18"/>
          <w:i w:val="1"/>
          <w:iCs w:val="1"/>
          <w:color w:val="auto"/>
        </w:rPr>
        <w:t>e.g.</w:t>
      </w:r>
      <w:r>
        <w:rPr>
          <w:rFonts w:ascii="Arial" w:cs="Arial" w:eastAsia="Arial" w:hAnsi="Arial"/>
          <w:sz w:val="18"/>
          <w:szCs w:val="18"/>
          <w:color w:val="auto"/>
        </w:rPr>
        <w:t>, the proceeds from the sale of shares of Common Stock) into Brazil and the conversion of USD into BRL associated with such fund transfers may be subject to the Tax on Financial Transactions. It is the Employee's responsibility to comply with any applicable Tax on Financial Transactions arising from the Employee's participation in the Plan. The Employee should consult with the Employee's personal tax advisor for additional details.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CANADA</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u w:val="single" w:color="auto"/>
          <w:color w:val="auto"/>
        </w:rPr>
        <w:t>Settlement in Shares</w:t>
      </w:r>
      <w:r>
        <w:rPr>
          <w:rFonts w:ascii="Arial" w:cs="Arial" w:eastAsia="Arial" w:hAnsi="Arial"/>
          <w:sz w:val="18"/>
          <w:szCs w:val="18"/>
          <w:color w:val="auto"/>
        </w:rPr>
        <w:t>. Notwithstanding anything to the contrary in the Agreement or the Plan, the PRSUs shall be settled only in shares of Common Stock (and may not be settled in cash).</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following supplements Section 8(a)(vii) of the Agreement as well as any other section required to give effect to the same: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the Employee's termination of employment and / or service relationship for any reason (other than by reason of death, Disability or Good Reason), either by the Employee or by the Employer, with or without cause, the Employee's rights to vest or to continue to vest in the PRSUs and receive shares of Common Stock under the Plan, if any, will terminate as of the actual Termination Date. For this purpose, the "Termination Date" shall mean the date that the Employee is no longer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shall not include or be extended by any period following such day during which the Employee is in receipt of or eligible to receive any notice of termination, pay in lieu of notice of termination, severance pay or any other payments or damages, whether arising under statute, contract or at common law.</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Notwithstanding the foregoing, if applicable employment standards legislation explicitly requires continued entitlement to vesting during a statutory notice period, the Employee's right to vest in the PRSUs under the Plan, if any, will terminate effective as of the last day of the Employee's minimum statutory notice period, but the Employee will not earn or be entitled to pro-rated vesting if the vesting date falls after the end of the Employee's statutory notice period, nor will the Employee be entitled to any compensation for lost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- 3</w:t>
      </w:r>
    </w:p>
    <w:p>
      <w:pPr>
        <w:sectPr>
          <w:pgSz w:w="11900" w:h="16838" w:orient="portrait"/>
          <w:cols w:equalWidth="0" w:num="1">
            <w:col w:w="11240"/>
          </w:cols>
          <w:pgMar w:left="320" w:top="1201" w:right="339" w:bottom="1440" w:gutter="0" w:footer="0" w:header="0"/>
        </w:sectPr>
      </w:pPr>
    </w:p>
    <w:bookmarkStart w:id="107" w:name="page108"/>
    <w:bookmarkEnd w:id="107"/>
    <w:p>
      <w:pPr>
        <w:jc w:val="both"/>
        <w:spacing w:after="0" w:line="255"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Specified foreign property, including the PRSUs, shares of Common Stock acquired under the Plan, and other rights to receive shares of a non-Canadian company held by a Canadian resident generally must be reported annually on a Form T1135 (Foreign Income Verification Statement) if the total cost of the foreign property exceeds C$ 100,000 at any time during the year. Thus, the unvested portion of the PRSUs must be reported – generally at a nil cost – if the C$100,000 cost threshold is exceeded because the Employee holds other specified foreign property. When shares of Common Stock are acquired, their cost generally is the adjusted cost base (“ACB”) of the shares of Common Stock. The ACB ordinarily will equal the fair market value of the shares of Common Stock at the time of acquisition, but if the Employee owns other shares of Common Stock, the ACB may need to be averaged with the ACB of the other shares of Common Stock. The Employee should consult with the Employee's personal advisor(s) regarding any personal foreign asset/foreign account tax obligations the Employee may have in connection with the Employee's participation in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FRANCE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highlight w:val="white"/>
        </w:rPr>
        <w:t>. The value of any cash or securities imported to or exported from France without the use of a financial</w:t>
      </w:r>
      <w:r>
        <w:rPr>
          <w:rFonts w:ascii="Arial" w:cs="Arial" w:eastAsia="Arial" w:hAnsi="Arial"/>
          <w:sz w:val="18"/>
          <w:szCs w:val="18"/>
          <w:color w:val="auto"/>
        </w:rPr>
        <w:t xml:space="preserve"> institution must be reported to the customs and excise authorities when the value of such cash or securities is equal to or greater than a certain amount (currently €10,000). The Employee should consult with the Employee's personal advisor(s) regarding any personal legal, regulatory or foreign exchange obligations the Employee may have in connection with the Employee's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French residents must report annually any shares and bank accounts held outside France, including the accounts that were opened, used and/or closed during the tax year, to the French tax authorities, on an annual basis on a special Form N° 3916, together with the Employee's personal income tax return. Failure to report triggers a significant penalty. The Employee should consult with the Employee's personal advisor(s) regarding any personal foreign asset/foreign account tax obligations the Employee may have in connection with the Employee's participation in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Use of English Language</w:t>
      </w:r>
      <w:r>
        <w:rPr>
          <w:rFonts w:ascii="Arial" w:cs="Arial" w:eastAsia="Arial" w:hAnsi="Arial"/>
          <w:sz w:val="18"/>
          <w:szCs w:val="18"/>
          <w:color w:val="auto"/>
        </w:rPr>
        <w:t xml:space="preserve">. By accepting the PRSUs, the Employee acknowledges and agrees that it is the Employee's wish that the </w:t>
      </w:r>
      <w:r>
        <w:rPr>
          <w:rFonts w:ascii="Arial" w:cs="Arial" w:eastAsia="Arial" w:hAnsi="Arial"/>
          <w:sz w:val="18"/>
          <w:szCs w:val="18"/>
          <w:b w:val="1"/>
          <w:bCs w:val="1"/>
          <w:color w:val="auto"/>
        </w:rPr>
        <w:t>Agreement</w:t>
      </w:r>
      <w:r>
        <w:rPr>
          <w:rFonts w:ascii="Arial" w:cs="Arial" w:eastAsia="Arial" w:hAnsi="Arial"/>
          <w:sz w:val="18"/>
          <w:szCs w:val="18"/>
          <w:color w:val="auto"/>
        </w:rPr>
        <w:t>, this</w:t>
      </w:r>
      <w:r>
        <w:rPr>
          <w:rFonts w:ascii="Arial" w:cs="Arial" w:eastAsia="Arial" w:hAnsi="Arial"/>
          <w:sz w:val="18"/>
          <w:szCs w:val="18"/>
          <w:b w:val="1"/>
          <w:bCs w:val="1"/>
          <w:color w:val="auto"/>
        </w:rPr>
        <w:t xml:space="preserve"> Appendix</w:t>
      </w:r>
      <w:r>
        <w:rPr>
          <w:rFonts w:ascii="Arial" w:cs="Arial" w:eastAsia="Arial" w:hAnsi="Arial"/>
          <w:sz w:val="18"/>
          <w:szCs w:val="18"/>
          <w:color w:val="auto"/>
        </w:rPr>
        <w:t>, as well as all other documents, notices and legal proceedings entered into, given or instituted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PRSUs, either directly or indirectly, be drawn up in English.</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u w:val="single" w:color="auto"/>
          <w:color w:val="auto"/>
        </w:rPr>
        <w:t>Langue anglaise</w:t>
      </w:r>
      <w:r>
        <w:rPr>
          <w:rFonts w:ascii="Arial" w:cs="Arial" w:eastAsia="Arial" w:hAnsi="Arial"/>
          <w:sz w:val="18"/>
          <w:szCs w:val="18"/>
          <w:i w:val="1"/>
          <w:iCs w:val="1"/>
          <w:color w:val="auto"/>
        </w:rPr>
        <w:t>. En acceptant l'allocation de vos PRSUs, vous reconnaissez et acceptez avoir souhaité que le Termes et Conditions, le présent avenant, ainsi que tous autres documents exécutés, avis donnés et procédures judiciaires intentées, relatifs, directement ou indirectement, à l'allocation de vos PRSUs, soient rédigés en anglais.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GERMANY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Cross-border payments in excess of €12,500 in connection with the sale of securities (including shares of Common Stock acquired under the Plan) must be reported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by the fifth day of the month following the month in which the payment is received or made. If the Employee acquire shares of Common Stock with a value in excess of €12,500, the Employer will report the acquisition of such shares of Common Stock to the German Federal Bank. If the Employee otherwise make or receive a payment in excess of €12,500, the Employee personally must report the payment to Bundesbank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available via Bundesbank’s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The Employee should consult with the Employee's personal advisor(s) regarding any personal legal, regulatory or foreign exchange obligations the Employee may have in connection with the Employee's participation in the Plan.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German residents must notify their local tax office of the acquisition of shares of Common Stock when they file their personal income tax returns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- 4</w:t>
      </w:r>
    </w:p>
    <w:p>
      <w:pPr>
        <w:sectPr>
          <w:pgSz w:w="11900" w:h="16838" w:orient="portrait"/>
          <w:cols w:equalWidth="0" w:num="1">
            <w:col w:w="11240"/>
          </w:cols>
          <w:pgMar w:left="320" w:top="1093" w:right="339" w:bottom="1440" w:gutter="0" w:footer="0" w:header="0"/>
        </w:sectPr>
      </w:pPr>
    </w:p>
    <w:bookmarkStart w:id="108" w:name="page109"/>
    <w:bookmarkEnd w:id="108"/>
    <w:p>
      <w:pPr>
        <w:jc w:val="both"/>
        <w:spacing w:after="0" w:line="257" w:lineRule="auto"/>
        <w:rPr>
          <w:sz w:val="20"/>
          <w:szCs w:val="20"/>
          <w:color w:val="auto"/>
        </w:rPr>
      </w:pPr>
      <w:r>
        <w:rPr>
          <w:rFonts w:ascii="Arial" w:cs="Arial" w:eastAsia="Arial" w:hAnsi="Arial"/>
          <w:sz w:val="18"/>
          <w:szCs w:val="18"/>
          <w:color w:val="auto"/>
        </w:rPr>
        <w:t>relevant year if the value of the shares of Common Stock acquired exceeds €150,000 or in the unlikely event that the resident holds shares of Common Stock exceeding 10% of the Company’s total shares of Common Stock outstanding. However, if the shares of Common Stock are listed on a recognized U.S. stock exchange and the Employee owns less than 1% of the total shares of Common Stock, this requirement will not apply even if shares of Common Stock with a value exceeding €150,000 are acquired. The Employee should consult with the Employee's personal advisor(s) regarding any personal foreign asset/foreign account tax obligations the Employee may have in connection with the Employee's participation in the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GUATEMALA</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Consent to Receive Information in English</w:t>
      </w:r>
      <w:r>
        <w:rPr>
          <w:rFonts w:ascii="Arial" w:cs="Arial" w:eastAsia="Arial" w:hAnsi="Arial"/>
          <w:sz w:val="18"/>
          <w:szCs w:val="18"/>
          <w:color w:val="auto"/>
        </w:rPr>
        <w:t>. By participating in the Plan, the Employee acknowledges that have reviewed Section 19 of this Agreement and are sufficiently proficient in English, or, alternatively, the Employee will seek appropriate assistance, to understand the terms and conditions in this Agreement.</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u w:val="single" w:color="auto"/>
          <w:color w:val="auto"/>
        </w:rPr>
        <w:t>Consentimiento a Recibir Información en Ingles</w:t>
      </w:r>
      <w:r>
        <w:rPr>
          <w:rFonts w:ascii="Arial" w:cs="Arial" w:eastAsia="Arial" w:hAnsi="Arial"/>
          <w:sz w:val="18"/>
          <w:szCs w:val="18"/>
          <w:i w:val="1"/>
          <w:iCs w:val="1"/>
          <w:color w:val="auto"/>
        </w:rPr>
        <w:t>. Al participar en el Plan, usted reconoce que ha revisado la Sección 19 del Convenio y que usted domina inglés, o, en el alternativo, usted buscará la asistencia necesaria para entender los términos y las condiciones del Convenio.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INDIA</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Repatriation Requirements</w:t>
      </w:r>
      <w:r>
        <w:rPr>
          <w:rFonts w:ascii="Arial" w:cs="Arial" w:eastAsia="Arial" w:hAnsi="Arial"/>
          <w:sz w:val="18"/>
          <w:szCs w:val="18"/>
          <w:color w:val="auto"/>
        </w:rPr>
        <w:t>. The Employee expressly agree to repatriate all sale proceeds and dividends attributable to shares of Common Stock acquired under the Plan in accordance with local foreign exchange rules and regulations. Neither the Company, the Employer or any of the Company's subsidiaries shall be liable for any fines or penalties resulting from the Employee's failure to comply with applicable laws, rules or regulations.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The Employee is required to declare the Employee's foreign bank accounts and any foreign financial assets (including shares of Common Stock acquired under the Plan held outside India) in the Employee's annual tax return. The Employee should consult with the Employee's personal advisor(s) regarding any personal foreign asset/foreign account tax obligations the Employee may have in connection with the Employee's participation in the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ITALY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Acknowledgement of Nature of Award Notice</w:t>
      </w:r>
      <w:r>
        <w:rPr>
          <w:rFonts w:ascii="Arial" w:cs="Arial" w:eastAsia="Arial" w:hAnsi="Arial"/>
          <w:sz w:val="18"/>
          <w:szCs w:val="18"/>
          <w:color w:val="auto"/>
        </w:rPr>
        <w:t>. In accepting the PRSUs, the Employee acknowledges that (a) the Employee has received a copy of the Plan, the Agreement and this Appendix; (b) the Employee has reviewed the applicable documents in their entirety and fully understand the contents thereof; and (c) the Employee accepts all provisions of the Plan, the Agreement and this Appendix.</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Italian residents who, at any time during the fiscal year, hold foreign financial assets (including cash and shares of Common Stock)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The Employee should consult with the Employee's personal advisor(s) regarding any personal foreign asset/foreign account tax obligations the Employee may have in connection with the Employee's participation in the Plan.</w:t>
      </w:r>
    </w:p>
    <w:p>
      <w:pPr>
        <w:spacing w:after="0" w:line="1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u w:val="single" w:color="auto"/>
          <w:color w:val="auto"/>
        </w:rPr>
        <w:t>Foreign Asset Tax</w:t>
      </w:r>
      <w:r>
        <w:rPr>
          <w:rFonts w:ascii="Arial" w:cs="Arial" w:eastAsia="Arial" w:hAnsi="Arial"/>
          <w:sz w:val="18"/>
          <w:szCs w:val="18"/>
          <w:color w:val="auto"/>
        </w:rPr>
        <w:t>. The value of any shares of Common Stock (and other financial assets) held outside Italy by individuals resident of Italy may be subject to a foreign asset tax. The taxable amount will be the fair market value of the financial assets (e.g., shares of Common Stock) assessed at the end of the calendar year. The value of financial assets held abroad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- 5</w:t>
      </w:r>
    </w:p>
    <w:p>
      <w:pPr>
        <w:sectPr>
          <w:pgSz w:w="11900" w:h="16838" w:orient="portrait"/>
          <w:cols w:equalWidth="0" w:num="1">
            <w:col w:w="11240"/>
          </w:cols>
          <w:pgMar w:left="320" w:top="1093" w:right="339" w:bottom="1440" w:gutter="0" w:footer="0" w:header="0"/>
        </w:sectPr>
      </w:pPr>
    </w:p>
    <w:bookmarkStart w:id="109" w:name="page110"/>
    <w:bookmarkEnd w:id="109"/>
    <w:p>
      <w:pPr>
        <w:jc w:val="both"/>
        <w:ind w:right="20"/>
        <w:spacing w:after="0" w:line="287" w:lineRule="auto"/>
        <w:rPr>
          <w:sz w:val="20"/>
          <w:szCs w:val="20"/>
          <w:color w:val="auto"/>
        </w:rPr>
      </w:pPr>
      <w:r>
        <w:rPr>
          <w:rFonts w:ascii="Arial" w:cs="Arial" w:eastAsia="Arial" w:hAnsi="Arial"/>
          <w:sz w:val="18"/>
          <w:szCs w:val="18"/>
          <w:color w:val="auto"/>
        </w:rPr>
        <w:t>reported in Form RM of the annual return. The Employee should consult the Employee's personal tax advisor for additional information on the foreign asset tax.</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JAMAICA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MALAYSIA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Director Notification Information.</w:t>
      </w:r>
      <w:r>
        <w:rPr>
          <w:rFonts w:ascii="Arial" w:cs="Arial" w:eastAsia="Arial" w:hAnsi="Arial"/>
          <w:sz w:val="18"/>
          <w:szCs w:val="18"/>
          <w:color w:val="auto"/>
        </w:rPr>
        <w:t xml:space="preserve"> If the Employee is a director of a subsidiary or affiliate of the Company established in Malaysia (a “</w:t>
      </w:r>
      <w:r>
        <w:rPr>
          <w:rFonts w:ascii="Arial" w:cs="Arial" w:eastAsia="Arial" w:hAnsi="Arial"/>
          <w:sz w:val="18"/>
          <w:szCs w:val="18"/>
          <w:b w:val="1"/>
          <w:bCs w:val="1"/>
          <w:i w:val="1"/>
          <w:iCs w:val="1"/>
          <w:color w:val="auto"/>
        </w:rPr>
        <w:t>Malaysian Entity</w:t>
      </w:r>
      <w:r>
        <w:rPr>
          <w:rFonts w:ascii="Arial" w:cs="Arial" w:eastAsia="Arial" w:hAnsi="Arial"/>
          <w:sz w:val="18"/>
          <w:szCs w:val="18"/>
          <w:color w:val="auto"/>
        </w:rPr>
        <w:t>”), the Employee is subject to certain notification requirements under the Malaysian Companies Act. Among these requirements is an obligation to notify the Malaysian Entity in writing when the Employee receives an interest (</w:t>
      </w:r>
      <w:r>
        <w:rPr>
          <w:rFonts w:ascii="Arial" w:cs="Arial" w:eastAsia="Arial" w:hAnsi="Arial"/>
          <w:sz w:val="18"/>
          <w:szCs w:val="18"/>
          <w:i w:val="1"/>
          <w:iCs w:val="1"/>
          <w:color w:val="auto"/>
        </w:rPr>
        <w:t>e.g.</w:t>
      </w:r>
      <w:r>
        <w:rPr>
          <w:rFonts w:ascii="Arial" w:cs="Arial" w:eastAsia="Arial" w:hAnsi="Arial"/>
          <w:sz w:val="18"/>
          <w:szCs w:val="18"/>
          <w:color w:val="auto"/>
        </w:rPr>
        <w:t>, an Award, shares of Common Stock, etc.) in the Company or any of its related companies. In addition, the Employee must notify the Malaysian Entity when the Employee sells shares of the Company or any of its related companies (including when the Employee sells shares of Common Stock acquired under the Plan). The Employee must also notify the Malaysian Entity if there are any subsequent changes in the Employee's interest in the Company or any related companies. These notifications must be made within fourteen days of acquiring or disposing of any interest in the Company or any of its related companies.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MEXICO</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Commercial Relationship</w:t>
      </w:r>
      <w:r>
        <w:rPr>
          <w:rFonts w:ascii="Arial" w:cs="Arial" w:eastAsia="Arial" w:hAnsi="Arial"/>
          <w:sz w:val="18"/>
          <w:szCs w:val="18"/>
          <w:color w:val="auto"/>
        </w:rPr>
        <w:t>. The Employee expressly recognizes that the Employee’s participation in the Plan and the Company’s grant of the PRSUs does not constitute an employment relationship between the Employee and the Company. The Employee has been granted the PRSUs as a consequence of the commercial relationship between the Company and the subsidiary in Mexico that employs the Employee (“Conduent-Mexico”) and Conduent-Mexico is the Employee’s sole employer. Based on the foregoing, the Employee expressly recognizes that (a) the Plan and the benefits the Employee may derive from the Employee's participation in the Plan do not establish any rights between the Employee and Conduent-Mexico, (b) the Plan and the benefits the Employee may derive from the Employee's participation in the Plan are not part of the employment conditions and/or benefits provided by Conduent-Mexico, and (c) any modification or amendments of the Plan by the Company, or a termination of the Plan by the Company shall not constitute a change or impairment of the terms and conditions of the Employee’s employment with Conduent-Mexico.</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Employee further understands that the Employee’s participation in the Plan is as a result of a unilateral and discretionary decision of the Company; therefore, subject to the terms of the Plan, the Company reserves the absolute right to amend and/or discontinue the Employee’s participation at any time without any liability to the Employee.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the Employee hereby declares that the Employee does not reserve to the Employee any action or right to bring any claim against the Company for any compensation or damages regarding any provision of the Plan or the benefits derived under the Plan, and the Employee therefore grants a full and broad release to the Company, its subsidiaries, affiliates, branches, representation offices, its shareholders, officers, agents or legal representatives with respect to any claim that may arise.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Extraordinary Item of Compensation</w:t>
      </w:r>
      <w:r>
        <w:rPr>
          <w:rFonts w:ascii="Arial" w:cs="Arial" w:eastAsia="Arial" w:hAnsi="Arial"/>
          <w:sz w:val="18"/>
          <w:szCs w:val="18"/>
          <w:color w:val="auto"/>
        </w:rPr>
        <w:t>. The Employee expressly recognizes and acknowledges that the Employee’s participation in the Plan is a result of the discretionary and unilateral decision of the Company, as well as the Employee’s free and voluntary decision to participate in the Plan in accordance with the terms and conditions of the Plan, the Agreement and this Appendix. As such, the Employee acknowledges and agrees that the Company may, in its sole discretion, amend and/or discontinue the Employee’s participation in the Plan at any time and without liability. The value of the PRSUs is an extraordinary item of compensation outside the scope of the Employee’s employment contract, if any. The PRSUs are not part of the Employee’s regular or expected compensation for purposes of calculating any severance, resignation, redundancy, end of service payments, bonuses, long-service awards, pension or retirement benefits, or any similar payments, which are the exclusive obligations of Conduent-Mexico.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- 6</w:t>
      </w:r>
    </w:p>
    <w:p>
      <w:pPr>
        <w:sectPr>
          <w:pgSz w:w="11900" w:h="16838" w:orient="portrait"/>
          <w:cols w:equalWidth="0" w:num="1">
            <w:col w:w="11240"/>
          </w:cols>
          <w:pgMar w:left="320" w:top="1093" w:right="339" w:bottom="1440" w:gutter="0" w:footer="0" w:header="0"/>
        </w:sectPr>
      </w:pPr>
    </w:p>
    <w:bookmarkStart w:id="110" w:name="page111"/>
    <w:bookmarkEnd w:id="110"/>
    <w:p>
      <w:pPr>
        <w:jc w:val="both"/>
        <w:spacing w:after="0" w:line="255"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PRSUs and any shares of Common Stock acquired under the Plan have not been registered with the National Register of Securities maintained by the Mexican National Banking and Securities Commission and cannot be offered or sold publicly in Mexico. In addition, the Plan, the Agreement and any other document relating to the PRSUs may not be publicly distributed in Mexico. These materials are addressed to the Employee because of the Employee’s existing relationship with the Company or one of the Companies subsidiaries or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one of its subsidiaries or affiliates made in accordance with the provisions of the Mexican Securities Market Law, and any rights under such offering shall not be assigned or transferred.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PERU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the Grant</w:t>
      </w:r>
      <w:r>
        <w:rPr>
          <w:rFonts w:ascii="Arial" w:cs="Arial" w:eastAsia="Arial" w:hAnsi="Arial"/>
          <w:sz w:val="18"/>
          <w:szCs w:val="18"/>
          <w:color w:val="auto"/>
        </w:rPr>
        <w:t>. The following provision supplements Section 11 of the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PRSU is being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Employee by the Company as an incentive to reward the Employee for the Employee's contributions to the Company.</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grant of the PRSUs under the Plan is considered a private offering in Peru and accordingly, is not subject to registration in Peru. For more information concerning the grant of the PRSUs, please refer to the Plan, the Agreement, and any other grant documents made available to the Employee by the Company. For more information regarding the Company, please refer to the Company's most recent annual report on Form 10-K and quarterly report on Form 10-Q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on the Company's website at </w:t>
      </w:r>
      <w:r>
        <w:rPr>
          <w:rFonts w:ascii="Arial" w:cs="Arial" w:eastAsia="Arial" w:hAnsi="Arial"/>
          <w:sz w:val="18"/>
          <w:szCs w:val="18"/>
          <w:u w:val="single" w:color="auto"/>
          <w:color w:val="auto"/>
        </w:rPr>
        <w:t>https://www.conduent.com/</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PHILIPPINES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Employee will be unable to acquire shares of Common Stock upon vesting and settlement of the Employee's PRSUs unless the vesting/issuance of shares of Common Stock complies with all applicable laws and regulations as determined by the Company. The Company assumes no liability if the Employee’s PRSUs cannot be vested and will not provide the Employee with any benefits / compensation in lieu of the PRSUs.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Employee acquires shares of Common Stock upon vesting and settlement of the Award, the Employee is permitted to dispose of or sell such shares of Common Stock, provided the offer and resale of the shares of Common Stock takes place outside of the Philippines through the facilities of a stock exchange on which the shares of Common Stock are listed. The shares of Common Stock are currently listed on the Nasdaq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ROMANIA</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The Employee hereby expressly agrees that the Agreement, the Plan as well as all documents, notices and proceedings entered into, relating directly or indirectly hereto, be drawn up or communicated only in the English language.</w:t>
      </w:r>
    </w:p>
    <w:p>
      <w:pPr>
        <w:spacing w:after="0" w:line="15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Angajatul consimte în mod expres prin prezentul ca acest Contract, Plan precum şi orice alte documente, notificări, înştiinţări legate direct sau indirect de acest Contract să fie redactate sau efectuate doar în limba engleză.</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The Employee is not required to seek special authorization from the National Bank of Romania in order to open or maintain a foreign bank account. However, if the Employee remits foreign currency into Romania (</w:t>
      </w:r>
      <w:r>
        <w:rPr>
          <w:rFonts w:ascii="Arial" w:cs="Arial" w:eastAsia="Arial" w:hAnsi="Arial"/>
          <w:sz w:val="18"/>
          <w:szCs w:val="18"/>
          <w:i w:val="1"/>
          <w:iCs w:val="1"/>
          <w:color w:val="auto"/>
        </w:rPr>
        <w:t>e.g.</w:t>
      </w:r>
      <w:r>
        <w:rPr>
          <w:rFonts w:ascii="Arial" w:cs="Arial" w:eastAsia="Arial" w:hAnsi="Arial"/>
          <w:sz w:val="18"/>
          <w:szCs w:val="18"/>
          <w:color w:val="auto"/>
        </w:rPr>
        <w:t>, proceeds from the sale of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- 7</w:t>
      </w:r>
    </w:p>
    <w:p>
      <w:pPr>
        <w:sectPr>
          <w:pgSz w:w="11900" w:h="16838" w:orient="portrait"/>
          <w:cols w:equalWidth="0" w:num="1">
            <w:col w:w="11240"/>
          </w:cols>
          <w:pgMar w:left="320" w:top="1093" w:right="339" w:bottom="1440" w:gutter="0" w:footer="0" w:header="0"/>
        </w:sectPr>
      </w:pPr>
    </w:p>
    <w:bookmarkStart w:id="111" w:name="page112"/>
    <w:bookmarkEnd w:id="111"/>
    <w:p>
      <w:pPr>
        <w:jc w:val="both"/>
        <w:spacing w:after="0" w:line="268" w:lineRule="auto"/>
        <w:rPr>
          <w:sz w:val="20"/>
          <w:szCs w:val="20"/>
          <w:color w:val="auto"/>
        </w:rPr>
      </w:pPr>
      <w:r>
        <w:rPr>
          <w:rFonts w:ascii="Arial" w:cs="Arial" w:eastAsia="Arial" w:hAnsi="Arial"/>
          <w:sz w:val="18"/>
          <w:szCs w:val="18"/>
          <w:color w:val="auto"/>
        </w:rPr>
        <w:t>Stock), the Employee may be required to provide the Romanian bank through which the foreign currency is transferred with appropriate documentation. The Employee should consult with the Employee’s personal advisor(s) regarding any personal legal, regulatory or foreign exchange obligations the Employee may have in connection with the Employee’s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 - 8</w:t>
      </w:r>
    </w:p>
    <w:p>
      <w:pPr>
        <w:sectPr>
          <w:pgSz w:w="11900" w:h="16838" w:orient="portrait"/>
          <w:cols w:equalWidth="0" w:num="1">
            <w:col w:w="11240"/>
          </w:cols>
          <w:pgMar w:left="320" w:top="1093"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highlight w:val="lightGray"/>
        </w:rPr>
        <w:t>SWITZERLAND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PRSUs are not intended to be publicly offered in or from Switzerland. Neither this document nor any other materials relating to the PRSUs (1) constitutes a prospectus according to articles 35 et seq. of the Swiss Federal Act on Financial Services (“FinSA”), (2) may be publicly distributed or otherwise made publicly available in Switzerland to any person other than an employee of the Company, or (3) have been or will be filed with, approved or supervised by any Swiss reviewing body according to article 51 FinSA or any Swiss regulatory authority (in particular, the Swiss Financial Market Supervisory Authority).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lightGray"/>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xml:space="preserve"> The following provision supplements Section 10 (Responsibility for Taxes) of the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Without limitation to Section 10 of the Agreement, the Employee agrees to be liable for any Tax-Related Items and hereby covenants to pay any such Tax-Related Items, as and when requested by the Company or the Employer or by HMRC (or any other tax authority or any other relevant authority). The Employee agrees to indemnify and keep indemnified the Company and the Employer against any Tax-Related Items that they are required to pay or withhold or have paid or will pay to HM Revenue &amp; Customs (“HMRC”) (or any other tax authority or any other relevant authority) on the Employee’s behalf.</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 foregoing, if the Employee is an executive officer or director (as within the meaning of Section 13(k) of the Exchange Act), the Employee understands that the Employee may not be 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(“NICs”) may be payable. The Employee acknowledges that the Employee will be personally responsible for reporting and paying any income tax due on this additional benefit directly to the HMRC under the self-assessment regime and for paying the Company or the Employer, as applicable, for the value of any employee NICs due on this additional benefit, which may also be recovered from the Employee by any of the means referred to in Section 10 of the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- 9</w:t>
      </w:r>
    </w:p>
    <w:p>
      <w:pPr>
        <w:sectPr>
          <w:pgSz w:w="11900" w:h="16838" w:orient="portrait"/>
          <w:cols w:equalWidth="0" w:num="1">
            <w:col w:w="11240"/>
          </w:cols>
          <w:pgMar w:left="320" w:top="1093"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2, 2024</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18859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Stephen Wood, certify that:</w:t>
      </w:r>
    </w:p>
    <w:p>
      <w:pPr>
        <w:spacing w:after="0" w:line="198" w:lineRule="exact"/>
        <w:rPr>
          <w:sz w:val="20"/>
          <w:szCs w:val="20"/>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2,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632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Stephen Wood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5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connection with the Quarterly Report on Form 10-Q of Conduent Incorporated, a New York corporation (the “Company”), for the quarter ended March 31, 2024,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49"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340" w:right="340" w:hanging="332"/>
        <w:spacing w:after="0" w:line="266" w:lineRule="auto"/>
        <w:tabs>
          <w:tab w:leader="none" w:pos="33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May 2, 2024</w:t>
      </w: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Stephen Wood</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May 2, 2024</w:t>
      </w:r>
    </w:p>
    <w:p>
      <w:pPr>
        <w:spacing w:after="0" w:line="34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1)"/>
      <w:numFmt w:val="decimal"/>
      <w:start w:val="1"/>
    </w:lvl>
  </w:abstractNum>
  <w:abstractNum w:abstractNumId="3">
    <w:nsid w:val="77AE35EB"/>
    <w:multiLevelType w:val="hybridMultilevel"/>
    <w:lvl w:ilvl="0">
      <w:lvlJc w:val="left"/>
      <w:lvlText w:val="(%1)"/>
      <w:numFmt w:val="decimal"/>
      <w:start w:val="1"/>
    </w:lvl>
  </w:abstractNum>
  <w:abstractNum w:abstractNumId="4">
    <w:nsid w:val="579BE4F1"/>
    <w:multiLevelType w:val="hybridMultilevel"/>
    <w:lvl w:ilvl="0">
      <w:lvlJc w:val="left"/>
      <w:lvlText w:val="(%1)"/>
      <w:numFmt w:val="decimal"/>
      <w:start w:val="1"/>
    </w:lvl>
  </w:abstractNum>
  <w:abstractNum w:abstractNumId="5">
    <w:nsid w:val="310C50B3"/>
    <w:multiLevelType w:val="hybridMultilevel"/>
    <w:lvl w:ilvl="0">
      <w:lvlJc w:val="left"/>
      <w:lvlText w:val="(%1)"/>
      <w:numFmt w:val="decimal"/>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1)"/>
      <w:numFmt w:val="decimal"/>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1)"/>
      <w:numFmt w:val="lowerLetter"/>
      <w:start w:val="1"/>
    </w:lvl>
  </w:abstractNum>
  <w:abstractNum w:abstractNumId="13">
    <w:nsid w:val="5DB70AE5"/>
    <w:multiLevelType w:val="hybridMultilevel"/>
    <w:lvl w:ilvl="0">
      <w:lvlJc w:val="left"/>
      <w:lvlText w:val="(%1)"/>
      <w:numFmt w:val="lowerLetter"/>
      <w:start w:val="2"/>
    </w:lvl>
  </w:abstractNum>
  <w:abstractNum w:abstractNumId="14">
    <w:nsid w:val="100F8FCA"/>
    <w:multiLevelType w:val="hybridMultilevel"/>
    <w:lvl w:ilvl="0">
      <w:lvlJc w:val="left"/>
      <w:lvlText w:val="(%1)"/>
      <w:numFmt w:val="lowerLetter"/>
      <w:start w:val="1"/>
    </w:lvl>
  </w:abstractNum>
  <w:abstractNum w:abstractNumId="15">
    <w:nsid w:val="6590700B"/>
    <w:multiLevelType w:val="hybridMultilevel"/>
    <w:lvl w:ilvl="0">
      <w:lvlJc w:val="left"/>
      <w:lvlText w:val="(%1)"/>
      <w:numFmt w:val="lowerLetter"/>
      <w:start w:val="2"/>
    </w:lvl>
  </w:abstractNum>
  <w:abstractNum w:abstractNumId="16">
    <w:nsid w:val="15014ACB"/>
    <w:multiLevelType w:val="hybridMultilevel"/>
    <w:lvl w:ilvl="0">
      <w:lvlJc w:val="left"/>
      <w:lvlText w:val="(%1)"/>
      <w:numFmt w:val="decimal"/>
      <w:start w:val="1"/>
    </w:lvl>
  </w:abstractNum>
  <w:abstractNum w:abstractNumId="17">
    <w:nsid w:val="5F5E7FD0"/>
    <w:multiLevelType w:val="hybridMultilevel"/>
    <w:lvl w:ilvl="0">
      <w:lvlJc w:val="left"/>
      <w:lvlText w:val="%1"/>
      <w:numFmt w:val="decimal"/>
      <w:start w:val="101"/>
    </w:lvl>
  </w:abstractNum>
  <w:abstractNum w:abstractNumId="18">
    <w:nsid w:val="98A3148"/>
    <w:multiLevelType w:val="hybridMultilevel"/>
    <w:lvl w:ilvl="0">
      <w:lvlJc w:val="left"/>
      <w:lvlText w:val="%1"/>
      <w:numFmt w:val="decimal"/>
      <w:start w:val="104"/>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1."/>
      <w:numFmt w:val="decimal"/>
      <w:start w:val="1"/>
    </w:lvl>
  </w:abstractNum>
  <w:abstractNum w:abstractNumId="22">
    <w:nsid w:val="168E121F"/>
    <w:multiLevelType w:val="hybridMultilevel"/>
    <w:lvl w:ilvl="0">
      <w:lvlJc w:val="left"/>
      <w:lvlText w:val="%1."/>
      <w:numFmt w:val="decimal"/>
      <w:start w:val="2"/>
    </w:lvl>
  </w:abstractNum>
  <w:abstractNum w:abstractNumId="23">
    <w:nsid w:val="1EBA5D23"/>
    <w:multiLevelType w:val="hybridMultilevel"/>
    <w:lvl w:ilvl="0">
      <w:lvlJc w:val="left"/>
      <w:lvlText w:val="%1."/>
      <w:numFmt w:val="decimal"/>
      <w:start w:val="4"/>
    </w:lvl>
  </w:abstractNum>
  <w:abstractNum w:abstractNumId="24">
    <w:nsid w:val="661E3F1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5">
    <w:nsid w:val="5DC79EA8"/>
    <w:multiLevelType w:val="hybridMultilevel"/>
    <w:lvl w:ilvl="0">
      <w:lvlJc w:val="left"/>
      <w:lvlText w:val="(%1)"/>
      <w:numFmt w:val="lowerRoman"/>
      <w:start w:val="3"/>
    </w:lvl>
  </w:abstractNum>
  <w:abstractNum w:abstractNumId="26">
    <w:nsid w:val="540A471C"/>
    <w:multiLevelType w:val="hybridMultilevel"/>
    <w:lvl w:ilvl="0">
      <w:lvlJc w:val="left"/>
      <w:lvlText w:val="%1"/>
      <w:numFmt w:val="lowerLetter"/>
      <w:start w:val="1"/>
    </w:lvl>
    <w:lvl w:ilvl="1">
      <w:lvlJc w:val="left"/>
      <w:lvlText w:val="(%2)"/>
      <w:numFmt w:val="lowerRoman"/>
      <w:start w:val="7"/>
    </w:lvl>
  </w:abstractNum>
  <w:abstractNum w:abstractNumId="27">
    <w:nsid w:val="7BD3EE7B"/>
    <w:multiLevelType w:val="hybridMultilevel"/>
    <w:lvl w:ilvl="0">
      <w:lvlJc w:val="left"/>
      <w:lvlText w:val="(%1)"/>
      <w:numFmt w:val="lowerLetter"/>
      <w:start w:val="2"/>
    </w:lvl>
    <w:lvl w:ilvl="1">
      <w:lvlJc w:val="left"/>
      <w:lvlText w:val="%2"/>
      <w:numFmt w:val="lowerRoman"/>
      <w:start w:val="1"/>
    </w:lvl>
  </w:abstractNum>
  <w:abstractNum w:abstractNumId="28">
    <w:nsid w:val="51D9C564"/>
    <w:multiLevelType w:val="hybridMultilevel"/>
    <w:lvl w:ilvl="0">
      <w:lvlJc w:val="left"/>
      <w:lvlText w:val="(%1)"/>
      <w:numFmt w:val="lowerRoman"/>
      <w:start w:val="1"/>
    </w:lvl>
  </w:abstractNum>
  <w:abstractNum w:abstractNumId="29">
    <w:nsid w:val="613EFDC5"/>
    <w:multiLevelType w:val="hybridMultilevel"/>
    <w:lvl w:ilvl="0">
      <w:lvlJc w:val="left"/>
      <w:lvlText w:val="(%1)"/>
      <w:numFmt w:val="lowerLetter"/>
      <w:start w:val="1"/>
    </w:lvl>
  </w:abstractNum>
  <w:abstractNum w:abstractNumId="30">
    <w:nsid w:val="BF72B14"/>
    <w:multiLevelType w:val="hybridMultilevel"/>
    <w:lvl w:ilvl="0">
      <w:lvlJc w:val="left"/>
      <w:lvlText w:val="%1"/>
      <w:numFmt w:val="decimal"/>
      <w:start w:val="1"/>
    </w:lvl>
    <w:lvl w:ilvl="1">
      <w:lvlJc w:val="left"/>
      <w:lvlText w:val="(%2)"/>
      <w:numFmt w:val="lowerLetter"/>
      <w:start w:val="3"/>
    </w:lvl>
  </w:abstractNum>
  <w:abstractNum w:abstractNumId="31">
    <w:nsid w:val="11447B73"/>
    <w:multiLevelType w:val="hybridMultilevel"/>
    <w:lvl w:ilvl="0">
      <w:lvlJc w:val="left"/>
      <w:lvlText w:val="%1."/>
      <w:numFmt w:val="decimal"/>
      <w:start w:val="9"/>
    </w:lvl>
    <w:lvl w:ilvl="1">
      <w:lvlJc w:val="left"/>
      <w:lvlText w:val="%2"/>
      <w:numFmt w:val="lowerLetter"/>
      <w:start w:val="1"/>
    </w:lvl>
  </w:abstractNum>
  <w:abstractNum w:abstractNumId="32">
    <w:nsid w:val="42963E5A"/>
    <w:multiLevelType w:val="hybridMultilevel"/>
    <w:lvl w:ilvl="0">
      <w:lvlJc w:val="left"/>
      <w:lvlText w:val="%1."/>
      <w:numFmt w:val="decimal"/>
      <w:start w:val="10"/>
    </w:lvl>
    <w:lvl w:ilvl="1">
      <w:lvlJc w:val="left"/>
      <w:lvlText w:val="(%2)"/>
      <w:numFmt w:val="lowerLetter"/>
      <w:start w:val="1"/>
    </w:lvl>
  </w:abstractNum>
  <w:abstractNum w:abstractNumId="33">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34">
    <w:nsid w:val="8F2B15E"/>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35">
    <w:nsid w:val="1A32234B"/>
    <w:multiLevelType w:val="hybridMultilevel"/>
    <w:lvl w:ilvl="0">
      <w:lvlJc w:val="left"/>
      <w:lvlText w:val="%1."/>
      <w:numFmt w:val="decimal"/>
      <w:start w:val="12"/>
    </w:lvl>
  </w:abstractNum>
  <w:abstractNum w:abstractNumId="36">
    <w:nsid w:val="3B0FD379"/>
    <w:multiLevelType w:val="hybridMultilevel"/>
    <w:lvl w:ilvl="0">
      <w:lvlJc w:val="left"/>
      <w:lvlText w:val="%1."/>
      <w:numFmt w:val="decimal"/>
      <w:start w:val="17"/>
    </w:lvl>
    <w:lvl w:ilvl="1">
      <w:lvlJc w:val="left"/>
      <w:lvlText w:val="(%2)"/>
      <w:numFmt w:val="lowerLetter"/>
      <w:start w:val="1"/>
    </w:lvl>
  </w:abstractNum>
  <w:abstractNum w:abstractNumId="37">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8">
    <w:nsid w:val="4962813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9">
    <w:nsid w:val="60B6DF70"/>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40">
    <w:nsid w:val="6A5EE64"/>
    <w:multiLevelType w:val="hybridMultilevel"/>
    <w:lvl w:ilvl="0">
      <w:lvlJc w:val="left"/>
      <w:lvlText w:val="%1."/>
      <w:numFmt w:val="decimal"/>
      <w:start w:val="21"/>
    </w:lvl>
  </w:abstractNum>
  <w:abstractNum w:abstractNumId="41">
    <w:nsid w:val="14330624"/>
    <w:multiLevelType w:val="hybridMultilevel"/>
    <w:lvl w:ilvl="0">
      <w:lvlJc w:val="left"/>
      <w:lvlText w:val="(%1)"/>
      <w:numFmt w:val="lowerLetter"/>
      <w:start w:val="2"/>
    </w:lvl>
  </w:abstractNum>
  <w:abstractNum w:abstractNumId="42">
    <w:nsid w:val="7FFFCA11"/>
    <w:multiLevelType w:val="hybridMultilevel"/>
    <w:lvl w:ilvl="0">
      <w:lvlJc w:val="left"/>
      <w:lvlText w:val="%1."/>
      <w:numFmt w:val="decimal"/>
      <w:start w:val="25"/>
    </w:lvl>
    <w:lvl w:ilvl="1">
      <w:lvlJc w:val="left"/>
      <w:lvlText w:val="(%2)"/>
      <w:numFmt w:val="lowerLetter"/>
      <w:start w:val="1"/>
    </w:lvl>
  </w:abstractNum>
  <w:abstractNum w:abstractNumId="43">
    <w:nsid w:val="1A27709E"/>
    <w:multiLevelType w:val="hybridMultilevel"/>
    <w:lvl w:ilvl="0">
      <w:lvlJc w:val="left"/>
      <w:lvlText w:val="%1."/>
      <w:numFmt w:val="decimal"/>
      <w:start w:val="26"/>
    </w:lvl>
  </w:abstractNum>
  <w:abstractNum w:abstractNumId="44">
    <w:nsid w:val="71EA1109"/>
    <w:multiLevelType w:val="hybridMultilevel"/>
    <w:lvl w:ilvl="0">
      <w:lvlJc w:val="left"/>
      <w:lvlText w:val="%1."/>
      <w:numFmt w:val="decimal"/>
      <w:start w:val="29"/>
    </w:lvl>
  </w:abstractNum>
  <w:abstractNum w:abstractNumId="45">
    <w:nsid w:val="100F59D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35"/>
    </w:lvl>
  </w:abstractNum>
  <w:abstractNum w:abstractNumId="46">
    <w:nsid w:val="7FB7E0AA"/>
    <w:multiLevelType w:val="hybridMultilevel"/>
    <w:lvl w:ilvl="0">
      <w:lvlJc w:val="left"/>
      <w:lvlText w:val="%1"/>
      <w:numFmt w:val="lowerRoman"/>
      <w:start w:val="1"/>
    </w:lvl>
    <w:lvl w:ilvl="1">
      <w:lvlJc w:val="left"/>
      <w:lvlText w:val="(%2)"/>
      <w:numFmt w:val="lowerRoman"/>
      <w:start w:val="3"/>
    </w:lvl>
  </w:abstractNum>
  <w:abstractNum w:abstractNumId="47">
    <w:nsid w:val="6EB5BD4"/>
    <w:multiLevelType w:val="hybridMultilevel"/>
    <w:lvl w:ilvl="0">
      <w:lvlJc w:val="left"/>
      <w:lvlText w:val="(%1)"/>
      <w:numFmt w:val="lowerRoman"/>
      <w:start w:val="4"/>
    </w:lvl>
    <w:lvl w:ilvl="1">
      <w:lvlJc w:val="left"/>
      <w:lvlText w:val="%2"/>
      <w:numFmt w:val="lowerRoman"/>
      <w:start w:val="1"/>
    </w:lvl>
  </w:abstractNum>
  <w:abstractNum w:abstractNumId="48">
    <w:nsid w:val="6F6DD9AC"/>
    <w:multiLevelType w:val="hybridMultilevel"/>
    <w:lvl w:ilvl="0">
      <w:lvlJc w:val="left"/>
      <w:lvlText w:val="(%1)"/>
      <w:numFmt w:val="lowerRoman"/>
      <w:start w:val="5"/>
    </w:lvl>
  </w:abstractNum>
  <w:abstractNum w:abstractNumId="49">
    <w:nsid w:val="94211F2"/>
    <w:multiLevelType w:val="hybridMultilevel"/>
    <w:lvl w:ilvl="0">
      <w:lvlJc w:val="left"/>
      <w:lvlText w:val="%1."/>
      <w:numFmt w:val="decimal"/>
      <w:start w:val="2"/>
    </w:lvl>
  </w:abstractNum>
  <w:abstractNum w:abstractNumId="50">
    <w:nsid w:val="885E1B"/>
    <w:multiLevelType w:val="hybridMultilevel"/>
    <w:lvl w:ilvl="0">
      <w:lvlJc w:val="left"/>
      <w:lvlText w:val="%1."/>
      <w:numFmt w:val="decimal"/>
      <w:start w:val="7"/>
    </w:lvl>
  </w:abstractNum>
  <w:abstractNum w:abstractNumId="51">
    <w:nsid w:val="76272110"/>
    <w:multiLevelType w:val="hybridMultilevel"/>
    <w:lvl w:ilvl="0">
      <w:lvlJc w:val="left"/>
      <w:lvlText w:val="(%1)"/>
      <w:numFmt w:val="lowerLetter"/>
      <w:start w:val="1"/>
    </w:lvl>
  </w:abstractNum>
  <w:abstractNum w:abstractNumId="52">
    <w:nsid w:val="4C04A8AF"/>
    <w:multiLevelType w:val="hybridMultilevel"/>
    <w:lvl w:ilvl="0">
      <w:lvlJc w:val="left"/>
      <w:lvlText w:val="(%1)"/>
      <w:numFmt w:val="lowerLetter"/>
      <w:start w:val="3"/>
    </w:lvl>
  </w:abstractNum>
  <w:abstractNum w:abstractNumId="53">
    <w:nsid w:val="1716703B"/>
    <w:multiLevelType w:val="hybridMultilevel"/>
    <w:lvl w:ilvl="0">
      <w:lvlJc w:val="left"/>
      <w:lvlText w:val="%1."/>
      <w:numFmt w:val="decimal"/>
      <w:start w:val="1"/>
    </w:lvl>
  </w:abstractNum>
  <w:abstractNum w:abstractNumId="54">
    <w:nsid w:val="14E17E33"/>
    <w:multiLevelType w:val="hybridMultilevel"/>
    <w:lvl w:ilvl="0">
      <w:lvlJc w:val="left"/>
      <w:lvlText w:val="%1."/>
      <w:numFmt w:val="decimal"/>
      <w:start w:val="2"/>
    </w:lvl>
  </w:abstractNum>
  <w:abstractNum w:abstractNumId="55">
    <w:nsid w:val="3222E7CD"/>
    <w:multiLevelType w:val="hybridMultilevel"/>
    <w:lvl w:ilvl="0">
      <w:lvlJc w:val="left"/>
      <w:lvlText w:val="%1."/>
      <w:numFmt w:val="decimal"/>
      <w:start w:val="4"/>
    </w:lvl>
  </w:abstractNum>
  <w:abstractNum w:abstractNumId="56">
    <w:nsid w:val="74DE0EE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7">
    <w:nsid w:val="68EBC550"/>
    <w:multiLevelType w:val="hybridMultilevel"/>
    <w:lvl w:ilvl="0">
      <w:lvlJc w:val="left"/>
      <w:lvlText w:val="%1"/>
      <w:numFmt w:val="lowerLetter"/>
      <w:start w:val="1"/>
    </w:lvl>
    <w:lvl w:ilvl="1">
      <w:lvlJc w:val="left"/>
      <w:lvlText w:val="(%2)"/>
      <w:numFmt w:val="lowerRoman"/>
      <w:start w:val="3"/>
    </w:lvl>
  </w:abstractNum>
  <w:abstractNum w:abstractNumId="58">
    <w:nsid w:val="2DF6D648"/>
    <w:multiLevelType w:val="hybridMultilevel"/>
    <w:lvl w:ilvl="0">
      <w:lvlJc w:val="left"/>
      <w:lvlText w:val="(%1)"/>
      <w:numFmt w:val="lowerLetter"/>
      <w:start w:val="2"/>
    </w:lvl>
    <w:lvl w:ilvl="1">
      <w:lvlJc w:val="left"/>
      <w:lvlText w:val="%2"/>
      <w:numFmt w:val="lowerRoman"/>
      <w:start w:val="1"/>
    </w:lvl>
  </w:abstractNum>
  <w:abstractNum w:abstractNumId="59">
    <w:nsid w:val="46B7D447"/>
    <w:multiLevelType w:val="hybridMultilevel"/>
    <w:lvl w:ilvl="0">
      <w:lvlJc w:val="left"/>
      <w:lvlText w:val="(%1)"/>
      <w:numFmt w:val="lowerRoman"/>
      <w:start w:val="2"/>
    </w:lvl>
  </w:abstractNum>
  <w:abstractNum w:abstractNumId="60">
    <w:nsid w:val="4A2AC315"/>
    <w:multiLevelType w:val="hybridMultilevel"/>
    <w:lvl w:ilvl="0">
      <w:lvlJc w:val="left"/>
      <w:lvlText w:val="(%1)"/>
      <w:numFmt w:val="lowerLetter"/>
      <w:start w:val="1"/>
    </w:lvl>
  </w:abstractNum>
  <w:abstractNum w:abstractNumId="61">
    <w:nsid w:val="39EE015C"/>
    <w:multiLevelType w:val="hybridMultilevel"/>
    <w:lvl w:ilvl="0">
      <w:lvlJc w:val="left"/>
      <w:lvlText w:val="(%1)"/>
      <w:numFmt w:val="lowerLetter"/>
      <w:start w:val="4"/>
    </w:lvl>
  </w:abstractNum>
  <w:abstractNum w:abstractNumId="62">
    <w:nsid w:val="57FC4FB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3">
    <w:nsid w:val="CC1016F"/>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64">
    <w:nsid w:val="43F1842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5">
    <w:nsid w:val="60EF0119"/>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66">
    <w:nsid w:val="26F324BA"/>
    <w:multiLevelType w:val="hybridMultilevel"/>
    <w:lvl w:ilvl="0">
      <w:lvlJc w:val="left"/>
      <w:lvlText w:val="(%1)"/>
      <w:numFmt w:val="lowerLetter"/>
      <w:start w:val="5"/>
    </w:lvl>
  </w:abstractNum>
  <w:abstractNum w:abstractNumId="67">
    <w:nsid w:val="7F01579B"/>
    <w:multiLevelType w:val="hybridMultilevel"/>
    <w:lvl w:ilvl="0">
      <w:lvlJc w:val="left"/>
      <w:lvlText w:val="%1."/>
      <w:numFmt w:val="decimal"/>
      <w:start w:val="12"/>
    </w:lvl>
  </w:abstractNum>
  <w:abstractNum w:abstractNumId="68">
    <w:nsid w:val="49DA307D"/>
    <w:multiLevelType w:val="hybridMultilevel"/>
    <w:lvl w:ilvl="0">
      <w:lvlJc w:val="left"/>
      <w:lvlText w:val="%1."/>
      <w:numFmt w:val="decimal"/>
      <w:start w:val="16"/>
    </w:lvl>
  </w:abstractNum>
  <w:abstractNum w:abstractNumId="69">
    <w:nsid w:val="7055A5F5"/>
    <w:multiLevelType w:val="hybridMultilevel"/>
    <w:lvl w:ilvl="0">
      <w:lvlJc w:val="left"/>
      <w:lvlText w:val="%1."/>
      <w:numFmt w:val="decimal"/>
      <w:start w:val="17"/>
    </w:lvl>
    <w:lvl w:ilvl="1">
      <w:lvlJc w:val="left"/>
      <w:lvlText w:val="(%2)"/>
      <w:numFmt w:val="lowerLetter"/>
      <w:start w:val="1"/>
    </w:lvl>
  </w:abstractNum>
  <w:abstractNum w:abstractNumId="70">
    <w:nsid w:val="5FB8370B"/>
    <w:multiLevelType w:val="hybridMultilevel"/>
    <w:lvl w:ilvl="0">
      <w:lvlJc w:val="left"/>
      <w:lvlText w:val="%1."/>
      <w:numFmt w:val="decimal"/>
      <w:start w:val="20"/>
    </w:lvl>
  </w:abstractNum>
  <w:abstractNum w:abstractNumId="71">
    <w:nsid w:val="50801EE1"/>
    <w:multiLevelType w:val="hybridMultilevel"/>
    <w:lvl w:ilvl="0">
      <w:lvlJc w:val="left"/>
      <w:lvlText w:val="(%1)"/>
      <w:numFmt w:val="lowerLetter"/>
      <w:start w:val="2"/>
    </w:lvl>
  </w:abstractNum>
  <w:abstractNum w:abstractNumId="72">
    <w:nsid w:val="488AC1A"/>
    <w:multiLevelType w:val="hybridMultilevel"/>
    <w:lvl w:ilvl="0">
      <w:lvlJc w:val="left"/>
      <w:lvlText w:val="%1."/>
      <w:numFmt w:val="decimal"/>
      <w:start w:val="25"/>
    </w:lvl>
    <w:lvl w:ilvl="1">
      <w:lvlJc w:val="left"/>
      <w:lvlText w:val="(%2)"/>
      <w:numFmt w:val="lowerLetter"/>
      <w:start w:val="1"/>
    </w:lvl>
  </w:abstractNum>
  <w:abstractNum w:abstractNumId="73">
    <w:nsid w:val="5FB8011C"/>
    <w:multiLevelType w:val="hybridMultilevel"/>
    <w:lvl w:ilvl="0">
      <w:lvlJc w:val="left"/>
      <w:lvlText w:val="%1."/>
      <w:numFmt w:val="decimal"/>
      <w:start w:val="26"/>
    </w:lvl>
  </w:abstractNum>
  <w:abstractNum w:abstractNumId="74">
    <w:nsid w:val="6AA78F7F"/>
    <w:multiLevelType w:val="hybridMultilevel"/>
    <w:lvl w:ilvl="0">
      <w:lvlJc w:val="left"/>
      <w:lvlText w:val="%1."/>
      <w:numFmt w:val="decimal"/>
      <w:start w:val="29"/>
    </w:lvl>
  </w:abstractNum>
  <w:abstractNum w:abstractNumId="75">
    <w:nsid w:val="7672BD2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76">
    <w:nsid w:val="6FC75AF8"/>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77">
    <w:nsid w:val="6A5F7029"/>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78">
    <w:nsid w:val="7D5E18F8"/>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abstractNum>
  <w:abstractNum w:abstractNumId="79">
    <w:nsid w:val="5F3534A4"/>
    <w:multiLevelType w:val="hybridMultilevel"/>
    <w:lvl w:ilvl="0">
      <w:lvlJc w:val="left"/>
      <w:lvlText w:val="(%1)"/>
      <w:numFmt w:val="lowerRoman"/>
      <w:start w:val="5"/>
    </w:lvl>
  </w:abstractNum>
  <w:abstractNum w:abstractNumId="80">
    <w:nsid w:val="73A1821B"/>
    <w:multiLevelType w:val="hybridMultilevel"/>
    <w:lvl w:ilvl="0">
      <w:lvlJc w:val="left"/>
      <w:lvlText w:val="%1."/>
      <w:numFmt w:val="decimal"/>
      <w:start w:val="2"/>
    </w:lvl>
  </w:abstractNum>
  <w:abstractNum w:abstractNumId="81">
    <w:nsid w:val="7DE67713"/>
    <w:multiLevelType w:val="hybridMultilevel"/>
    <w:lvl w:ilvl="0">
      <w:lvlJc w:val="left"/>
      <w:lvlText w:val="%1."/>
      <w:numFmt w:val="decimal"/>
      <w:start w:val="7"/>
    </w:lvl>
  </w:abstractNum>
  <w:abstractNum w:abstractNumId="82">
    <w:nsid w:val="555C55B5"/>
    <w:multiLevelType w:val="hybridMultilevel"/>
    <w:lvl w:ilvl="0">
      <w:lvlJc w:val="left"/>
      <w:lvlText w:val="(%1)"/>
      <w:numFmt w:val="lowerLetter"/>
      <w:start w:val="1"/>
    </w:lvl>
  </w:abstractNum>
  <w:abstractNum w:abstractNumId="83">
    <w:nsid w:val="3FA62ACA"/>
    <w:multiLevelType w:val="hybridMultilevel"/>
    <w:lvl w:ilvl="0">
      <w:lvlJc w:val="left"/>
      <w:lvlText w:val="(%1)"/>
      <w:numFmt w:val="lowerLetter"/>
      <w:start w:val="3"/>
    </w:lvl>
  </w:abstractNum>
  <w:abstractNum w:abstractNumId="84">
    <w:nsid w:val="14FCE74E"/>
    <w:multiLevelType w:val="hybridMultilevel"/>
    <w:lvl w:ilvl="0">
      <w:lvlJc w:val="left"/>
      <w:lvlText w:val="%1."/>
      <w:numFmt w:val="decimal"/>
      <w:start w:val="1"/>
    </w:lvl>
  </w:abstractNum>
  <w:abstractNum w:abstractNumId="85">
    <w:nsid w:val="6A3DD3E8"/>
    <w:multiLevelType w:val="hybridMultilevel"/>
    <w:lvl w:ilvl="0">
      <w:lvlJc w:val="left"/>
      <w:lvlText w:val="%1."/>
      <w:numFmt w:val="decimal"/>
      <w:start w:val="2"/>
    </w:lvl>
  </w:abstractNum>
  <w:abstractNum w:abstractNumId="86">
    <w:nsid w:val="71C91298"/>
    <w:multiLevelType w:val="hybridMultilevel"/>
    <w:lvl w:ilvl="0">
      <w:lvlJc w:val="left"/>
      <w:lvlText w:val="%1."/>
      <w:numFmt w:val="decimal"/>
      <w:start w:val="4"/>
    </w:lvl>
  </w:abstractNum>
  <w:abstractNum w:abstractNumId="87">
    <w:nsid w:val="9DAF63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8">
    <w:nsid w:val="53299938"/>
    <w:multiLevelType w:val="hybridMultilevel"/>
    <w:lvl w:ilvl="0">
      <w:lvlJc w:val="left"/>
      <w:lvlText w:val="%1"/>
      <w:numFmt w:val="lowerLetter"/>
      <w:start w:val="1"/>
    </w:lvl>
    <w:lvl w:ilvl="1">
      <w:lvlJc w:val="left"/>
      <w:lvlText w:val="(%2)"/>
      <w:numFmt w:val="lowerRoman"/>
      <w:start w:val="3"/>
    </w:lvl>
  </w:abstractNum>
  <w:abstractNum w:abstractNumId="89">
    <w:nsid w:val="1FBFE8E0"/>
    <w:multiLevelType w:val="hybridMultilevel"/>
    <w:lvl w:ilvl="0">
      <w:lvlJc w:val="left"/>
      <w:lvlText w:val="(%1)"/>
      <w:numFmt w:val="lowerLetter"/>
      <w:start w:val="2"/>
    </w:lvl>
    <w:lvl w:ilvl="1">
      <w:lvlJc w:val="left"/>
      <w:lvlText w:val="%2"/>
      <w:numFmt w:val="lowerRoman"/>
      <w:start w:val="1"/>
    </w:lvl>
  </w:abstractNum>
  <w:abstractNum w:abstractNumId="90">
    <w:nsid w:val="5092CA79"/>
    <w:multiLevelType w:val="hybridMultilevel"/>
    <w:lvl w:ilvl="0">
      <w:lvlJc w:val="left"/>
      <w:lvlText w:val="(%1)"/>
      <w:numFmt w:val="lowerRoman"/>
      <w:start w:val="2"/>
    </w:lvl>
  </w:abstractNum>
  <w:abstractNum w:abstractNumId="91">
    <w:nsid w:val="1D545C4D"/>
    <w:multiLevelType w:val="hybridMultilevel"/>
    <w:lvl w:ilvl="0">
      <w:lvlJc w:val="left"/>
      <w:lvlText w:val="(%1)"/>
      <w:numFmt w:val="lowerLetter"/>
      <w:start w:val="1"/>
    </w:lvl>
  </w:abstractNum>
  <w:abstractNum w:abstractNumId="92">
    <w:nsid w:val="59ADEA3D"/>
    <w:multiLevelType w:val="hybridMultilevel"/>
    <w:lvl w:ilvl="0">
      <w:lvlJc w:val="left"/>
      <w:lvlText w:val="(%1)"/>
      <w:numFmt w:val="lowerLetter"/>
      <w:start w:val="4"/>
    </w:lvl>
  </w:abstractNum>
  <w:abstractNum w:abstractNumId="93">
    <w:nsid w:val="288F1A3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4">
    <w:nsid w:val="2A155DB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95">
    <w:nsid w:val="1D9F6E5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6">
    <w:nsid w:val="97E1B4E"/>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97">
    <w:nsid w:val="51088277"/>
    <w:multiLevelType w:val="hybridMultilevel"/>
    <w:lvl w:ilvl="0">
      <w:lvlJc w:val="left"/>
      <w:lvlText w:val="(%1)"/>
      <w:numFmt w:val="lowerLetter"/>
      <w:start w:val="5"/>
    </w:lvl>
  </w:abstractNum>
  <w:abstractNum w:abstractNumId="98">
    <w:nsid w:val="1CA0C5FA"/>
    <w:multiLevelType w:val="hybridMultilevel"/>
    <w:lvl w:ilvl="0">
      <w:lvlJc w:val="left"/>
      <w:lvlText w:val="%1."/>
      <w:numFmt w:val="decimal"/>
      <w:start w:val="12"/>
    </w:lvl>
  </w:abstractNum>
  <w:abstractNum w:abstractNumId="99">
    <w:nsid w:val="53584BCB"/>
    <w:multiLevelType w:val="hybridMultilevel"/>
    <w:lvl w:ilvl="0">
      <w:lvlJc w:val="left"/>
      <w:lvlText w:val="%1."/>
      <w:numFmt w:val="decimal"/>
      <w:start w:val="16"/>
    </w:lvl>
  </w:abstractNum>
  <w:abstractNum w:abstractNumId="100">
    <w:nsid w:val="415E286C"/>
    <w:multiLevelType w:val="hybridMultilevel"/>
    <w:lvl w:ilvl="0">
      <w:lvlJc w:val="left"/>
      <w:lvlText w:val="%1."/>
      <w:numFmt w:val="decimal"/>
      <w:start w:val="17"/>
    </w:lvl>
    <w:lvl w:ilvl="1">
      <w:lvlJc w:val="left"/>
      <w:lvlText w:val="(%2)"/>
      <w:numFmt w:val="lowerLetter"/>
      <w:start w:val="1"/>
    </w:lvl>
  </w:abstractNum>
  <w:abstractNum w:abstractNumId="101">
    <w:nsid w:val="7C58FD05"/>
    <w:multiLevelType w:val="hybridMultilevel"/>
    <w:lvl w:ilvl="0">
      <w:lvlJc w:val="left"/>
      <w:lvlText w:val="%1."/>
      <w:numFmt w:val="decimal"/>
      <w:start w:val="20"/>
    </w:lvl>
  </w:abstractNum>
  <w:abstractNum w:abstractNumId="102">
    <w:nsid w:val="23D86AAC"/>
    <w:multiLevelType w:val="hybridMultilevel"/>
    <w:lvl w:ilvl="0">
      <w:lvlJc w:val="left"/>
      <w:lvlText w:val="(%1)"/>
      <w:numFmt w:val="lowerLetter"/>
      <w:start w:val="2"/>
    </w:lvl>
  </w:abstractNum>
  <w:abstractNum w:abstractNumId="103">
    <w:nsid w:val="45E6D486"/>
    <w:multiLevelType w:val="hybridMultilevel"/>
    <w:lvl w:ilvl="0">
      <w:lvlJc w:val="left"/>
      <w:lvlText w:val="%1."/>
      <w:numFmt w:val="decimal"/>
      <w:start w:val="25"/>
    </w:lvl>
    <w:lvl w:ilvl="1">
      <w:lvlJc w:val="left"/>
      <w:lvlText w:val="(%2)"/>
      <w:numFmt w:val="lowerLetter"/>
      <w:start w:val="1"/>
    </w:lvl>
  </w:abstractNum>
  <w:abstractNum w:abstractNumId="104">
    <w:nsid w:val="5C10FE21"/>
    <w:multiLevelType w:val="hybridMultilevel"/>
    <w:lvl w:ilvl="0">
      <w:lvlJc w:val="left"/>
      <w:lvlText w:val="%1."/>
      <w:numFmt w:val="decimal"/>
      <w:start w:val="26"/>
    </w:lvl>
  </w:abstractNum>
  <w:abstractNum w:abstractNumId="105">
    <w:nsid w:val="E7FFA2B"/>
    <w:multiLevelType w:val="hybridMultilevel"/>
    <w:lvl w:ilvl="0">
      <w:lvlJc w:val="left"/>
      <w:lvlText w:val="%1."/>
      <w:numFmt w:val="decimal"/>
      <w:start w:val="29"/>
    </w:lvl>
  </w:abstractNum>
  <w:abstractNum w:abstractNumId="106">
    <w:nsid w:val="3C5991AA"/>
    <w:multiLevelType w:val="hybridMultilevel"/>
    <w:lvl w:ilvl="0">
      <w:lvlJc w:val="left"/>
      <w:lvlText w:val="•"/>
      <w:numFmt w:val="bullet"/>
      <w:start w:val="1"/>
    </w:lvl>
  </w:abstractNum>
  <w:abstractNum w:abstractNumId="107">
    <w:nsid w:val="4BD8591A"/>
    <w:multiLevelType w:val="hybridMultilevel"/>
    <w:lvl w:ilvl="0">
      <w:lvlJc w:val="left"/>
      <w:lvlText w:val="•"/>
      <w:numFmt w:val="bullet"/>
      <w:start w:val="1"/>
    </w:lvl>
  </w:abstractNum>
  <w:abstractNum w:abstractNumId="108">
    <w:nsid w:val="78DF6A55"/>
    <w:multiLevelType w:val="hybridMultilevel"/>
    <w:lvl w:ilvl="0">
      <w:lvlJc w:val="left"/>
      <w:lvlText w:val="•"/>
      <w:numFmt w:val="bullet"/>
      <w:start w:val="1"/>
    </w:lvl>
  </w:abstractNum>
  <w:abstractNum w:abstractNumId="109">
    <w:nsid w:val="39B7AAA2"/>
    <w:multiLevelType w:val="hybridMultilevel"/>
    <w:lvl w:ilvl="0">
      <w:lvlJc w:val="left"/>
      <w:lvlText w:val="•"/>
      <w:numFmt w:val="bullet"/>
      <w:start w:val="1"/>
    </w:lvl>
  </w:abstractNum>
  <w:abstractNum w:abstractNumId="110">
    <w:nsid w:val="2B0D8DB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11">
    <w:nsid w:val="6C80EC70"/>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112">
    <w:nsid w:val="379E21B5"/>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113">
    <w:nsid w:val="69E373"/>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abstractNum>
  <w:abstractNum w:abstractNumId="114">
    <w:nsid w:val="2C27173B"/>
    <w:multiLevelType w:val="hybridMultilevel"/>
    <w:lvl w:ilvl="0">
      <w:lvlJc w:val="left"/>
      <w:lvlText w:val="(%1)"/>
      <w:numFmt w:val="lowerRoman"/>
      <w:start w:val="5"/>
    </w:lvl>
  </w:abstractNum>
  <w:abstractNum w:abstractNumId="115">
    <w:nsid w:val="4C9B0904"/>
    <w:multiLevelType w:val="hybridMultilevel"/>
    <w:lvl w:ilvl="0">
      <w:lvlJc w:val="left"/>
      <w:lvlText w:val="%1."/>
      <w:numFmt w:val="decimal"/>
      <w:start w:val="2"/>
    </w:lvl>
  </w:abstractNum>
  <w:abstractNum w:abstractNumId="116">
    <w:nsid w:val="6AA7B75C"/>
    <w:multiLevelType w:val="hybridMultilevel"/>
    <w:lvl w:ilvl="0">
      <w:lvlJc w:val="left"/>
      <w:lvlText w:val="%1."/>
      <w:numFmt w:val="decimal"/>
      <w:start w:val="7"/>
    </w:lvl>
  </w:abstractNum>
  <w:abstractNum w:abstractNumId="117">
    <w:nsid w:val="1DF029D3"/>
    <w:multiLevelType w:val="hybridMultilevel"/>
    <w:lvl w:ilvl="0">
      <w:lvlJc w:val="left"/>
      <w:lvlText w:val="(%1)"/>
      <w:numFmt w:val="lowerLetter"/>
      <w:start w:val="1"/>
    </w:lvl>
  </w:abstractNum>
  <w:abstractNum w:abstractNumId="118">
    <w:nsid w:val="5675FF36"/>
    <w:multiLevelType w:val="hybridMultilevel"/>
    <w:lvl w:ilvl="0">
      <w:lvlJc w:val="left"/>
      <w:lvlText w:val="(%1)"/>
      <w:numFmt w:val="lowerLetter"/>
      <w:start w:val="3"/>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lvl w:ilvl="1">
      <w:lvlJc w:val="left"/>
      <w:lvlText w:val="(%2)"/>
      <w:numFmt w:val="lowerLetter"/>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jpeg"/><Relationship Id="rId51" Type="http://schemas.openxmlformats.org/officeDocument/2006/relationships/image" Target="media/image40.jpeg"/><Relationship Id="rId52" Type="http://schemas.openxmlformats.org/officeDocument/2006/relationships/image" Target="media/image41.png"/><Relationship Id="rId53" Type="http://schemas.openxmlformats.org/officeDocument/2006/relationships/image" Target="media/image42.jpeg"/><Relationship Id="rId54" Type="http://schemas.openxmlformats.org/officeDocument/2006/relationships/image" Target="media/image43.png"/><Relationship Id="rId55" Type="http://schemas.openxmlformats.org/officeDocument/2006/relationships/image" Target="media/image44.jpeg"/><Relationship Id="rId56" Type="http://schemas.openxmlformats.org/officeDocument/2006/relationships/image" Target="media/image45.png"/><Relationship Id="rId57" Type="http://schemas.openxmlformats.org/officeDocument/2006/relationships/image" Target="media/image46.jpe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43" Type="http://schemas.openxmlformats.org/officeDocument/2006/relationships/hyperlink" Target="https://www.sec.gov/Archives/edgar/data/1677703/000167770323000054/ex21-assetpurchaseagreement.htm" TargetMode="External"/><Relationship Id="rId44" Type="http://schemas.openxmlformats.org/officeDocument/2006/relationships/hyperlink" Target="https://www.sec.gov/Archives/edgar/data/1677703/000119312516803247/d275811dex31.htm" TargetMode="External"/><Relationship Id="rId45" Type="http://schemas.openxmlformats.org/officeDocument/2006/relationships/hyperlink" Target="https://www.sec.gov/Archives/edgar/data/1677703/000167770323000065/cndt-ex32amendedbyxlaws.htm" TargetMode="External"/><Relationship Id="rId46" Type="http://schemas.openxmlformats.org/officeDocument/2006/relationships/hyperlink" Target="https://www.sec.gov/Archives/edgar/data/1677703/000167770323000065/cndt-ex101formofindemnif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2024-05-02T11:01:02Z</dcterms:created>
  <dcterms:modified xsi:type="dcterms:W3CDTF">2024-05-02T11:01:02Z</dcterms:modified>
</cp:coreProperties>
</file>