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November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429895</wp:posOffset>
            </wp:positionV>
            <wp:extent cx="194691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CONDUENT INCORPORATED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001-37817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81-2983623</w:t>
      </w:r>
    </w:p>
    <w:p>
      <w:pPr>
        <w:spacing w:after="0" w:line="31" w:lineRule="exact"/>
        <w:rPr>
          <w:sz w:val="24"/>
          <w:szCs w:val="24"/>
          <w:color w:val="auto"/>
        </w:rPr>
      </w:pPr>
    </w:p>
    <w:p>
      <w:pPr>
        <w:sectPr>
          <w:pgSz w:w="11900" w:h="16838" w:orient="portrait"/>
          <w:cols w:equalWidth="0" w:num="3">
            <w:col w:w="4740" w:space="720"/>
            <w:col w:w="2980" w:space="720"/>
            <w:col w:w="2220"/>
          </w:cols>
          <w:pgMar w:left="240" w:top="368" w:right="27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40"/>
          </w:cols>
          <w:pgMar w:left="240" w:top="368" w:right="279" w:bottom="1440" w:gutter="0" w:footer="0" w:header="0"/>
          <w:type w:val="continuous"/>
        </w:sectPr>
      </w:pP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233 Mount Airy Road,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Basking Ridge, New Jersey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07920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(908) 758-1200</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Xerox Corporation (“</w:t>
      </w:r>
      <w:r>
        <w:rPr>
          <w:rFonts w:ascii="Arial" w:cs="Arial" w:eastAsia="Arial" w:hAnsi="Arial"/>
          <w:sz w:val="18"/>
          <w:szCs w:val="18"/>
          <w:u w:val="single" w:color="auto"/>
          <w:color w:val="auto"/>
        </w:rPr>
        <w:t>Xerox</w:t>
      </w:r>
      <w:r>
        <w:rPr>
          <w:rFonts w:ascii="Arial" w:cs="Arial" w:eastAsia="Arial" w:hAnsi="Arial"/>
          <w:sz w:val="18"/>
          <w:szCs w:val="18"/>
          <w:color w:val="auto"/>
        </w:rPr>
        <w:t>”) has previously announced plans to separate its Business Process Outsourcing Business (the “</w:t>
      </w:r>
      <w:r>
        <w:rPr>
          <w:rFonts w:ascii="Arial" w:cs="Arial" w:eastAsia="Arial" w:hAnsi="Arial"/>
          <w:sz w:val="18"/>
          <w:szCs w:val="18"/>
          <w:u w:val="single" w:color="auto"/>
          <w:color w:val="auto"/>
        </w:rPr>
        <w:t>BPS Business</w:t>
      </w:r>
      <w:r>
        <w:rPr>
          <w:rFonts w:ascii="Arial" w:cs="Arial" w:eastAsia="Arial" w:hAnsi="Arial"/>
          <w:sz w:val="18"/>
          <w:szCs w:val="18"/>
          <w:color w:val="auto"/>
        </w:rPr>
        <w:t>”) and its Document Technology and Document Outsourcing Business into two independent, publicly-traded companies (the “</w:t>
      </w:r>
      <w:r>
        <w:rPr>
          <w:rFonts w:ascii="Arial" w:cs="Arial" w:eastAsia="Arial" w:hAnsi="Arial"/>
          <w:sz w:val="18"/>
          <w:szCs w:val="18"/>
          <w:u w:val="single" w:color="auto"/>
          <w:color w:val="auto"/>
        </w:rPr>
        <w:t>Spin-Off</w:t>
      </w:r>
      <w:r>
        <w:rPr>
          <w:rFonts w:ascii="Arial" w:cs="Arial" w:eastAsia="Arial" w:hAnsi="Arial"/>
          <w:sz w:val="18"/>
          <w:szCs w:val="18"/>
          <w:color w:val="auto"/>
        </w:rPr>
        <w:t>”). Following the Spin-Off, the BPS Business will be named Conduent Incorporated (“</w:t>
      </w:r>
      <w:r>
        <w:rPr>
          <w:rFonts w:ascii="Arial" w:cs="Arial" w:eastAsia="Arial" w:hAnsi="Arial"/>
          <w:sz w:val="18"/>
          <w:szCs w:val="18"/>
          <w:u w:val="single" w:color="auto"/>
          <w:color w:val="auto"/>
        </w:rPr>
        <w:t>Conduent</w:t>
      </w:r>
      <w:r>
        <w:rPr>
          <w:rFonts w:ascii="Arial" w:cs="Arial" w:eastAsia="Arial" w:hAnsi="Arial"/>
          <w:sz w:val="18"/>
          <w:szCs w:val="18"/>
          <w:color w:val="auto"/>
        </w:rPr>
        <w:t>”).</w:t>
      </w:r>
    </w:p>
    <w:p>
      <w:pPr>
        <w:spacing w:after="0" w:line="18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In connection with the Spin-Off, certain entities in the BPS Business that following the Spin-Off will be subsidiaries of Conduent will incur approximately $1,950 million in new long-term indebtedness. On November 22, 2016, Conduent priced $510,000,000 of 10.500% Senior Notes due 2024 (the “</w:t>
      </w:r>
      <w:r>
        <w:rPr>
          <w:rFonts w:ascii="Arial" w:cs="Arial" w:eastAsia="Arial" w:hAnsi="Arial"/>
          <w:sz w:val="18"/>
          <w:szCs w:val="18"/>
          <w:u w:val="single" w:color="auto"/>
          <w:color w:val="auto"/>
        </w:rPr>
        <w:t>Notes</w:t>
      </w:r>
      <w:r>
        <w:rPr>
          <w:rFonts w:ascii="Arial" w:cs="Arial" w:eastAsia="Arial" w:hAnsi="Arial"/>
          <w:sz w:val="18"/>
          <w:szCs w:val="18"/>
          <w:color w:val="auto"/>
        </w:rPr>
        <w:t>”) at an issue price of 98.672%. Conduent intends to use the proceeds of the issuance of the Notes (1) to fund a portion of the previously announced transfer of cash to Xerox, currently anticipated to be in an amount of approximately $1,820 million, and (2) to capitalize Conduent with approximately $225 million of cash upon consummation of the Spin-Off. The offering of the Notes is expected to close December 7, 2016, subject to customary closing conditions.</w:t>
      </w:r>
    </w:p>
    <w:p>
      <w:pPr>
        <w:spacing w:after="0" w:line="19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Notes have not been, and will not be,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securities laws of any other jurisdiction. Accordingly, the Notes are being offered only to (1) persons reasonably believed to be “qualified institutional buyers” as defined in Rule 144A under the Securities Act and (2) outside the United States to non-U.S. persons in compliance with Regulation S under the Securities Act.</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provided in General Instruction B.2 of Form 8-K, the information contained in this Form 8-K shall not be deemed to be “filed” for purposes of Section 18 of the Securities Exchange Act of 1934, as amended, nor shall any such information be deemed to be incorporated by reference in any filing under the Securities Act, except as shall be expressly set forth by specific reference in such a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that involve risks and uncertainties. These statements can be identified by the fact that they do not relate strictly to historical or current facts, but rather are based on current expectations, estimates, assumptions and projections about the business process outsourcing industry and our business and financial results. Forward-looking statements often include words such as “anticipates,” “estimates,” “expects,” “projects,” “intends,” “plans,” “believes” and words and terms of similar substance in connection with discussions of future operating or financial performance.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Important factors that could cause our actual results to differ materially from those in our forward-looking statements include government regulation, economic, strategic, political and social conditions and the following factors, among others: competitive pressures; changes in interest in outsourced business process services; our ability to obtain adequate pricing for our services and to improve our cost structure; the effects of any acquisitions, joint ventures and divestitures by us; our ability to attract and retain key employees; our ability to attract and retain necessary technical personnel and qualified subcontractors; a decline in revenues from or a loss or failure of significant clients; our ability to estimate the scope of work or the costs of performance in our contracts; the failure to comply with laws relating to individually identifiable information and personal health information and laws relating to processing certain financial transactions, including payment card transactions and debit or credit card transactions; our ability to deliver on our contractual obligations properly and on time; our ability to renew commercial and government contracts awarded through competitive bidding processes; increases in the cost of telephone and data services or significant interruptions in such services; changes in tax and other laws and regulations; increased volatility or decreased liquidity in the capital markets, including any limitation on our ability to access the capital markets for debt securities, refinance our outstanding indebtedness or obtain bank financing on acceptable terms; the impact of terrorist acts, hostilities, natural disasters (including extreme weather) and pandemic viruses; changes in foreign exchange rates; our lack of an operating history as an independent publicly traded company; changes in U.S. GAAP or other applicable accounting policies; the other risks and uncertainties detailed in the section titled “Risk Factors”, the section titled “Legal Proceedings”, our financial statements and the accompanying notes thereto, and the other sections of our Registration Statement on Form 10, as amended, and the section titled “Risk Factors” the section titled “Management’s Discussion and Analysis of Financial Condition”, our financial statements and the accompanying notes thereto, and the other sections of our Quarterly Report on Form 10-Q for the quarter ended September 30, 2016. We caution you that the foregoing list of important factors may not contain all of the material factors that are important to you. Any forward-looking statements made by us in this current report speak only as of the date on which they are made. We are under no obligation to, and expressly disclaim any obligation to, update or alter our forward-looking statements, whether as a result of new information, subsequent events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Non-Solicitation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of the Registrants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2"/>
          </w:tcPr>
          <w:p>
            <w:pPr>
              <w:ind w:left="2000"/>
              <w:spacing w:after="0"/>
              <w:rPr>
                <w:sz w:val="20"/>
                <w:szCs w:val="20"/>
                <w:color w:val="auto"/>
              </w:rPr>
            </w:pPr>
            <w:r>
              <w:rPr>
                <w:rFonts w:ascii="Arial" w:cs="Arial" w:eastAsia="Arial" w:hAnsi="Arial"/>
                <w:sz w:val="18"/>
                <w:szCs w:val="18"/>
                <w:color w:val="auto"/>
              </w:rPr>
              <w:t>CONDUENT INCORPORATED</w:t>
            </w:r>
          </w:p>
        </w:tc>
      </w:tr>
      <w:tr>
        <w:trPr>
          <w:trHeight w:val="432"/>
        </w:trPr>
        <w:tc>
          <w:tcPr>
            <w:tcW w:w="3900" w:type="dxa"/>
            <w:vAlign w:val="bottom"/>
          </w:tcPr>
          <w:p>
            <w:pPr>
              <w:spacing w:after="0"/>
              <w:rPr>
                <w:sz w:val="24"/>
                <w:szCs w:val="24"/>
                <w:color w:val="auto"/>
              </w:rPr>
            </w:pPr>
          </w:p>
        </w:tc>
        <w:tc>
          <w:tcPr>
            <w:tcW w:w="7520" w:type="dxa"/>
            <w:vAlign w:val="bottom"/>
            <w:gridSpan w:val="2"/>
          </w:tcPr>
          <w:p>
            <w:pPr>
              <w:ind w:left="2000"/>
              <w:spacing w:after="0"/>
              <w:rPr>
                <w:sz w:val="20"/>
                <w:szCs w:val="20"/>
                <w:color w:val="auto"/>
              </w:rPr>
            </w:pPr>
            <w:r>
              <w:rPr>
                <w:rFonts w:ascii="Arial" w:cs="Arial" w:eastAsia="Arial" w:hAnsi="Arial"/>
                <w:sz w:val="18"/>
                <w:szCs w:val="18"/>
                <w:color w:val="auto"/>
              </w:rPr>
              <w:t>By:  /s/ Douglas H. Marshall</w:t>
            </w:r>
          </w:p>
        </w:tc>
      </w:tr>
      <w:tr>
        <w:trPr>
          <w:trHeight w:val="222"/>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Douglas H. Marshall</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November 22, 2016</w:t>
            </w:r>
          </w:p>
        </w:tc>
        <w:tc>
          <w:tcPr>
            <w:tcW w:w="23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2020-01-21T21:56:41Z</dcterms:created>
  <dcterms:modified xsi:type="dcterms:W3CDTF">2020-01-21T21:56:41Z</dcterms:modified>
</cp:coreProperties>
</file>